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A26" w:rsidRDefault="000E643B" w:rsidP="000E643B">
      <w:pPr>
        <w:pStyle w:val="a3"/>
        <w:numPr>
          <w:ilvl w:val="0"/>
          <w:numId w:val="1"/>
        </w:numPr>
        <w:ind w:firstLineChars="0"/>
      </w:pPr>
      <w:r w:rsidRPr="000E643B">
        <w:rPr>
          <w:rFonts w:hint="eastAsia"/>
        </w:rPr>
        <w:t>研究背景及意义（附参考文献，不少于</w:t>
      </w:r>
      <w:r w:rsidRPr="000E643B">
        <w:t>800字）</w:t>
      </w:r>
    </w:p>
    <w:p w:rsidR="000E643B" w:rsidRDefault="000E643B" w:rsidP="000E643B">
      <w:pPr>
        <w:pStyle w:val="a3"/>
        <w:numPr>
          <w:ilvl w:val="0"/>
          <w:numId w:val="1"/>
        </w:numPr>
        <w:ind w:firstLineChars="0"/>
      </w:pPr>
      <w:r w:rsidRPr="000E643B">
        <w:rPr>
          <w:rFonts w:hint="eastAsia"/>
        </w:rPr>
        <w:t>国内外研究现状（文献综述，附参考文献，不少于</w:t>
      </w:r>
      <w:r w:rsidRPr="000E643B">
        <w:t>1000字）</w:t>
      </w:r>
    </w:p>
    <w:p w:rsidR="00AC19D5" w:rsidRDefault="00AC19D5" w:rsidP="00AC19D5">
      <w:pPr>
        <w:pStyle w:val="a3"/>
      </w:pPr>
    </w:p>
    <w:p w:rsidR="00AC19D5" w:rsidRDefault="00171D06" w:rsidP="00AC19D5">
      <w:r>
        <w:rPr>
          <w:rFonts w:hint="eastAsia"/>
        </w:rPr>
        <w:t>电车难题</w:t>
      </w:r>
    </w:p>
    <w:p w:rsidR="00934DFD" w:rsidRPr="00934DFD" w:rsidRDefault="00971419" w:rsidP="00AC19D5">
      <w:r>
        <w:rPr>
          <w:rFonts w:hint="eastAsia"/>
        </w:rPr>
        <w:t>道德困境是心理学家和伦理学家用于研究道德判断问题的常用方法，心理学家用其探究道德判断的影响因子，而伦理学家研究道德判断问题为其道德理论提供支持。相比之下，心理学家更关注于人类的道德判断“是什么”而不是“应该怎么样”</w:t>
      </w:r>
      <w:sdt>
        <w:sdtPr>
          <w:rPr>
            <w:rFonts w:hint="eastAsia"/>
          </w:rPr>
          <w:id w:val="728343886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Jos03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(Greene, 2003)</w:t>
          </w:r>
          <w:r>
            <w:fldChar w:fldCharType="end"/>
          </w:r>
        </w:sdtContent>
      </w:sdt>
      <w:r>
        <w:rPr>
          <w:rFonts w:hint="eastAsia"/>
        </w:rPr>
        <w:t>。</w:t>
      </w:r>
      <w:r w:rsidR="00B73ABF">
        <w:rPr>
          <w:rFonts w:hint="eastAsia"/>
        </w:rPr>
        <w:t>“电车难题”就是一个这样的道德判断问题，它关注在何种情况下，伤害小部分人的利益以满足大部分人的利益是可以得到豁免的</w:t>
      </w:r>
      <w:sdt>
        <w:sdtPr>
          <w:rPr>
            <w:rFonts w:hint="eastAsia"/>
          </w:rPr>
          <w:id w:val="1335950037"/>
          <w:citation/>
        </w:sdtPr>
        <w:sdtEndPr/>
        <w:sdtContent>
          <w:r w:rsidR="00B73ABF">
            <w:fldChar w:fldCharType="begin"/>
          </w:r>
          <w:r w:rsidR="00B73ABF">
            <w:instrText xml:space="preserve"> </w:instrText>
          </w:r>
          <w:r w:rsidR="00B73ABF">
            <w:rPr>
              <w:rFonts w:hint="eastAsia"/>
            </w:rPr>
            <w:instrText>CITATION Phi67 \l 2052</w:instrText>
          </w:r>
          <w:r w:rsidR="00B73ABF">
            <w:instrText xml:space="preserve"> </w:instrText>
          </w:r>
          <w:r w:rsidR="00B73ABF">
            <w:fldChar w:fldCharType="separate"/>
          </w:r>
          <w:r w:rsidR="00B73ABF">
            <w:rPr>
              <w:rFonts w:hint="eastAsia"/>
              <w:noProof/>
            </w:rPr>
            <w:t xml:space="preserve"> (Foot, 1967)</w:t>
          </w:r>
          <w:r w:rsidR="00B73ABF">
            <w:fldChar w:fldCharType="end"/>
          </w:r>
        </w:sdtContent>
      </w:sdt>
      <w:r w:rsidR="00B73ABF">
        <w:rPr>
          <w:rFonts w:hint="eastAsia"/>
        </w:rPr>
        <w:t>。原始的电车难题是一个单边选择问题，</w:t>
      </w:r>
      <w:r w:rsidR="00406122" w:rsidRPr="00406122">
        <w:rPr>
          <w:rFonts w:hint="eastAsia"/>
        </w:rPr>
        <w:t>假设你看到一辆刹车坏了的有轨电车，即将撞上前方轨道上的五个人，而旁边的备用轨道上只有一个人，如果你什么都不做，五个人会被撞死。你手边有一个按钮，按下按钮，车会驶入备用轨道，只撞死一个人。你是否应该牺牲这一个人的生命而拯救另外五个人？</w:t>
      </w:r>
      <w:r w:rsidR="003E53A5" w:rsidRPr="00934DFD">
        <w:t xml:space="preserve"> </w:t>
      </w:r>
    </w:p>
    <w:p w:rsidR="00C25EF6" w:rsidRDefault="00231AC2" w:rsidP="00AC19D5">
      <w:r>
        <w:rPr>
          <w:rFonts w:hint="eastAsia"/>
        </w:rPr>
        <w:t>电车难题包括两种基本范式，一种是</w:t>
      </w:r>
      <w:r w:rsidR="00163750">
        <w:rPr>
          <w:rFonts w:hint="eastAsia"/>
        </w:rPr>
        <w:t>受测者</w:t>
      </w:r>
      <w:r w:rsidR="00F551D5">
        <w:rPr>
          <w:rFonts w:hint="eastAsia"/>
        </w:rPr>
        <w:t>扮演一个旁观者</w:t>
      </w:r>
      <w:sdt>
        <w:sdtPr>
          <w:rPr>
            <w:rFonts w:hint="eastAsia"/>
          </w:rPr>
          <w:id w:val="126982904"/>
          <w:citation/>
        </w:sdtPr>
        <w:sdtContent>
          <w:r w:rsidR="00FF4AD5">
            <w:fldChar w:fldCharType="begin"/>
          </w:r>
          <w:r w:rsidR="00FF4AD5">
            <w:instrText xml:space="preserve"> </w:instrText>
          </w:r>
          <w:r w:rsidR="00FF4AD5">
            <w:rPr>
              <w:rFonts w:hint="eastAsia"/>
            </w:rPr>
            <w:instrText>CITATION Jud85 \l 2052</w:instrText>
          </w:r>
          <w:r w:rsidR="00FF4AD5">
            <w:instrText xml:space="preserve"> </w:instrText>
          </w:r>
          <w:r w:rsidR="00FF4AD5">
            <w:fldChar w:fldCharType="separate"/>
          </w:r>
          <w:r w:rsidR="00FF4AD5">
            <w:rPr>
              <w:rFonts w:hint="eastAsia"/>
              <w:noProof/>
            </w:rPr>
            <w:t xml:space="preserve"> (Thomson, 1985)</w:t>
          </w:r>
          <w:r w:rsidR="00FF4AD5">
            <w:fldChar w:fldCharType="end"/>
          </w:r>
        </w:sdtContent>
      </w:sdt>
      <w:r w:rsidR="00F551D5">
        <w:rPr>
          <w:rFonts w:hint="eastAsia"/>
        </w:rPr>
        <w:t>，另一种是受测者扮演</w:t>
      </w:r>
      <w:r w:rsidR="00FF4AD5">
        <w:rPr>
          <w:rFonts w:hint="eastAsia"/>
        </w:rPr>
        <w:t>电车司机</w:t>
      </w:r>
      <w:sdt>
        <w:sdtPr>
          <w:rPr>
            <w:rFonts w:hint="eastAsia"/>
          </w:rPr>
          <w:id w:val="-2033263540"/>
          <w:citation/>
        </w:sdtPr>
        <w:sdtContent>
          <w:r w:rsidR="00FF4AD5">
            <w:fldChar w:fldCharType="begin"/>
          </w:r>
          <w:r w:rsidR="00FF4AD5">
            <w:instrText xml:space="preserve"> </w:instrText>
          </w:r>
          <w:r w:rsidR="00FF4AD5">
            <w:rPr>
              <w:rFonts w:hint="eastAsia"/>
            </w:rPr>
            <w:instrText>CITATION Phi67 \l 2052</w:instrText>
          </w:r>
          <w:r w:rsidR="00FF4AD5">
            <w:instrText xml:space="preserve"> </w:instrText>
          </w:r>
          <w:r w:rsidR="00FF4AD5">
            <w:fldChar w:fldCharType="separate"/>
          </w:r>
          <w:r w:rsidR="00FF4AD5">
            <w:rPr>
              <w:rFonts w:hint="eastAsia"/>
              <w:noProof/>
            </w:rPr>
            <w:t xml:space="preserve"> (Foot, 1967)</w:t>
          </w:r>
          <w:r w:rsidR="00FF4AD5">
            <w:fldChar w:fldCharType="end"/>
          </w:r>
        </w:sdtContent>
      </w:sdt>
      <w:r w:rsidR="00FF4AD5">
        <w:rPr>
          <w:rFonts w:hint="eastAsia"/>
        </w:rPr>
        <w:t>。两种范式各有其优点。第一种范式（旁观者）可以让受测者</w:t>
      </w:r>
      <w:r w:rsidR="00485F7F">
        <w:rPr>
          <w:rFonts w:hint="eastAsia"/>
        </w:rPr>
        <w:t>处于一个相对中立和疏离的态度，而不是身背电车司机的责任，想通过减少撞人的数量来保护电车不受损失</w:t>
      </w:r>
      <w:sdt>
        <w:sdtPr>
          <w:rPr>
            <w:rFonts w:hint="eastAsia"/>
          </w:rPr>
          <w:id w:val="-1728900905"/>
          <w:citation/>
        </w:sdtPr>
        <w:sdtContent>
          <w:r w:rsidR="00485F7F">
            <w:fldChar w:fldCharType="begin"/>
          </w:r>
          <w:r w:rsidR="00485F7F">
            <w:instrText xml:space="preserve"> </w:instrText>
          </w:r>
          <w:r w:rsidR="00485F7F">
            <w:rPr>
              <w:rFonts w:hint="eastAsia"/>
            </w:rPr>
            <w:instrText>CITATION Jud85 \l 2052</w:instrText>
          </w:r>
          <w:r w:rsidR="00485F7F">
            <w:instrText xml:space="preserve"> </w:instrText>
          </w:r>
          <w:r w:rsidR="00485F7F">
            <w:fldChar w:fldCharType="separate"/>
          </w:r>
          <w:r w:rsidR="00485F7F">
            <w:rPr>
              <w:rFonts w:hint="eastAsia"/>
              <w:noProof/>
            </w:rPr>
            <w:t xml:space="preserve"> (Thomson, 1985)</w:t>
          </w:r>
          <w:r w:rsidR="00485F7F">
            <w:fldChar w:fldCharType="end"/>
          </w:r>
        </w:sdtContent>
      </w:sdt>
      <w:r w:rsidR="00485F7F">
        <w:rPr>
          <w:rFonts w:hint="eastAsia"/>
        </w:rPr>
        <w:t>。而在第二种范式之中，受测者会有更强的情感体验，从而使这一理想实验拥有更强的</w:t>
      </w:r>
      <w:r w:rsidR="0036739C">
        <w:rPr>
          <w:rFonts w:hint="eastAsia"/>
        </w:rPr>
        <w:t>可靠性</w:t>
      </w:r>
      <w:sdt>
        <w:sdtPr>
          <w:rPr>
            <w:rFonts w:hint="eastAsia"/>
          </w:rPr>
          <w:id w:val="1911418960"/>
          <w:citation/>
        </w:sdtPr>
        <w:sdtContent>
          <w:r w:rsidR="00791929">
            <w:fldChar w:fldCharType="begin"/>
          </w:r>
          <w:r w:rsidR="00791929">
            <w:instrText xml:space="preserve">CITATION The \l 2052 </w:instrText>
          </w:r>
          <w:r w:rsidR="00791929">
            <w:fldChar w:fldCharType="separate"/>
          </w:r>
          <w:r w:rsidR="00791929">
            <w:rPr>
              <w:noProof/>
            </w:rPr>
            <w:t xml:space="preserve"> </w:t>
          </w:r>
          <w:r w:rsidR="00791929">
            <w:rPr>
              <w:rFonts w:hint="eastAsia"/>
              <w:noProof/>
            </w:rPr>
            <w:t>(Gold, Pulford, &amp; Colman, 2014)</w:t>
          </w:r>
          <w:r w:rsidR="00791929">
            <w:fldChar w:fldCharType="end"/>
          </w:r>
        </w:sdtContent>
      </w:sdt>
      <w:r w:rsidR="00485F7F">
        <w:rPr>
          <w:rFonts w:hint="eastAsia"/>
        </w:rPr>
        <w:t>。</w:t>
      </w:r>
    </w:p>
    <w:p w:rsidR="00CF2520" w:rsidRDefault="00B054E3" w:rsidP="00CF2520">
      <w:r>
        <w:rPr>
          <w:rFonts w:hint="eastAsia"/>
        </w:rPr>
        <w:t>道德决策</w:t>
      </w:r>
      <w:proofErr w:type="gramStart"/>
      <w:r>
        <w:rPr>
          <w:rFonts w:hint="eastAsia"/>
        </w:rPr>
        <w:t>双加工</w:t>
      </w:r>
      <w:proofErr w:type="gramEnd"/>
      <w:r>
        <w:rPr>
          <w:rFonts w:hint="eastAsia"/>
        </w:rPr>
        <w:t>模型</w:t>
      </w:r>
      <w:r w:rsidR="00CF2520">
        <w:rPr>
          <w:rFonts w:hint="eastAsia"/>
        </w:rPr>
        <w:t xml:space="preserve"> </w:t>
      </w:r>
      <w:r w:rsidR="00CF2520">
        <w:t>S</w:t>
      </w:r>
      <w:r w:rsidR="00CF2520">
        <w:rPr>
          <w:rFonts w:hint="eastAsia"/>
        </w:rPr>
        <w:t>un</w:t>
      </w:r>
      <w:r w:rsidR="00CF2520">
        <w:t xml:space="preserve"> </w:t>
      </w:r>
      <w:proofErr w:type="spellStart"/>
      <w:r w:rsidR="00CF2520">
        <w:rPr>
          <w:rFonts w:hint="eastAsia"/>
        </w:rPr>
        <w:t>ron</w:t>
      </w:r>
      <w:proofErr w:type="spellEnd"/>
      <w:r w:rsidR="00CF2520">
        <w:rPr>
          <w:rFonts w:hint="eastAsia"/>
        </w:rPr>
        <w:t>的研究</w:t>
      </w:r>
    </w:p>
    <w:p w:rsidR="00CF2520" w:rsidRDefault="00CF2520" w:rsidP="00AC19D5">
      <w:pPr>
        <w:rPr>
          <w:rFonts w:hint="eastAsia"/>
        </w:rPr>
      </w:pPr>
      <w:r>
        <w:rPr>
          <w:rFonts w:hint="eastAsia"/>
        </w:rPr>
        <w:t>传统的</w:t>
      </w:r>
      <w:bookmarkStart w:id="0" w:name="_GoBack"/>
      <w:bookmarkEnd w:id="0"/>
    </w:p>
    <w:p w:rsidR="00791929" w:rsidRDefault="00171D06" w:rsidP="00AC19D5">
      <w:proofErr w:type="spellStart"/>
      <w:r>
        <w:t>V</w:t>
      </w:r>
      <w:r>
        <w:rPr>
          <w:rFonts w:hint="eastAsia"/>
        </w:rPr>
        <w:t>r</w:t>
      </w:r>
      <w:proofErr w:type="spellEnd"/>
    </w:p>
    <w:p w:rsidR="007A7559" w:rsidRDefault="00EE4A9E" w:rsidP="00AC19D5">
      <w:r>
        <w:rPr>
          <w:rFonts w:hint="eastAsia"/>
        </w:rPr>
        <w:t>传统的电车难题是运用纸笔方式来施测，以获取被试的选择结果。现在，有</w:t>
      </w:r>
      <w:r w:rsidR="00F475B1">
        <w:rPr>
          <w:rFonts w:hint="eastAsia"/>
        </w:rPr>
        <w:t>学者运用虚拟现实技术来研究人在电车难题做出选择的影响因素。研究发现，当被试做出功利性决策（扳动摇杆，杀死1个人）时，会有更高的情感唤醒</w:t>
      </w:r>
      <w:sdt>
        <w:sdtPr>
          <w:rPr>
            <w:rFonts w:hint="eastAsia"/>
          </w:rPr>
          <w:id w:val="1804732106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CDa12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(C. David Navarrete, 2012)</w:t>
          </w:r>
          <w:r>
            <w:fldChar w:fldCharType="end"/>
          </w:r>
        </w:sdtContent>
      </w:sdt>
      <w:r w:rsidR="00F475B1">
        <w:rPr>
          <w:rFonts w:hint="eastAsia"/>
        </w:rPr>
        <w:t>。</w:t>
      </w:r>
      <w:r>
        <w:rPr>
          <w:rFonts w:hint="eastAsia"/>
        </w:rPr>
        <w:t>在这项研究中，研究者实时测量了被试的皮肤导电性</w:t>
      </w:r>
      <w:r w:rsidR="0036739C">
        <w:rPr>
          <w:rFonts w:hint="eastAsia"/>
        </w:rPr>
        <w:t>变化</w:t>
      </w:r>
      <w:r>
        <w:rPr>
          <w:rFonts w:hint="eastAsia"/>
        </w:rPr>
        <w:t>以衡量其情绪唤醒，这是传统的</w:t>
      </w:r>
      <w:r w:rsidR="0036739C">
        <w:rPr>
          <w:rFonts w:hint="eastAsia"/>
        </w:rPr>
        <w:t>纸笔测验无法做到的。总的来说，用虚拟现实技术进行电车问题研究，可以将纸币施策中的“道德判断”转换为被试的“道德行为”，使其</w:t>
      </w:r>
      <w:r w:rsidR="00CD4385">
        <w:rPr>
          <w:rFonts w:hint="eastAsia"/>
        </w:rPr>
        <w:t>具有更高的生态效度</w:t>
      </w:r>
      <w:sdt>
        <w:sdtPr>
          <w:rPr>
            <w:rFonts w:hint="eastAsia"/>
          </w:rPr>
          <w:id w:val="-1993249902"/>
          <w:citation/>
        </w:sdtPr>
        <w:sdtContent>
          <w:r w:rsidR="00CD4385">
            <w:fldChar w:fldCharType="begin"/>
          </w:r>
          <w:r w:rsidR="00CD4385">
            <w:instrText xml:space="preserve"> </w:instrText>
          </w:r>
          <w:r w:rsidR="00CD4385">
            <w:rPr>
              <w:rFonts w:hint="eastAsia"/>
            </w:rPr>
            <w:instrText>CITATION x \l 2052</w:instrText>
          </w:r>
          <w:r w:rsidR="00CD4385">
            <w:instrText xml:space="preserve"> </w:instrText>
          </w:r>
          <w:r w:rsidR="00CD4385">
            <w:fldChar w:fldCharType="separate"/>
          </w:r>
          <w:r w:rsidR="00CD4385">
            <w:rPr>
              <w:rFonts w:hint="eastAsia"/>
              <w:noProof/>
            </w:rPr>
            <w:t xml:space="preserve"> (Kathryn B. Francis, 2016)</w:t>
          </w:r>
          <w:r w:rsidR="00CD4385">
            <w:fldChar w:fldCharType="end"/>
          </w:r>
        </w:sdtContent>
      </w:sdt>
      <w:r w:rsidR="00CD4385">
        <w:rPr>
          <w:rFonts w:hint="eastAsia"/>
        </w:rPr>
        <w:t>。</w:t>
      </w:r>
      <w:r w:rsidR="00430DEA">
        <w:rPr>
          <w:rFonts w:hint="eastAsia"/>
        </w:rPr>
        <w:t>虚拟现实技术还能够调整实验中的各项指标，研究者通过调整VR</w:t>
      </w:r>
      <w:r w:rsidR="00D6612F">
        <w:rPr>
          <w:rFonts w:hint="eastAsia"/>
        </w:rPr>
        <w:t>电车</w:t>
      </w:r>
      <w:r w:rsidR="00430DEA">
        <w:rPr>
          <w:rFonts w:hint="eastAsia"/>
        </w:rPr>
        <w:t>实验中会被撞死的个体的性别，面部朝向，种族等指标，</w:t>
      </w:r>
      <w:r w:rsidR="00D6612F">
        <w:rPr>
          <w:rFonts w:hint="eastAsia"/>
        </w:rPr>
        <w:t>研究这些指标对个体做出选择的影响，这些</w:t>
      </w:r>
      <w:r w:rsidR="00044A01">
        <w:rPr>
          <w:rFonts w:hint="eastAsia"/>
        </w:rPr>
        <w:t>特殊处理也是传统的纸笔测验所无法做到的</w:t>
      </w:r>
      <w:sdt>
        <w:sdtPr>
          <w:rPr>
            <w:rFonts w:hint="eastAsia"/>
          </w:rPr>
          <w:id w:val="-689917426"/>
          <w:citation/>
        </w:sdtPr>
        <w:sdtContent>
          <w:r w:rsidR="00044A01">
            <w:fldChar w:fldCharType="begin"/>
          </w:r>
          <w:r w:rsidR="00044A01">
            <w:instrText xml:space="preserve"> </w:instrText>
          </w:r>
          <w:r w:rsidR="00044A01">
            <w:rPr>
              <w:rFonts w:hint="eastAsia"/>
            </w:rPr>
            <w:instrText>CITATION x1 \l 2052</w:instrText>
          </w:r>
          <w:r w:rsidR="00044A01">
            <w:instrText xml:space="preserve"> </w:instrText>
          </w:r>
          <w:r w:rsidR="00044A01">
            <w:fldChar w:fldCharType="separate"/>
          </w:r>
          <w:r w:rsidR="00044A01">
            <w:rPr>
              <w:rFonts w:hint="eastAsia"/>
              <w:noProof/>
            </w:rPr>
            <w:t xml:space="preserve"> (Alexander Skulmowski, 2014)</w:t>
          </w:r>
          <w:r w:rsidR="00044A01">
            <w:fldChar w:fldCharType="end"/>
          </w:r>
        </w:sdtContent>
      </w:sdt>
      <w:r w:rsidR="00044A01">
        <w:rPr>
          <w:rFonts w:hint="eastAsia"/>
        </w:rPr>
        <w:t>。</w:t>
      </w:r>
      <w:r w:rsidR="00B877EB">
        <w:rPr>
          <w:rFonts w:hint="eastAsia"/>
        </w:rPr>
        <w:t>而虚拟现实环境中，虽然</w:t>
      </w:r>
      <w:r w:rsidR="00BF3F6C">
        <w:rPr>
          <w:rFonts w:hint="eastAsia"/>
        </w:rPr>
        <w:t>呈现的人物模型并不是真实的人脸，但是还是可以给受测者足够的情绪刺激</w:t>
      </w:r>
      <w:sdt>
        <w:sdtPr>
          <w:rPr>
            <w:rFonts w:hint="eastAsia"/>
          </w:rPr>
          <w:id w:val="133068601"/>
          <w:citation/>
        </w:sdtPr>
        <w:sdtContent>
          <w:r w:rsidR="00BF3F6C">
            <w:fldChar w:fldCharType="begin"/>
          </w:r>
          <w:r w:rsidR="00BF3F6C">
            <w:instrText xml:space="preserve"> </w:instrText>
          </w:r>
          <w:r w:rsidR="00BF3F6C">
            <w:rPr>
              <w:rFonts w:hint="eastAsia"/>
            </w:rPr>
            <w:instrText>CITATION Xue11 \l 2052</w:instrText>
          </w:r>
          <w:r w:rsidR="00BF3F6C">
            <w:instrText xml:space="preserve"> </w:instrText>
          </w:r>
          <w:r w:rsidR="00BF3F6C">
            <w:fldChar w:fldCharType="separate"/>
          </w:r>
          <w:r w:rsidR="00BF3F6C">
            <w:rPr>
              <w:rFonts w:hint="eastAsia"/>
              <w:noProof/>
            </w:rPr>
            <w:t xml:space="preserve"> (Xueni Pan, 2011)</w:t>
          </w:r>
          <w:r w:rsidR="00BF3F6C">
            <w:fldChar w:fldCharType="end"/>
          </w:r>
        </w:sdtContent>
      </w:sdt>
      <w:r w:rsidR="00BF3F6C">
        <w:rPr>
          <w:rFonts w:hint="eastAsia"/>
        </w:rPr>
        <w:t>。</w:t>
      </w:r>
      <w:r w:rsidR="004C5138">
        <w:rPr>
          <w:rFonts w:hint="eastAsia"/>
        </w:rPr>
        <w:t>相对于</w:t>
      </w:r>
      <w:r w:rsidR="001A29E3">
        <w:rPr>
          <w:rFonts w:hint="eastAsia"/>
        </w:rPr>
        <w:t>传统的纸笔测验而言，虚拟现实场景下的电车难题测验可以给被试更强的情绪体验</w:t>
      </w:r>
      <w:sdt>
        <w:sdtPr>
          <w:rPr>
            <w:rFonts w:hint="eastAsia"/>
          </w:rPr>
          <w:id w:val="1751157305"/>
          <w:citation/>
        </w:sdtPr>
        <w:sdtContent>
          <w:r w:rsidR="001A29E3">
            <w:fldChar w:fldCharType="begin"/>
          </w:r>
          <w:r w:rsidR="001A29E3">
            <w:instrText xml:space="preserve"> </w:instrText>
          </w:r>
          <w:r w:rsidR="001A29E3">
            <w:rPr>
              <w:rFonts w:hint="eastAsia"/>
            </w:rPr>
            <w:instrText>CITATION Ind14 \l 2052</w:instrText>
          </w:r>
          <w:r w:rsidR="001A29E3">
            <w:instrText xml:space="preserve"> </w:instrText>
          </w:r>
          <w:r w:rsidR="001A29E3">
            <w:fldChar w:fldCharType="separate"/>
          </w:r>
          <w:r w:rsidR="001A29E3">
            <w:rPr>
              <w:rFonts w:hint="eastAsia"/>
              <w:noProof/>
            </w:rPr>
            <w:t xml:space="preserve"> (Indrajeet Patil, 2014)</w:t>
          </w:r>
          <w:r w:rsidR="001A29E3">
            <w:fldChar w:fldCharType="end"/>
          </w:r>
        </w:sdtContent>
      </w:sdt>
      <w:r w:rsidR="001A29E3">
        <w:rPr>
          <w:rFonts w:hint="eastAsia"/>
        </w:rPr>
        <w:t>。</w:t>
      </w:r>
    </w:p>
    <w:p w:rsidR="004818E2" w:rsidRDefault="004818E2" w:rsidP="00AC19D5">
      <w:pPr>
        <w:rPr>
          <w:rFonts w:hint="eastAsia"/>
        </w:rPr>
      </w:pPr>
      <w:r>
        <w:rPr>
          <w:rFonts w:hint="eastAsia"/>
        </w:rPr>
        <w:t>有个很重要的综述</w:t>
      </w:r>
    </w:p>
    <w:p w:rsidR="00171D06" w:rsidRDefault="00171D06" w:rsidP="00AC19D5">
      <w:r>
        <w:rPr>
          <w:rFonts w:hint="eastAsia"/>
        </w:rPr>
        <w:t>共情</w:t>
      </w:r>
    </w:p>
    <w:p w:rsidR="00B054E3" w:rsidRDefault="00B054E3" w:rsidP="00AC19D5">
      <w:pPr>
        <w:rPr>
          <w:rFonts w:ascii="Microsoft Sans Serif" w:hAnsi="Microsoft Sans Serif" w:cs="Microsoft Sans Serif"/>
          <w:color w:val="333333"/>
          <w:szCs w:val="21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zCs w:val="21"/>
          <w:shd w:val="clear" w:color="auto" w:fill="FFFFFF"/>
        </w:rPr>
        <w:t>道德相对主义</w:t>
      </w:r>
    </w:p>
    <w:p w:rsidR="00FF4AD5" w:rsidRDefault="00B054E3" w:rsidP="00FF4AD5">
      <w:r>
        <w:rPr>
          <w:rFonts w:ascii="Microsoft Sans Serif" w:hAnsi="Microsoft Sans Serif" w:cs="Microsoft Sans Serif"/>
          <w:color w:val="333333"/>
          <w:szCs w:val="21"/>
          <w:shd w:val="clear" w:color="auto" w:fill="FFFFFF"/>
        </w:rPr>
        <w:t>元认知</w:t>
      </w:r>
    </w:p>
    <w:p w:rsidR="00FF4AD5" w:rsidRPr="000E643B" w:rsidRDefault="00FF4AD5" w:rsidP="00AC19D5">
      <w:pPr>
        <w:rPr>
          <w:rFonts w:hint="eastAsia"/>
        </w:rPr>
      </w:pPr>
    </w:p>
    <w:sectPr w:rsidR="00FF4AD5" w:rsidRPr="000E6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9F0" w:rsidRDefault="008D49F0" w:rsidP="00934DFD">
      <w:r>
        <w:separator/>
      </w:r>
    </w:p>
  </w:endnote>
  <w:endnote w:type="continuationSeparator" w:id="0">
    <w:p w:rsidR="008D49F0" w:rsidRDefault="008D49F0" w:rsidP="00934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9F0" w:rsidRDefault="008D49F0" w:rsidP="00934DFD">
      <w:r>
        <w:separator/>
      </w:r>
    </w:p>
  </w:footnote>
  <w:footnote w:type="continuationSeparator" w:id="0">
    <w:p w:rsidR="008D49F0" w:rsidRDefault="008D49F0" w:rsidP="00934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117CD"/>
    <w:multiLevelType w:val="hybridMultilevel"/>
    <w:tmpl w:val="6D2488AA"/>
    <w:lvl w:ilvl="0" w:tplc="518262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3B"/>
    <w:rsid w:val="00044A01"/>
    <w:rsid w:val="000E643B"/>
    <w:rsid w:val="00163750"/>
    <w:rsid w:val="00171D06"/>
    <w:rsid w:val="0017607A"/>
    <w:rsid w:val="001A29E3"/>
    <w:rsid w:val="00231AC2"/>
    <w:rsid w:val="00261A26"/>
    <w:rsid w:val="00307EBF"/>
    <w:rsid w:val="0036739C"/>
    <w:rsid w:val="003E53A5"/>
    <w:rsid w:val="00406122"/>
    <w:rsid w:val="00430DEA"/>
    <w:rsid w:val="004818E2"/>
    <w:rsid w:val="00482BCC"/>
    <w:rsid w:val="00485F7F"/>
    <w:rsid w:val="004C5138"/>
    <w:rsid w:val="00762091"/>
    <w:rsid w:val="00791929"/>
    <w:rsid w:val="007A7559"/>
    <w:rsid w:val="008D49F0"/>
    <w:rsid w:val="00934DFD"/>
    <w:rsid w:val="00971419"/>
    <w:rsid w:val="00A434C1"/>
    <w:rsid w:val="00AC19D5"/>
    <w:rsid w:val="00B054E3"/>
    <w:rsid w:val="00B73ABF"/>
    <w:rsid w:val="00B877EB"/>
    <w:rsid w:val="00BF3F6C"/>
    <w:rsid w:val="00C25EF6"/>
    <w:rsid w:val="00C67545"/>
    <w:rsid w:val="00C91DBA"/>
    <w:rsid w:val="00CD4385"/>
    <w:rsid w:val="00CF2520"/>
    <w:rsid w:val="00D6612F"/>
    <w:rsid w:val="00EE4A9E"/>
    <w:rsid w:val="00F475B1"/>
    <w:rsid w:val="00F551D5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C890"/>
  <w15:chartTrackingRefBased/>
  <w15:docId w15:val="{E2954D3D-F731-4B91-85EF-9AE5A0E1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4AD5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43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34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4D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4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4D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4A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8">
    <w:name w:val="Bibliography"/>
    <w:basedOn w:val="a"/>
    <w:next w:val="a"/>
    <w:uiPriority w:val="37"/>
    <w:unhideWhenUsed/>
    <w:rsid w:val="00FF4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Jos03</b:Tag>
    <b:SourceType>ArticleInAPeriodical</b:SourceType>
    <b:Guid>{24E74640-43B1-4091-A4CE-31035E98A3D0}</b:Guid>
    <b:Author>
      <b:Author>
        <b:NameList>
          <b:Person>
            <b:Last>Greene</b:Last>
            <b:First>Joshua</b:First>
          </b:Person>
        </b:NameList>
      </b:Author>
    </b:Author>
    <b:Title>From neural ‘is’ to moral ‘ought’: what are the moral implications of neuroscientific moral psychology?</b:Title>
    <b:PeriodicalTitle>Nature reviews neuroscience</b:PeriodicalTitle>
    <b:Year>2003</b:Year>
    <b:Pages>846–850</b:Pages>
    <b:RefOrder>1</b:RefOrder>
  </b:Source>
  <b:Source>
    <b:Tag>Phi67</b:Tag>
    <b:SourceType>ArticleInAPeriodical</b:SourceType>
    <b:Guid>{FCA4760B-8F27-468A-A7B2-3E2E41C84255}</b:Guid>
    <b:Author>
      <b:Author>
        <b:NameList>
          <b:Person>
            <b:Last>Foot</b:Last>
            <b:First>Philippa</b:First>
          </b:Person>
        </b:NameList>
      </b:Author>
    </b:Author>
    <b:Title>The problem of abortion and the doctrine of double effect</b:Title>
    <b:PeriodicalTitle>Oxford Review</b:PeriodicalTitle>
    <b:Year>1967</b:Year>
    <b:RefOrder>2</b:RefOrder>
  </b:Source>
  <b:Source>
    <b:Tag>Jud85</b:Tag>
    <b:SourceType>ArticleInAPeriodical</b:SourceType>
    <b:Guid>{3F59BE0A-A2F3-406F-B322-EC7E8F55B9CF}</b:Guid>
    <b:Author>
      <b:Author>
        <b:NameList>
          <b:Person>
            <b:Last>Thomson</b:Last>
            <b:First>Judith</b:First>
            <b:Middle>Jarvis</b:Middle>
          </b:Person>
        </b:NameList>
      </b:Author>
    </b:Author>
    <b:Title>The Trolley Problem</b:Title>
    <b:PeriodicalTitle>Yale Law Journal</b:PeriodicalTitle>
    <b:Year>1985</b:Year>
    <b:RefOrder>3</b:RefOrder>
  </b:Source>
  <b:Source>
    <b:Tag>The</b:Tag>
    <b:SourceType>ArticleInAPeriodical</b:SourceType>
    <b:Guid>{057F61AE-6673-4B38-8C1B-49520E3D5E62}</b:Guid>
    <b:Title>The outlandish, the realistic, and the real: contextual manipulation and agent role effects in trolley problems</b:Title>
    <b:Author>
      <b:Author>
        <b:NameList>
          <b:Person>
            <b:Last>Gold</b:Last>
            <b:First>Natalie</b:First>
          </b:Person>
          <b:Person>
            <b:Last>Pulford</b:Last>
            <b:First>Briony</b:First>
          </b:Person>
          <b:Person>
            <b:Last>Colman</b:Last>
            <b:First>Andrew</b:First>
          </b:Person>
        </b:NameList>
      </b:Author>
    </b:Author>
    <b:PeriodicalTitle>Frontiers in psychology</b:PeriodicalTitle>
    <b:Year>2014</b:Year>
    <b:RefOrder>4</b:RefOrder>
  </b:Source>
  <b:Source>
    <b:Tag>CDa12</b:Tag>
    <b:SourceType>ArticleInAPeriodical</b:SourceType>
    <b:Guid>{E89FA029-3E29-4418-BE43-A2536FB5AACA}</b:Guid>
    <b:Author>
      <b:Author>
        <b:NameList>
          <b:Person>
            <b:Last>C. David Navarrete</b:Last>
            <b:First>Melissa</b:First>
            <b:Middle>M. McDonald, Michael L. Mott, Benjamin Asher</b:Middle>
          </b:Person>
        </b:NameList>
      </b:Author>
    </b:Author>
    <b:Title>Virtual Morality: Emotion and Action in a Simulated Three-Dimensional “Trolley Problem”</b:Title>
    <b:PeriodicalTitle>Emotion</b:PeriodicalTitle>
    <b:Year>2012</b:Year>
    <b:RefOrder>5</b:RefOrder>
  </b:Source>
  <b:Source>
    <b:Tag>x</b:Tag>
    <b:SourceType>ArticleInAPeriodical</b:SourceType>
    <b:Guid>{362B3F27-A416-4E7F-8209-BDB64BC87DF8}</b:Guid>
    <b:Author>
      <b:Author>
        <b:NameList>
          <b:Person>
            <b:Last>Kathryn B. Francis</b:Last>
            <b:First>Charles</b:First>
            <b:Middle>Howard, Ian S. Howard, Michaela Gummerum,</b:Middle>
          </b:Person>
        </b:NameList>
      </b:Author>
    </b:Author>
    <b:Title>Virtual Morality: Transitioning from Moral Judgment to Moral Action?</b:Title>
    <b:PeriodicalTitle>PloS one</b:PeriodicalTitle>
    <b:Year>2016</b:Year>
    <b:RefOrder>6</b:RefOrder>
  </b:Source>
  <b:Source>
    <b:Tag>x1</b:Tag>
    <b:SourceType>ArticleInAPeriodical</b:SourceType>
    <b:Guid>{CC70E07F-80F8-4BDD-8210-8845DE507EDA}</b:Guid>
    <b:Author>
      <b:Author>
        <b:NameList>
          <b:Person>
            <b:Last>Alexander Skulmowski</b:Last>
            <b:First>Andreas</b:First>
            <b:Middle>Bunge, Kai Kaspar, Gordon Pipa</b:Middle>
          </b:Person>
        </b:NameList>
      </b:Author>
    </b:Author>
    <b:Title>Forced-choice decision-making in modified trolley dilemma situations: a virtual reality and eye tracking study</b:Title>
    <b:PeriodicalTitle>Frontiers in behavioral neuroscience</b:PeriodicalTitle>
    <b:Year>2014</b:Year>
    <b:Month>12</b:Month>
    <b:Day>16</b:Day>
    <b:RefOrder>7</b:RefOrder>
  </b:Source>
  <b:Source>
    <b:Tag>Xue11</b:Tag>
    <b:SourceType>ConferenceProceedings</b:SourceType>
    <b:Guid>{52CDA3BB-DA9D-403F-A173-E9ADED94A8D0}</b:Guid>
    <b:Title>Confronting a moral dilemma in virtual reality: a pilot study</b:Title>
    <b:Year>2011</b:Year>
    <b:Author>
      <b:Author>
        <b:NameList>
          <b:Person>
            <b:Last>Xueni Pan</b:Last>
            <b:First>Mel</b:First>
            <b:Middle>Slater</b:Middle>
          </b:Person>
        </b:NameList>
      </b:Author>
    </b:Author>
    <b:ConferenceName>Proceedings of BCS-HCI '11 Proceedings of the 25th BCS Conference on Human-Computer Interaction</b:ConferenceName>
    <b:RefOrder>8</b:RefOrder>
  </b:Source>
  <b:Source>
    <b:Tag>Ind14</b:Tag>
    <b:SourceType>ArticleInAPeriodical</b:SourceType>
    <b:Guid>{61A76DD2-0784-4FCB-9E04-ABC09E7379BC}</b:Guid>
    <b:Author>
      <b:Author>
        <b:NameList>
          <b:Person>
            <b:Last>Indrajeet Patil</b:Last>
            <b:First>Carlotta</b:First>
            <b:Middle>Cogoni, Nicola Zangrando, Luca Chittaro, Giorgia Silani</b:Middle>
          </b:Person>
        </b:NameList>
      </b:Author>
    </b:Author>
    <b:Title>Affective basis of judgment-behavior discrepancy in virtual experiences of moral dilemmas</b:Title>
    <b:Pages>94-107</b:Pages>
    <b:Year>2014</b:Year>
    <b:PeriodicalTitle>Social Neuroscience</b:PeriodicalTitle>
    <b:RefOrder>9</b:RefOrder>
  </b:Source>
</b:Sources>
</file>

<file path=customXml/itemProps1.xml><?xml version="1.0" encoding="utf-8"?>
<ds:datastoreItem xmlns:ds="http://schemas.openxmlformats.org/officeDocument/2006/customXml" ds:itemID="{2543DB3C-60E7-4763-80B6-9EE4EDD5A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兆钦</dc:creator>
  <cp:keywords/>
  <dc:description/>
  <cp:lastModifiedBy>蔡 兆钦</cp:lastModifiedBy>
  <cp:revision>8</cp:revision>
  <dcterms:created xsi:type="dcterms:W3CDTF">2019-03-02T08:24:00Z</dcterms:created>
  <dcterms:modified xsi:type="dcterms:W3CDTF">2019-03-05T12:14:00Z</dcterms:modified>
</cp:coreProperties>
</file>