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CB3B" w14:textId="11D9023A" w:rsidR="000D43AF" w:rsidRDefault="00A3455D" w:rsidP="000D43A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proofErr w:type="spellStart"/>
      <w:r>
        <w:rPr>
          <w:rFonts w:ascii="Garamond" w:hAnsi="Garamond"/>
          <w:i/>
        </w:rPr>
        <w:t>Applied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Mathematics</w:t>
      </w:r>
      <w:proofErr w:type="spellEnd"/>
    </w:p>
    <w:p w14:paraId="32DD3F92" w14:textId="3D1B4459" w:rsidR="000D43AF" w:rsidRDefault="00A3455D" w:rsidP="000D43AF">
      <w:pPr>
        <w:pStyle w:val="Heading1"/>
        <w:jc w:val="center"/>
        <w:rPr>
          <w:rFonts w:ascii="Garamond" w:hAnsi="Garamond"/>
          <w:i/>
          <w:u w:val="single"/>
        </w:rPr>
      </w:pPr>
      <w:proofErr w:type="spellStart"/>
      <w:r>
        <w:rPr>
          <w:rFonts w:ascii="Garamond" w:hAnsi="Garamond"/>
          <w:i/>
        </w:rPr>
        <w:t>Seminar</w:t>
      </w:r>
      <w:proofErr w:type="spellEnd"/>
      <w:r>
        <w:rPr>
          <w:rFonts w:ascii="Garamond" w:hAnsi="Garamond"/>
          <w:i/>
        </w:rPr>
        <w:t xml:space="preserve"> 11</w:t>
      </w:r>
    </w:p>
    <w:p w14:paraId="6CDC9329" w14:textId="7E4E4DAB" w:rsidR="000E1359" w:rsidRPr="00160A91" w:rsidRDefault="00A3455D" w:rsidP="000E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Game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Theory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Nash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equilibrium</w:t>
      </w:r>
      <w:proofErr w:type="spellEnd"/>
    </w:p>
    <w:p w14:paraId="650684E7" w14:textId="2E64462D" w:rsidR="000D43AF" w:rsidRDefault="000D43AF" w:rsidP="00FF4761">
      <w:pPr>
        <w:jc w:val="center"/>
        <w:rPr>
          <w:b/>
          <w:sz w:val="32"/>
          <w:szCs w:val="32"/>
        </w:rPr>
      </w:pPr>
    </w:p>
    <w:p w14:paraId="4625793E" w14:textId="17DEDA4B" w:rsidR="00FF4761" w:rsidRPr="000D43AF" w:rsidRDefault="00A3455D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089533E3" wp14:editId="6E046EE5">
            <wp:simplePos x="0" y="0"/>
            <wp:positionH relativeFrom="margin">
              <wp:posOffset>3154045</wp:posOffset>
            </wp:positionH>
            <wp:positionV relativeFrom="paragraph">
              <wp:posOffset>8255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Competitive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game</w:t>
      </w:r>
    </w:p>
    <w:p w14:paraId="1CA94829" w14:textId="0CC2FB32" w:rsidR="00A3455D" w:rsidRPr="00A3455D" w:rsidRDefault="00A3455D" w:rsidP="00A345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universities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mastering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variants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(A, B, C)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mounting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past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>).</w:t>
      </w:r>
    </w:p>
    <w:p w14:paraId="6199B7B9" w14:textId="5987E2AF" w:rsidR="00A3455D" w:rsidRDefault="00A3455D" w:rsidP="00A345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55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differing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copper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foil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laminate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interchangeable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limited by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budgetary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willing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CZK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166EAF07" w14:textId="77777777" w:rsidR="00A3455D" w:rsidRPr="00A3455D" w:rsidRDefault="00A3455D" w:rsidP="00A345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decides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sales, but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has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rival.</w:t>
      </w:r>
    </w:p>
    <w:p w14:paraId="2F3D6082" w14:textId="7E0786BF" w:rsidR="00A3455D" w:rsidRPr="00A3455D" w:rsidRDefault="00A3455D" w:rsidP="00A345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</w:t>
      </w:r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budgetary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funds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CZK 1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>.</w:t>
      </w:r>
    </w:p>
    <w:p w14:paraId="3F92C1DF" w14:textId="60AC2135" w:rsidR="00A3455D" w:rsidRDefault="00A3455D" w:rsidP="00A345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any set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0.1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CZK.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line, and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0.4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CZK.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decides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build a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accounting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 xml:space="preserve"> are CZK 1 </w:t>
      </w:r>
      <w:proofErr w:type="spellStart"/>
      <w:r w:rsidRPr="00A3455D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A3455D">
        <w:rPr>
          <w:rFonts w:ascii="Times New Roman" w:hAnsi="Times New Roman" w:cs="Times New Roman"/>
          <w:sz w:val="24"/>
          <w:szCs w:val="24"/>
        </w:rPr>
        <w:t>.</w:t>
      </w:r>
    </w:p>
    <w:p w14:paraId="3442CD0B" w14:textId="3D54949D" w:rsidR="00043853" w:rsidRDefault="00DA0B0F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 w:rsidR="002D1D28" w:rsidRPr="002D1D28">
        <w:rPr>
          <w:rFonts w:ascii="Times New Roman" w:hAnsi="Times New Roman" w:cs="Times New Roman"/>
          <w:b/>
          <w:sz w:val="24"/>
          <w:szCs w:val="24"/>
        </w:rPr>
        <w:t>:</w:t>
      </w:r>
      <w:r w:rsidR="000438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D2F5FB" w14:textId="5C5B0E51" w:rsidR="00DA0B0F" w:rsidRPr="00395666" w:rsidRDefault="00395666" w:rsidP="003956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="00DA0B0F" w:rsidRPr="00395666">
        <w:rPr>
          <w:rFonts w:ascii="Times New Roman" w:hAnsi="Times New Roman" w:cs="Times New Roman"/>
          <w:bCs/>
          <w:sz w:val="24"/>
          <w:szCs w:val="24"/>
        </w:rPr>
        <w:t>Define</w:t>
      </w:r>
      <w:proofErr w:type="spellEnd"/>
      <w:r w:rsidR="00DA0B0F"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B0F" w:rsidRPr="00395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A0B0F" w:rsidRPr="00395666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="00DA0B0F" w:rsidRPr="00395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DA0B0F"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B0F" w:rsidRPr="00395666">
        <w:rPr>
          <w:rFonts w:ascii="Times New Roman" w:hAnsi="Times New Roman" w:cs="Times New Roman"/>
          <w:bCs/>
          <w:sz w:val="24"/>
          <w:szCs w:val="24"/>
        </w:rPr>
        <w:t>players</w:t>
      </w:r>
      <w:proofErr w:type="spellEnd"/>
      <w:r w:rsidR="00DA0B0F" w:rsidRPr="003956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335C5F" w14:textId="1BCE54F2" w:rsidR="00DA0B0F" w:rsidRPr="00395666" w:rsidRDefault="00DA0B0F" w:rsidP="003956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Determine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strategy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5666">
        <w:rPr>
          <w:rFonts w:ascii="Times New Roman" w:hAnsi="Times New Roman" w:cs="Times New Roman"/>
          <w:bCs/>
          <w:sz w:val="24"/>
          <w:szCs w:val="24"/>
        </w:rPr>
        <w:t>options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players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6B9F93" w14:textId="583DFBE7" w:rsidR="00DA0B0F" w:rsidRPr="00395666" w:rsidRDefault="00DA0B0F" w:rsidP="003956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3) Build a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pay</w:t>
      </w:r>
      <w:r w:rsidR="00395666">
        <w:rPr>
          <w:rFonts w:ascii="Times New Roman" w:hAnsi="Times New Roman" w:cs="Times New Roman"/>
          <w:bCs/>
          <w:sz w:val="24"/>
          <w:szCs w:val="24"/>
        </w:rPr>
        <w:t>off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matrix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player</w:t>
      </w:r>
      <w:proofErr w:type="spellEnd"/>
      <w:r w:rsidR="00395666">
        <w:rPr>
          <w:rFonts w:ascii="Times New Roman" w:hAnsi="Times New Roman" w:cs="Times New Roman"/>
          <w:bCs/>
          <w:sz w:val="24"/>
          <w:szCs w:val="24"/>
        </w:rPr>
        <w:t>;</w:t>
      </w:r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pay</w:t>
      </w:r>
      <w:r w:rsidR="00395666">
        <w:rPr>
          <w:rFonts w:ascii="Times New Roman" w:hAnsi="Times New Roman" w:cs="Times New Roman"/>
          <w:bCs/>
          <w:sz w:val="24"/>
          <w:szCs w:val="24"/>
        </w:rPr>
        <w:t>off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profit.</w:t>
      </w:r>
    </w:p>
    <w:p w14:paraId="15D595EF" w14:textId="4EC001CA" w:rsidR="00DA0B0F" w:rsidRPr="00395666" w:rsidRDefault="00DA0B0F" w:rsidP="003956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4)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Construct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9168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payoff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matrix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first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player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payoff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by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how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much more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payoff</w:t>
      </w:r>
      <w:proofErr w:type="spellEnd"/>
      <w:r w:rsidR="009168CA">
        <w:rPr>
          <w:rFonts w:ascii="Times New Roman" w:hAnsi="Times New Roman" w:cs="Times New Roman"/>
          <w:bCs/>
          <w:sz w:val="24"/>
          <w:szCs w:val="24"/>
        </w:rPr>
        <w:t xml:space="preserve"> he </w:t>
      </w:r>
      <w:proofErr w:type="spellStart"/>
      <w:r w:rsidR="009168CA">
        <w:rPr>
          <w:rFonts w:ascii="Times New Roman" w:hAnsi="Times New Roman" w:cs="Times New Roman"/>
          <w:bCs/>
          <w:sz w:val="24"/>
          <w:szCs w:val="24"/>
        </w:rPr>
        <w:t>makes</w:t>
      </w:r>
      <w:proofErr w:type="spellEnd"/>
    </w:p>
    <w:p w14:paraId="3DE5A8E6" w14:textId="77777777" w:rsidR="00DA0B0F" w:rsidRPr="00395666" w:rsidRDefault="00DA0B0F" w:rsidP="003956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5)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What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type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game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>?</w:t>
      </w:r>
    </w:p>
    <w:p w14:paraId="70D6198F" w14:textId="2E8D4670" w:rsidR="00DA0B0F" w:rsidRPr="00395666" w:rsidRDefault="00DA0B0F" w:rsidP="003956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6)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Find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and interpret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optimal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solution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4E80A4" w14:textId="77777777" w:rsidR="00D65936" w:rsidRDefault="00D65936" w:rsidP="006E6F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70D209" w14:textId="1D73E004" w:rsidR="00160A91" w:rsidRDefault="009168CA" w:rsidP="00E03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</w:t>
      </w:r>
    </w:p>
    <w:p w14:paraId="393FA33D" w14:textId="14A59FBE" w:rsidR="009168CA" w:rsidRDefault="009168CA" w:rsidP="00E03D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second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any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expansion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premises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has to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invest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to 1.5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CZK.</w:t>
      </w:r>
    </w:p>
    <w:p w14:paraId="35CA137D" w14:textId="77777777" w:rsidR="009168CA" w:rsidRDefault="009168CA" w:rsidP="00E03D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7AAC7" w14:textId="46A93C99" w:rsidR="009168CA" w:rsidRDefault="009168CA" w:rsidP="00E03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set</w:t>
      </w:r>
    </w:p>
    <w:p w14:paraId="146A65BD" w14:textId="77777777" w:rsidR="009168CA" w:rsidRDefault="009168CA" w:rsidP="00E03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A1EA5" w14:textId="070BA107" w:rsidR="009168CA" w:rsidRDefault="009168CA" w:rsidP="00E03D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plans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A, B, C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market in Slovakia, by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supplying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just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pair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deciding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has done market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competitor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A, B, C, 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C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supply</w:t>
      </w:r>
      <w:proofErr w:type="spellEnd"/>
      <w:proofErr w:type="gram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matrix (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168CA">
        <w:rPr>
          <w:rFonts w:ascii="Times New Roman" w:hAnsi="Times New Roman" w:cs="Times New Roman"/>
          <w:sz w:val="24"/>
          <w:szCs w:val="24"/>
        </w:rPr>
        <w:t xml:space="preserve"> profit):</w:t>
      </w:r>
    </w:p>
    <w:p w14:paraId="6079FC0A" w14:textId="77777777" w:rsidR="009168CA" w:rsidRDefault="009168CA" w:rsidP="00E03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1168"/>
        <w:gridCol w:w="898"/>
        <w:gridCol w:w="896"/>
        <w:gridCol w:w="913"/>
        <w:gridCol w:w="889"/>
        <w:gridCol w:w="906"/>
        <w:gridCol w:w="904"/>
      </w:tblGrid>
      <w:tr w:rsidR="009168CA" w:rsidRPr="00FD5CBB" w14:paraId="5653177A" w14:textId="77777777" w:rsidTr="00F13EB1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A8F42D" w14:textId="5555AD4D" w:rsidR="009168CA" w:rsidRPr="00FD5CBB" w:rsidRDefault="009168CA" w:rsidP="00F13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Strategies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Player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33B8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B1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FDB9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B2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80EB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B3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819F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B4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130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B5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F6503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B6</w:t>
            </w:r>
          </w:p>
        </w:tc>
      </w:tr>
      <w:tr w:rsidR="009168CA" w:rsidRPr="00FD5CBB" w14:paraId="4BF9602A" w14:textId="77777777" w:rsidTr="00F13EB1">
        <w:trPr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89908" w14:textId="54A0A572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Stra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tegies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Player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F75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A+B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F665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A+C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0D4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A+D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F170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B+C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2929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B+D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CCAB6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C+D</w:t>
            </w:r>
          </w:p>
        </w:tc>
      </w:tr>
      <w:tr w:rsidR="009168CA" w:rsidRPr="00FD5CBB" w14:paraId="36B6DAAD" w14:textId="77777777" w:rsidTr="00F13EB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B0001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BEA8D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A+B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E1F1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8F4E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5204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4383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CD56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6206E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-0,1</w:t>
            </w:r>
          </w:p>
        </w:tc>
      </w:tr>
      <w:tr w:rsidR="009168CA" w:rsidRPr="00FD5CBB" w14:paraId="6125EDAC" w14:textId="77777777" w:rsidTr="00F13E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FF9F6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2769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B+C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C733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EA7C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73A9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E15A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140F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85F8A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</w:tr>
      <w:tr w:rsidR="009168CA" w:rsidRPr="00FD5CBB" w14:paraId="13F33A60" w14:textId="77777777" w:rsidTr="00F13E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BD6B3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4421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A+C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7B2F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81B4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C91B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EE2C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CDE6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C812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</w:tr>
      <w:tr w:rsidR="009168CA" w:rsidRPr="00FD5CBB" w14:paraId="73AF4080" w14:textId="77777777" w:rsidTr="00F13E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33490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46149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Sada A+B+C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19CA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465B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E128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9C0A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03AD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4C7BC" w14:textId="77777777" w:rsidR="009168CA" w:rsidRPr="00FD5CBB" w:rsidRDefault="009168CA" w:rsidP="00F13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FD5CB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-0,3</w:t>
            </w:r>
          </w:p>
        </w:tc>
      </w:tr>
    </w:tbl>
    <w:p w14:paraId="680FAE92" w14:textId="77777777" w:rsidR="009168CA" w:rsidRPr="009168CA" w:rsidRDefault="009168CA" w:rsidP="00E03D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EB038" w14:textId="77777777" w:rsidR="009168CA" w:rsidRDefault="009168CA" w:rsidP="009168C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 w:rsidRPr="002D1D2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7B2A84" w14:textId="77777777" w:rsidR="009168CA" w:rsidRPr="00395666" w:rsidRDefault="009168CA" w:rsidP="009168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Define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players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AC48D" w14:textId="77777777" w:rsidR="009168CA" w:rsidRDefault="009168CA" w:rsidP="009168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5666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Determine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strategy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options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5666">
        <w:rPr>
          <w:rFonts w:ascii="Times New Roman" w:hAnsi="Times New Roman" w:cs="Times New Roman"/>
          <w:bCs/>
          <w:sz w:val="24"/>
          <w:szCs w:val="24"/>
        </w:rPr>
        <w:t>players</w:t>
      </w:r>
      <w:proofErr w:type="spellEnd"/>
      <w:r w:rsidRPr="003956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E0C9DC" w14:textId="4FF2E6D9" w:rsidR="009168CA" w:rsidRDefault="009168CA" w:rsidP="009168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3)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stragegies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solvable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mixed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)?</w:t>
      </w:r>
    </w:p>
    <w:p w14:paraId="6CFA330C" w14:textId="71EE4087" w:rsidR="009168CA" w:rsidRPr="00395666" w:rsidRDefault="009168CA" w:rsidP="009168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Construct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transformed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finding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optimal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solution</w:t>
      </w:r>
    </w:p>
    <w:p w14:paraId="35368B92" w14:textId="77777777" w:rsidR="00160A91" w:rsidRPr="002D1D28" w:rsidRDefault="00160A91" w:rsidP="00160A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60A91" w:rsidRPr="002D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8CAB" w14:textId="77777777" w:rsidR="00E4626D" w:rsidRDefault="00E4626D" w:rsidP="000D43AF">
      <w:pPr>
        <w:spacing w:after="0" w:line="240" w:lineRule="auto"/>
      </w:pPr>
      <w:r>
        <w:separator/>
      </w:r>
    </w:p>
  </w:endnote>
  <w:endnote w:type="continuationSeparator" w:id="0">
    <w:p w14:paraId="50976DD7" w14:textId="77777777" w:rsidR="00E4626D" w:rsidRDefault="00E4626D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A381" w14:textId="77777777" w:rsidR="00E4626D" w:rsidRDefault="00E4626D" w:rsidP="000D43AF">
      <w:pPr>
        <w:spacing w:after="0" w:line="240" w:lineRule="auto"/>
      </w:pPr>
      <w:r>
        <w:separator/>
      </w:r>
    </w:p>
  </w:footnote>
  <w:footnote w:type="continuationSeparator" w:id="0">
    <w:p w14:paraId="11A71664" w14:textId="77777777" w:rsidR="00E4626D" w:rsidRDefault="00E4626D" w:rsidP="000D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416B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053263">
    <w:abstractNumId w:val="3"/>
  </w:num>
  <w:num w:numId="2" w16cid:durableId="1495143498">
    <w:abstractNumId w:val="3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974209104">
    <w:abstractNumId w:val="1"/>
  </w:num>
  <w:num w:numId="4" w16cid:durableId="1726444818">
    <w:abstractNumId w:val="0"/>
  </w:num>
  <w:num w:numId="5" w16cid:durableId="51172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D43AF"/>
    <w:rsid w:val="000E1359"/>
    <w:rsid w:val="00160A91"/>
    <w:rsid w:val="001C7E4B"/>
    <w:rsid w:val="00215CE6"/>
    <w:rsid w:val="002C10FE"/>
    <w:rsid w:val="002C1269"/>
    <w:rsid w:val="002D1D28"/>
    <w:rsid w:val="00347DA6"/>
    <w:rsid w:val="00395666"/>
    <w:rsid w:val="003E5676"/>
    <w:rsid w:val="00455293"/>
    <w:rsid w:val="004C264C"/>
    <w:rsid w:val="004F742B"/>
    <w:rsid w:val="00517C67"/>
    <w:rsid w:val="005A33E1"/>
    <w:rsid w:val="005E7D6F"/>
    <w:rsid w:val="006D56DB"/>
    <w:rsid w:val="006E6FC3"/>
    <w:rsid w:val="00753355"/>
    <w:rsid w:val="007B5D3C"/>
    <w:rsid w:val="007C4707"/>
    <w:rsid w:val="00801A13"/>
    <w:rsid w:val="008177CA"/>
    <w:rsid w:val="008470EF"/>
    <w:rsid w:val="00884E61"/>
    <w:rsid w:val="009168CA"/>
    <w:rsid w:val="00987A22"/>
    <w:rsid w:val="009D03B7"/>
    <w:rsid w:val="00A3455D"/>
    <w:rsid w:val="00A56977"/>
    <w:rsid w:val="00B85558"/>
    <w:rsid w:val="00BA584A"/>
    <w:rsid w:val="00BF56A5"/>
    <w:rsid w:val="00D02696"/>
    <w:rsid w:val="00D1025A"/>
    <w:rsid w:val="00D45371"/>
    <w:rsid w:val="00D611F2"/>
    <w:rsid w:val="00D65936"/>
    <w:rsid w:val="00DA0B0F"/>
    <w:rsid w:val="00DF3369"/>
    <w:rsid w:val="00E03D6E"/>
    <w:rsid w:val="00E4626D"/>
    <w:rsid w:val="00E50022"/>
    <w:rsid w:val="00ED26E6"/>
    <w:rsid w:val="00EE34A5"/>
    <w:rsid w:val="00FD3F1B"/>
    <w:rsid w:val="00FF4761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4EFAD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3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9D52-2BBF-42EE-BF3A-8654B2F3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Petra Blahova</cp:lastModifiedBy>
  <cp:revision>6</cp:revision>
  <dcterms:created xsi:type="dcterms:W3CDTF">2022-12-01T20:40:00Z</dcterms:created>
  <dcterms:modified xsi:type="dcterms:W3CDTF">2023-12-07T04:55:00Z</dcterms:modified>
</cp:coreProperties>
</file>