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59BA" w14:textId="0F91E512" w:rsidR="000D43AF" w:rsidRDefault="00552F77" w:rsidP="000D43A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proofErr w:type="spellStart"/>
      <w:r>
        <w:rPr>
          <w:rFonts w:ascii="Garamond" w:hAnsi="Garamond"/>
          <w:i/>
        </w:rPr>
        <w:t>Applied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Mathematics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for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Informatics</w:t>
      </w:r>
      <w:proofErr w:type="spellEnd"/>
    </w:p>
    <w:p w14:paraId="02973766" w14:textId="55B6D837" w:rsidR="000D43AF" w:rsidRDefault="0010557A" w:rsidP="000D43AF">
      <w:pPr>
        <w:pStyle w:val="Heading1"/>
        <w:jc w:val="center"/>
        <w:rPr>
          <w:rFonts w:ascii="Garamond" w:hAnsi="Garamond"/>
          <w:i/>
          <w:u w:val="single"/>
        </w:rPr>
      </w:pPr>
      <w:r w:rsidRPr="000D43AF">
        <w:rPr>
          <w:noProof/>
        </w:rPr>
        <w:drawing>
          <wp:anchor distT="0" distB="0" distL="114300" distR="114300" simplePos="0" relativeHeight="251658240" behindDoc="0" locked="0" layoutInCell="1" allowOverlap="1" wp14:anchorId="63CCF6AD" wp14:editId="4F3F72A0">
            <wp:simplePos x="0" y="0"/>
            <wp:positionH relativeFrom="margin">
              <wp:posOffset>3133273</wp:posOffset>
            </wp:positionH>
            <wp:positionV relativeFrom="paragraph">
              <wp:posOffset>315708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2F77">
        <w:rPr>
          <w:rFonts w:ascii="Garamond" w:hAnsi="Garamond"/>
          <w:i/>
        </w:rPr>
        <w:t>Seminar</w:t>
      </w:r>
      <w:proofErr w:type="spellEnd"/>
      <w:r w:rsidR="00552F77">
        <w:rPr>
          <w:rFonts w:ascii="Garamond" w:hAnsi="Garamond"/>
          <w:i/>
        </w:rPr>
        <w:t xml:space="preserve"> 10</w:t>
      </w:r>
    </w:p>
    <w:p w14:paraId="15080F48" w14:textId="61706593" w:rsidR="00552F77" w:rsidRPr="003879B9" w:rsidRDefault="00552F77" w:rsidP="003879B9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MADM</w:t>
      </w:r>
    </w:p>
    <w:p w14:paraId="32A6157F" w14:textId="52D8604F" w:rsidR="00BF4982" w:rsidRPr="000D43AF" w:rsidRDefault="00BF4982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BF498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mastering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(A, B, C -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past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>).</w:t>
      </w:r>
    </w:p>
    <w:p w14:paraId="198322DC" w14:textId="5326F4A7" w:rsidR="00BF4982" w:rsidRDefault="00BF4982" w:rsidP="00FF47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has to make a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to cho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ose, and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market environment,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variants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revenues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speed,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defect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variants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F4982">
        <w:rPr>
          <w:rFonts w:ascii="Times New Roman" w:hAnsi="Times New Roman" w:cs="Times New Roman"/>
          <w:sz w:val="24"/>
          <w:szCs w:val="24"/>
        </w:rPr>
        <w:t xml:space="preserve"> table:</w:t>
      </w:r>
    </w:p>
    <w:tbl>
      <w:tblPr>
        <w:tblW w:w="87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488"/>
        <w:gridCol w:w="1208"/>
        <w:gridCol w:w="1733"/>
        <w:gridCol w:w="1701"/>
        <w:gridCol w:w="1461"/>
      </w:tblGrid>
      <w:tr w:rsidR="00552F77" w:rsidRPr="0094537D" w14:paraId="67002B35" w14:textId="77777777" w:rsidTr="00A20FD9">
        <w:trPr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5B48E6" w14:textId="77777777" w:rsidR="00A20FD9" w:rsidRPr="00A20FD9" w:rsidRDefault="00A20FD9" w:rsidP="00A20F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8992A" w14:textId="21787FA2" w:rsidR="00A20FD9" w:rsidRPr="00CB5ECA" w:rsidRDefault="00552F77" w:rsidP="00A20F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Cost</w:t>
            </w:r>
            <w:proofErr w:type="spellEnd"/>
            <w:r w:rsidR="00A20FD9" w:rsidRPr="00CB5ECA">
              <w:rPr>
                <w:b/>
                <w:sz w:val="20"/>
                <w:szCs w:val="20"/>
              </w:rPr>
              <w:t xml:space="preserve"> (Kč/</w:t>
            </w:r>
            <w:proofErr w:type="spellStart"/>
            <w:r>
              <w:rPr>
                <w:b/>
                <w:sz w:val="20"/>
                <w:szCs w:val="20"/>
              </w:rPr>
              <w:t>pc</w:t>
            </w:r>
            <w:proofErr w:type="spellEnd"/>
            <w:r w:rsidR="00A20FD9" w:rsidRPr="00CB5E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8B29B" w14:textId="5E9F8999" w:rsidR="00A20FD9" w:rsidRPr="00CB5ECA" w:rsidRDefault="00552F77" w:rsidP="00A20F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Revenues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A20FD9" w:rsidRPr="00CB5ECA">
              <w:rPr>
                <w:b/>
                <w:sz w:val="20"/>
                <w:szCs w:val="20"/>
              </w:rPr>
              <w:t>(Kč/</w:t>
            </w:r>
            <w:proofErr w:type="spellStart"/>
            <w:r>
              <w:rPr>
                <w:b/>
                <w:sz w:val="20"/>
                <w:szCs w:val="20"/>
              </w:rPr>
              <w:t>pc</w:t>
            </w:r>
            <w:proofErr w:type="spellEnd"/>
            <w:r w:rsidR="00A20FD9" w:rsidRPr="00CB5E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8AFB1" w14:textId="1FC90731" w:rsidR="00A20FD9" w:rsidRPr="00CB5ECA" w:rsidRDefault="00552F77" w:rsidP="00A20F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Average</w:t>
            </w:r>
            <w:proofErr w:type="spellEnd"/>
            <w:r>
              <w:rPr>
                <w:b/>
                <w:sz w:val="20"/>
                <w:szCs w:val="20"/>
              </w:rPr>
              <w:t xml:space="preserve"> speed </w:t>
            </w:r>
            <w:proofErr w:type="spellStart"/>
            <w:r>
              <w:rPr>
                <w:b/>
                <w:sz w:val="20"/>
                <w:szCs w:val="20"/>
              </w:rPr>
              <w:t>of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production</w:t>
            </w:r>
            <w:proofErr w:type="spellEnd"/>
            <w:r w:rsidR="00A20FD9" w:rsidRPr="00CB5ECA">
              <w:rPr>
                <w:b/>
                <w:sz w:val="20"/>
                <w:szCs w:val="20"/>
              </w:rPr>
              <w:t xml:space="preserve"> (min/</w:t>
            </w:r>
            <w:proofErr w:type="spellStart"/>
            <w:r>
              <w:rPr>
                <w:b/>
                <w:sz w:val="20"/>
                <w:szCs w:val="20"/>
              </w:rPr>
              <w:t>pc</w:t>
            </w:r>
            <w:proofErr w:type="spellEnd"/>
            <w:r w:rsidR="00A20FD9" w:rsidRPr="00CB5E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8C270" w14:textId="1062FEDC" w:rsidR="00A20FD9" w:rsidRPr="00CB5ECA" w:rsidRDefault="00552F77" w:rsidP="00A20F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Average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defects</w:t>
            </w:r>
            <w:proofErr w:type="spellEnd"/>
            <w:r w:rsidR="00A20FD9" w:rsidRPr="00CB5ECA"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E811D0" w14:textId="03F15191" w:rsidR="00A20FD9" w:rsidRPr="00CB5ECA" w:rsidRDefault="0010557A" w:rsidP="00A20F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Satisfaction</w:t>
            </w:r>
            <w:proofErr w:type="spellEnd"/>
          </w:p>
        </w:tc>
      </w:tr>
      <w:tr w:rsidR="006D5565" w:rsidRPr="0094537D" w14:paraId="6926FFFA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C867782" w14:textId="2B5CF495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3753E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59C26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4225C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72B58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6959F" w14:textId="67202DBC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</w:tc>
      </w:tr>
      <w:tr w:rsidR="006D5565" w:rsidRPr="0094537D" w14:paraId="1A644AAD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837068B" w14:textId="7AC274FB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2CB7B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4DE04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5F900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E3BA9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380E2" w14:textId="61EB533D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</w:tr>
      <w:tr w:rsidR="006D5565" w:rsidRPr="0094537D" w14:paraId="4B4FC21B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49189F8" w14:textId="2AAC343E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6AEA2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657E4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150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693E8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4E919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384D" w14:textId="44D9D3DB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</w:tr>
      <w:tr w:rsidR="006D5565" w:rsidRPr="0094537D" w14:paraId="7B948301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DD6615F" w14:textId="7761FFCD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>A+B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25201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0B7B2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3FE82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788B5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6C89" w14:textId="0F785E01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very </w:t>
            </w: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</w:tc>
      </w:tr>
      <w:tr w:rsidR="006D5565" w:rsidRPr="0094537D" w14:paraId="43B4204C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B72C942" w14:textId="7D4C868F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>B+C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13F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9D788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  <w:r w:rsidRPr="00A20FD9">
              <w:rPr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E80F5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5F6EB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E6CE4" w14:textId="7E4B91E0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</w:tc>
      </w:tr>
      <w:tr w:rsidR="006D5565" w:rsidRPr="0094537D" w14:paraId="1C5B4906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047E9A9" w14:textId="17AF2BD1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>A+C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BE15F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BF6C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A20FD9">
              <w:rPr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957C5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8E9A0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7566B" w14:textId="04EA5D0E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very </w:t>
            </w: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</w:tc>
      </w:tr>
      <w:tr w:rsidR="006D5565" w:rsidRPr="0094537D" w14:paraId="1686BEA2" w14:textId="77777777" w:rsidTr="00CF448A">
        <w:trPr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50D3235" w14:textId="76C2A8D7" w:rsidR="006D5565" w:rsidRPr="00CB5ECA" w:rsidRDefault="006D5565" w:rsidP="006D55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B5ECA">
              <w:rPr>
                <w:b/>
                <w:sz w:val="20"/>
                <w:szCs w:val="20"/>
              </w:rPr>
              <w:t>A+B+C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C22F4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59C52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5</w:t>
            </w:r>
            <w:r w:rsidRPr="00A20FD9">
              <w:rPr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AB9AC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1EB0F" w14:textId="77777777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0FD9">
              <w:rPr>
                <w:sz w:val="20"/>
                <w:szCs w:val="20"/>
              </w:rPr>
              <w:t>2,33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35453" w14:textId="65DB797A" w:rsidR="006D5565" w:rsidRPr="00A20FD9" w:rsidRDefault="006D5565" w:rsidP="006D55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very </w:t>
            </w:r>
            <w:proofErr w:type="spellStart"/>
            <w:r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</w:tc>
      </w:tr>
    </w:tbl>
    <w:p w14:paraId="4A4C1575" w14:textId="77777777" w:rsidR="0094537D" w:rsidRDefault="0094537D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B77FF" w14:textId="31A5470D" w:rsidR="00043853" w:rsidRDefault="0010557A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 w:rsidR="002D1D28" w:rsidRPr="002D1D28">
        <w:rPr>
          <w:rFonts w:ascii="Times New Roman" w:hAnsi="Times New Roman" w:cs="Times New Roman"/>
          <w:b/>
          <w:sz w:val="24"/>
          <w:szCs w:val="24"/>
        </w:rPr>
        <w:t>:</w:t>
      </w:r>
      <w:r w:rsidR="000438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A38090" w14:textId="1787DFB1" w:rsidR="00BF4982" w:rsidRDefault="00BF4982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DAD23B" w14:textId="77777777" w:rsidR="00BF4982" w:rsidRPr="00BF4982" w:rsidRDefault="00BF4982" w:rsidP="00BF49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Quantify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qualitative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assessments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BFE9E4" w14:textId="77777777" w:rsidR="00BF4982" w:rsidRPr="00BF4982" w:rsidRDefault="00BF4982" w:rsidP="00BF49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Determine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nature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criteria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7C9C1A" w14:textId="77777777" w:rsidR="00BF4982" w:rsidRPr="00BF4982" w:rsidRDefault="00BF4982" w:rsidP="00BF49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3)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Assess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dominance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individual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variants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D8E33" w14:textId="77777777" w:rsidR="00BF4982" w:rsidRPr="00BF4982" w:rsidRDefault="00BF4982" w:rsidP="00BF49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4)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Determine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weights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criteria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>:</w:t>
      </w:r>
    </w:p>
    <w:p w14:paraId="4CC524ED" w14:textId="4A8BF0DC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a. By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</w:p>
    <w:p w14:paraId="42266F3D" w14:textId="77777777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b. By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scoring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</w:p>
    <w:p w14:paraId="57865A84" w14:textId="77777777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c.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Pairwise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comparison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Fuller's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4B4E3F" w14:textId="77777777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d.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Saaty's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paired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comparisons</w:t>
      </w:r>
      <w:proofErr w:type="spellEnd"/>
    </w:p>
    <w:p w14:paraId="5C05ADFD" w14:textId="33189A6D" w:rsidR="00BF4982" w:rsidRPr="00BF4982" w:rsidRDefault="00BF4982" w:rsidP="00BF49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5)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Choose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compromise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alternative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>:</w:t>
      </w:r>
    </w:p>
    <w:p w14:paraId="60F09A5A" w14:textId="5B928864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a. By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standard</w:t>
      </w:r>
      <w:r w:rsidRPr="00BF4982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</w:p>
    <w:p w14:paraId="095E4790" w14:textId="77777777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b.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Scoring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weights</w:t>
      </w:r>
      <w:proofErr w:type="spellEnd"/>
    </w:p>
    <w:p w14:paraId="529D58CD" w14:textId="1C35404A" w:rsidR="00BF4982" w:rsidRPr="00BF4982" w:rsidRDefault="00BF4982" w:rsidP="00BF498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4982">
        <w:rPr>
          <w:rFonts w:ascii="Times New Roman" w:hAnsi="Times New Roman" w:cs="Times New Roman"/>
          <w:bCs/>
          <w:sz w:val="24"/>
          <w:szCs w:val="24"/>
        </w:rPr>
        <w:t xml:space="preserve">c. By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79B9">
        <w:rPr>
          <w:rFonts w:ascii="Times New Roman" w:hAnsi="Times New Roman" w:cs="Times New Roman"/>
          <w:bCs/>
          <w:sz w:val="24"/>
          <w:szCs w:val="24"/>
        </w:rPr>
        <w:t>simple</w:t>
      </w:r>
      <w:proofErr w:type="spellEnd"/>
      <w:r w:rsidR="003879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79B9">
        <w:rPr>
          <w:rFonts w:ascii="Times New Roman" w:hAnsi="Times New Roman" w:cs="Times New Roman"/>
          <w:bCs/>
          <w:sz w:val="24"/>
          <w:szCs w:val="24"/>
        </w:rPr>
        <w:t>additive</w:t>
      </w:r>
      <w:proofErr w:type="spellEnd"/>
      <w:r w:rsidR="003879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79B9">
        <w:rPr>
          <w:rFonts w:ascii="Times New Roman" w:hAnsi="Times New Roman" w:cs="Times New Roman"/>
          <w:bCs/>
          <w:sz w:val="24"/>
          <w:szCs w:val="24"/>
        </w:rPr>
        <w:t>weighting</w:t>
      </w:r>
      <w:proofErr w:type="spellEnd"/>
      <w:r w:rsidRPr="00BF49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982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</w:p>
    <w:p w14:paraId="0E629B98" w14:textId="77777777" w:rsidR="005E6A59" w:rsidRDefault="005E6A59" w:rsidP="005E6A59">
      <w:pPr>
        <w:rPr>
          <w:rFonts w:ascii="Times New Roman" w:hAnsi="Times New Roman" w:cs="Times New Roman"/>
          <w:sz w:val="24"/>
          <w:szCs w:val="24"/>
        </w:rPr>
      </w:pPr>
    </w:p>
    <w:p w14:paraId="77F7C81E" w14:textId="77777777" w:rsidR="005E6A59" w:rsidRPr="005E6A59" w:rsidRDefault="005E6A59" w:rsidP="005E6A59">
      <w:pPr>
        <w:rPr>
          <w:rFonts w:ascii="Times New Roman" w:hAnsi="Times New Roman" w:cs="Times New Roman"/>
          <w:sz w:val="24"/>
          <w:szCs w:val="24"/>
        </w:rPr>
      </w:pPr>
    </w:p>
    <w:p w14:paraId="2A3F91E6" w14:textId="77777777" w:rsidR="002D19D6" w:rsidRPr="00E522C4" w:rsidRDefault="002D19D6" w:rsidP="00E03D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19D6" w:rsidRPr="00E5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6386" w14:textId="77777777" w:rsidR="00640387" w:rsidRDefault="00640387" w:rsidP="000D43AF">
      <w:pPr>
        <w:spacing w:after="0" w:line="240" w:lineRule="auto"/>
      </w:pPr>
      <w:r>
        <w:separator/>
      </w:r>
    </w:p>
  </w:endnote>
  <w:endnote w:type="continuationSeparator" w:id="0">
    <w:p w14:paraId="64699397" w14:textId="77777777" w:rsidR="00640387" w:rsidRDefault="00640387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AB1E" w14:textId="77777777" w:rsidR="00640387" w:rsidRDefault="00640387" w:rsidP="000D43AF">
      <w:pPr>
        <w:spacing w:after="0" w:line="240" w:lineRule="auto"/>
      </w:pPr>
      <w:r>
        <w:separator/>
      </w:r>
    </w:p>
  </w:footnote>
  <w:footnote w:type="continuationSeparator" w:id="0">
    <w:p w14:paraId="42388E31" w14:textId="77777777" w:rsidR="00640387" w:rsidRDefault="00640387" w:rsidP="000D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85" w:hanging="360"/>
      </w:pPr>
    </w:lvl>
    <w:lvl w:ilvl="1" w:tplc="04050019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4FA6AFD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B416B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7576B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96A50"/>
    <w:multiLevelType w:val="hybridMultilevel"/>
    <w:tmpl w:val="B60EE6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77C75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826723">
    <w:abstractNumId w:val="7"/>
  </w:num>
  <w:num w:numId="2" w16cid:durableId="572543620">
    <w:abstractNumId w:val="7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214076196">
    <w:abstractNumId w:val="2"/>
  </w:num>
  <w:num w:numId="4" w16cid:durableId="1179810529">
    <w:abstractNumId w:val="0"/>
  </w:num>
  <w:num w:numId="5" w16cid:durableId="1498031244">
    <w:abstractNumId w:val="3"/>
  </w:num>
  <w:num w:numId="6" w16cid:durableId="1177110539">
    <w:abstractNumId w:val="6"/>
  </w:num>
  <w:num w:numId="7" w16cid:durableId="1582058147">
    <w:abstractNumId w:val="4"/>
  </w:num>
  <w:num w:numId="8" w16cid:durableId="882711891">
    <w:abstractNumId w:val="5"/>
  </w:num>
  <w:num w:numId="9" w16cid:durableId="1840806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C45FA"/>
    <w:rsid w:val="000D43AF"/>
    <w:rsid w:val="000E1359"/>
    <w:rsid w:val="0010557A"/>
    <w:rsid w:val="00145312"/>
    <w:rsid w:val="00160A91"/>
    <w:rsid w:val="001C69BF"/>
    <w:rsid w:val="001C7E4B"/>
    <w:rsid w:val="002022DD"/>
    <w:rsid w:val="00215CE6"/>
    <w:rsid w:val="002C10FE"/>
    <w:rsid w:val="002C1269"/>
    <w:rsid w:val="002D19D6"/>
    <w:rsid w:val="002D1D28"/>
    <w:rsid w:val="00303991"/>
    <w:rsid w:val="003221B1"/>
    <w:rsid w:val="00347DA6"/>
    <w:rsid w:val="00354407"/>
    <w:rsid w:val="003879B9"/>
    <w:rsid w:val="00391010"/>
    <w:rsid w:val="003E5676"/>
    <w:rsid w:val="00455293"/>
    <w:rsid w:val="004C264C"/>
    <w:rsid w:val="00517C67"/>
    <w:rsid w:val="00552F77"/>
    <w:rsid w:val="005A33E1"/>
    <w:rsid w:val="005B5A05"/>
    <w:rsid w:val="005D7031"/>
    <w:rsid w:val="005E6A59"/>
    <w:rsid w:val="005E7D6F"/>
    <w:rsid w:val="00640387"/>
    <w:rsid w:val="006C4C35"/>
    <w:rsid w:val="006D5565"/>
    <w:rsid w:val="006D56DB"/>
    <w:rsid w:val="006E6FC3"/>
    <w:rsid w:val="007106B2"/>
    <w:rsid w:val="00723DBF"/>
    <w:rsid w:val="00727802"/>
    <w:rsid w:val="00753355"/>
    <w:rsid w:val="007E11A9"/>
    <w:rsid w:val="008177CA"/>
    <w:rsid w:val="008470EF"/>
    <w:rsid w:val="00884E61"/>
    <w:rsid w:val="008C3BE6"/>
    <w:rsid w:val="00921BC6"/>
    <w:rsid w:val="0094537D"/>
    <w:rsid w:val="00971112"/>
    <w:rsid w:val="00987A22"/>
    <w:rsid w:val="009D03B7"/>
    <w:rsid w:val="00A20FD9"/>
    <w:rsid w:val="00A56977"/>
    <w:rsid w:val="00B33442"/>
    <w:rsid w:val="00B85558"/>
    <w:rsid w:val="00BA584A"/>
    <w:rsid w:val="00BD38DA"/>
    <w:rsid w:val="00BD79BD"/>
    <w:rsid w:val="00BF4982"/>
    <w:rsid w:val="00BF56A5"/>
    <w:rsid w:val="00CB5ECA"/>
    <w:rsid w:val="00D45371"/>
    <w:rsid w:val="00D611F2"/>
    <w:rsid w:val="00D6557D"/>
    <w:rsid w:val="00D9289C"/>
    <w:rsid w:val="00DF2158"/>
    <w:rsid w:val="00E03D6E"/>
    <w:rsid w:val="00E42CE0"/>
    <w:rsid w:val="00E47D22"/>
    <w:rsid w:val="00E50022"/>
    <w:rsid w:val="00E522C4"/>
    <w:rsid w:val="00ED26E6"/>
    <w:rsid w:val="00F676A6"/>
    <w:rsid w:val="00F8666D"/>
    <w:rsid w:val="00FD3F1B"/>
    <w:rsid w:val="00FD5CBB"/>
    <w:rsid w:val="00FF02CC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61B7B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3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43A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4537D"/>
    <w:pPr>
      <w:spacing w:after="120" w:line="480" w:lineRule="auto"/>
      <w:jc w:val="both"/>
    </w:pPr>
    <w:rPr>
      <w:rFonts w:ascii="Calibri" w:eastAsia="Calibri" w:hAnsi="Calibri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37D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DD975-17DA-45A9-B89A-0B264F8D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ČZU v Praze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Petra Blahova</cp:lastModifiedBy>
  <cp:revision>6</cp:revision>
  <dcterms:created xsi:type="dcterms:W3CDTF">2022-12-15T16:10:00Z</dcterms:created>
  <dcterms:modified xsi:type="dcterms:W3CDTF">2022-12-16T05:41:00Z</dcterms:modified>
</cp:coreProperties>
</file>