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 w:line="240" w:lineRule="auto"/>
        <w:widowControl w:val="0"/>
      </w:pPr>
      <w:r>
        <w:rPr>
          <w:rFonts w:ascii="Times New Roman" w:hAnsi="Times New Roman" w:eastAsia="Times New Roman"/>
          <w:b/>
          <w:sz w:val="40"/>
        </w:rPr>
        <w:t>Hojun Jeong</w:t>
      </w:r>
    </w:p>
    <w:p>
      <w:pPr>
        <w:spacing w:after="56" w:line="240" w:lineRule="auto"/>
        <w:widowControl w:val="0"/>
      </w:pPr>
      <w:hyperlink r:id="rId9">
        <w:r>
          <w:rPr>
            <w:rFonts w:ascii="Times New Roman" w:hAnsi="Times New Roman" w:eastAsia="Times New Roman"/>
            <w:sz w:val="19"/>
            <w:szCs w:val="19"/>
            <w:u w:val="none"/>
          </w:rPr>
          <w:t>wjdghwns12@gachon.ac.kr</w:t>
        </w:r>
      </w:hyperlink>
      <w:r>
        <w:rPr>
          <w:rFonts w:ascii="Times New Roman" w:hAnsi="Times New Roman" w:eastAsia="Times New Roman"/>
          <w:sz w:val="21"/>
        </w:rPr>
        <w:t xml:space="preserve">  |  </w:t>
      </w:r>
      <w:hyperlink r:id="rId10">
        <w:r>
          <w:rPr>
            <w:rFonts w:ascii="Times New Roman" w:hAnsi="Times New Roman" w:eastAsia="Times New Roman"/>
            <w:sz w:val="19"/>
            <w:szCs w:val="19"/>
            <w:u w:val="none"/>
          </w:rPr>
          <w:t>Personal Website</w:t>
        </w:r>
      </w:hyperlink>
      <w:r>
        <w:rPr>
          <w:rFonts w:ascii="Times New Roman" w:hAnsi="Times New Roman" w:eastAsia="Times New Roman"/>
          <w:sz w:val="21"/>
        </w:rPr>
        <w:t xml:space="preserve">  |  </w:t>
      </w:r>
      <w:hyperlink r:id="rId11">
        <w:r>
          <w:rPr>
            <w:rFonts w:ascii="Times New Roman" w:hAnsi="Times New Roman" w:eastAsia="Times New Roman"/>
            <w:sz w:val="19"/>
            <w:szCs w:val="19"/>
            <w:u w:val="none"/>
          </w:rPr>
          <w:t>GitHub</w:t>
        </w:r>
      </w:hyperlink>
    </w:p>
    <w:p>
      <w:pPr>
        <w:spacing w:before="110" w:after="44" w:line="240" w:lineRule="auto"/>
        <w:pBdr>
          <w:bottom w:val="single" w:sz="5" w:space="1" w:color="7F7F7F"/>
        </w:pBdr>
        <w:keepNext/>
        <w:widowControl w:val="0"/>
      </w:pPr>
      <w:r>
        <w:rPr>
          <w:rFonts w:ascii="Times New Roman" w:hAnsi="Times New Roman" w:eastAsia="Times New Roman"/>
          <w:b/>
          <w:sz w:val="23"/>
        </w:rPr>
        <w:t>RESEARCH INTERESTS</w:t>
      </w:r>
    </w:p>
    <w:p>
      <w:pPr>
        <w:spacing w:before="0" w:after="24" w:line="240" w:lineRule="auto"/>
        <w:widowControl w:val="0"/>
      </w:pPr>
      <w:r>
        <w:rPr>
          <w:rFonts w:ascii="Times New Roman" w:hAnsi="Times New Roman" w:eastAsia="Times New Roman"/>
          <w:sz w:val="21"/>
        </w:rPr>
        <w:t>Knowledge Editing; Sequential and Continual Learning; Catastrophic Forgetting; Post-Training Knowledge Dynamics; Representation Dynamics and Mechanistic Interpretability</w:t>
      </w:r>
    </w:p>
    <w:p>
      <w:pPr>
        <w:spacing w:before="110" w:after="44" w:line="240" w:lineRule="auto"/>
        <w:pBdr>
          <w:bottom w:val="single" w:sz="5" w:space="1" w:color="7F7F7F"/>
        </w:pBdr>
        <w:keepNext/>
        <w:widowControl w:val="0"/>
      </w:pPr>
      <w:r>
        <w:rPr>
          <w:rFonts w:ascii="Times New Roman" w:hAnsi="Times New Roman" w:eastAsia="Times New Roman"/>
          <w:b/>
          <w:sz w:val="23"/>
        </w:rP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232"/>
      </w:tblGrid>
      <w:tr>
        <w:tc>
          <w:tcPr>
            <w:tcW w:type="dxa" w:w="5141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keepNext/>
            </w:pPr>
            <w:r>
              <w:rPr>
                <w:rFonts w:ascii="Times New Roman" w:hAnsi="Times New Roman" w:eastAsia="Times New Roman"/>
                <w:b/>
                <w:sz w:val="21"/>
              </w:rPr>
              <w:t>Gachon University - M.S. in AI Software, Artificial Intelligence</w:t>
            </w:r>
          </w:p>
        </w:tc>
        <w:tc>
          <w:tcPr>
            <w:tcW w:type="dxa" w:w="5141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  <w:keepNext/>
            </w:pPr>
            <w:r>
              <w:rPr>
                <w:rFonts w:ascii="Times New Roman" w:hAnsi="Times New Roman" w:eastAsia="Times New Roman"/>
                <w:sz w:val="21"/>
              </w:rPr>
              <w:t>Mar. 2025 - Present</w:t>
            </w:r>
          </w:p>
        </w:tc>
      </w:tr>
    </w:tbl>
    <w:p>
      <w:pPr>
        <w:spacing w:before="0" w:after="6" w:line="240" w:lineRule="auto"/>
        <w:keepNext/>
        <w:widowControl w:val="0"/>
      </w:pPr>
      <w:r>
        <w:rPr>
          <w:rFonts w:ascii="Times New Roman" w:hAnsi="Times New Roman" w:eastAsia="Times New Roman"/>
          <w:i/>
          <w:sz w:val="21"/>
        </w:rPr>
        <w:t>Advisor: Prof. Sangwoo Kang</w:t>
      </w:r>
      <w:r>
        <w:rPr>
          <w:rFonts w:ascii="Times New Roman" w:hAnsi="Times New Roman" w:eastAsia="Times New Roman"/>
          <w:sz w:val="21"/>
        </w:rPr>
        <w:t xml:space="preserve">  |  GPA: 4.3 / 4.5</w:t>
      </w:r>
    </w:p>
    <w:p>
      <w:pPr>
        <w:spacing w:before="0" w:after="14" w:line="240" w:lineRule="auto"/>
        <w:ind w:left="230" w:hanging="187"/>
        <w:keepLines/>
        <w:widowControl w:val="0"/>
      </w:pPr>
      <w:r>
        <w:rPr>
          <w:rFonts w:ascii="Times New Roman" w:hAnsi="Times New Roman" w:eastAsia="Times New Roman"/>
          <w:sz w:val="21"/>
        </w:rPr>
        <w:t xml:space="preserve">• </w:t>
      </w:r>
      <w:r>
        <w:rPr>
          <w:rFonts w:ascii="Times New Roman" w:hAnsi="Times New Roman" w:eastAsia="Times New Roman"/>
          <w:b/>
          <w:sz w:val="21"/>
        </w:rPr>
        <w:t xml:space="preserve">Research Focus: </w:t>
      </w:r>
      <w:r>
        <w:rPr>
          <w:rFonts w:ascii="Times New Roman" w:hAnsi="Times New Roman" w:eastAsia="Times New Roman"/>
          <w:sz w:val="21"/>
        </w:rPr>
        <w:t>Knowledge Editing, Continual Learning, Catastrophic Forgetting, and Representation Dynamics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232"/>
      </w:tblGrid>
      <w:tr>
        <w:tc>
          <w:tcPr>
            <w:tcW w:type="dxa" w:w="5141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keepNext/>
            </w:pPr>
            <w:r>
              <w:rPr>
                <w:rFonts w:ascii="Times New Roman" w:hAnsi="Times New Roman" w:eastAsia="Times New Roman"/>
                <w:b/>
                <w:sz w:val="21"/>
              </w:rPr>
              <w:t>Gachon University - B.S. in AI Software, Artificial Intelligence</w:t>
            </w:r>
          </w:p>
        </w:tc>
        <w:tc>
          <w:tcPr>
            <w:tcW w:type="dxa" w:w="5141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  <w:keepNext/>
            </w:pPr>
            <w:r>
              <w:rPr>
                <w:rFonts w:ascii="Times New Roman" w:hAnsi="Times New Roman" w:eastAsia="Times New Roman"/>
                <w:sz w:val="21"/>
              </w:rPr>
              <w:t>Mar. 2023 - Feb. 2025</w:t>
            </w:r>
          </w:p>
        </w:tc>
      </w:tr>
    </w:tbl>
    <w:p>
      <w:pPr>
        <w:spacing w:before="0" w:after="6" w:line="240" w:lineRule="auto"/>
        <w:keepNext/>
        <w:widowControl w:val="0"/>
      </w:pPr>
      <w:r>
        <w:rPr>
          <w:rFonts w:ascii="Times New Roman" w:hAnsi="Times New Roman" w:eastAsia="Times New Roman"/>
          <w:i/>
          <w:sz w:val="21"/>
        </w:rPr>
        <w:t>GPA: 3.6 / 4.5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232"/>
      </w:tblGrid>
      <w:tr>
        <w:tc>
          <w:tcPr>
            <w:tcW w:type="dxa" w:w="5141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keepNext/>
            </w:pPr>
            <w:r>
              <w:rPr>
                <w:rFonts w:ascii="Times New Roman" w:hAnsi="Times New Roman" w:eastAsia="Times New Roman"/>
                <w:b/>
                <w:sz w:val="21"/>
              </w:rPr>
              <w:t>Dongguk University - Coursework in Computer Engineering</w:t>
            </w:r>
          </w:p>
        </w:tc>
        <w:tc>
          <w:tcPr>
            <w:tcW w:type="dxa" w:w="5141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  <w:keepNext/>
            </w:pPr>
            <w:r>
              <w:rPr>
                <w:rFonts w:ascii="Times New Roman" w:hAnsi="Times New Roman" w:eastAsia="Times New Roman"/>
                <w:sz w:val="21"/>
              </w:rPr>
              <w:t>Mar. 2018 - Feb. 2023</w:t>
            </w:r>
          </w:p>
        </w:tc>
      </w:tr>
    </w:tbl>
    <w:p>
      <w:pPr>
        <w:spacing w:before="0" w:after="6" w:line="240" w:lineRule="auto"/>
        <w:keepNext/>
        <w:widowControl w:val="0"/>
      </w:pPr>
      <w:r>
        <w:rPr>
          <w:rFonts w:ascii="Times New Roman" w:hAnsi="Times New Roman" w:eastAsia="Times New Roman"/>
          <w:i/>
          <w:sz w:val="21"/>
        </w:rPr>
        <w:t>Transferred to Gachon University</w:t>
      </w:r>
    </w:p>
    <w:p>
      <w:pPr>
        <w:spacing w:before="110" w:after="44" w:line="240" w:lineRule="auto"/>
        <w:pBdr>
          <w:bottom w:val="single" w:sz="5" w:space="1" w:color="7F7F7F"/>
        </w:pBdr>
        <w:keepNext/>
        <w:widowControl w:val="0"/>
      </w:pPr>
      <w:r>
        <w:rPr>
          <w:rFonts w:ascii="Times New Roman" w:hAnsi="Times New Roman" w:eastAsia="Times New Roman"/>
          <w:b/>
          <w:sz w:val="23"/>
        </w:rPr>
        <w:t>PUBLICATIONS</w:t>
      </w:r>
    </w:p>
    <w:p>
      <w:pPr>
        <w:spacing w:before="40" w:after="16" w:line="240" w:lineRule="auto"/>
        <w:keepNext/>
        <w:widowControl w:val="0"/>
      </w:pPr>
      <w:r>
        <w:rPr>
          <w:rFonts w:ascii="Times New Roman" w:hAnsi="Times New Roman" w:eastAsia="Times New Roman"/>
          <w:b/>
          <w:i/>
          <w:sz w:val="21"/>
        </w:rPr>
        <w:t>Manuscript Under Review</w:t>
      </w:r>
    </w:p>
    <w:p>
      <w:pPr>
        <w:spacing w:before="0" w:after="6" w:line="240" w:lineRule="auto"/>
        <w:widowControl w:val="0"/>
      </w:pPr>
      <w:r>
        <w:rPr>
          <w:rFonts w:ascii="Times New Roman" w:hAnsi="Times New Roman" w:eastAsia="Times New Roman"/>
          <w:b/>
          <w:sz w:val="21"/>
        </w:rPr>
        <w:t>*Hojun Jeong</w:t>
      </w:r>
      <w:r>
        <w:rPr>
          <w:rFonts w:ascii="Times New Roman" w:hAnsi="Times New Roman" w:eastAsia="Times New Roman"/>
          <w:sz w:val="21"/>
        </w:rPr>
        <w:t>, *Gyunyeon Kim, and Sangwoo Kang. “</w:t>
      </w:r>
      <w:r>
        <w:rPr>
          <w:rFonts w:ascii="Times New Roman" w:hAnsi="Times New Roman" w:eastAsia="Times New Roman"/>
          <w:b/>
          <w:sz w:val="21"/>
        </w:rPr>
        <w:t>Target-Token Prior as a Predictor of Forgetting in Fine-Tuning-Based Knowledge Editing</w:t>
      </w:r>
      <w:r>
        <w:rPr>
          <w:rFonts w:ascii="Times New Roman" w:hAnsi="Times New Roman" w:eastAsia="Times New Roman"/>
          <w:sz w:val="21"/>
        </w:rPr>
        <w:t>.” ACL Rolling Review, May 2026 cycle. Under review.</w:t>
      </w:r>
    </w:p>
    <w:p>
      <w:pPr>
        <w:spacing w:before="40" w:after="16" w:line="240" w:lineRule="auto"/>
        <w:keepNext/>
        <w:widowControl w:val="0"/>
      </w:pPr>
      <w:r>
        <w:rPr>
          <w:rFonts w:ascii="Times New Roman" w:hAnsi="Times New Roman" w:eastAsia="Times New Roman"/>
          <w:b/>
          <w:i/>
          <w:sz w:val="21"/>
        </w:rPr>
        <w:t>Conference Proceedings</w:t>
      </w:r>
    </w:p>
    <w:p>
      <w:pPr>
        <w:spacing w:before="0" w:after="14" w:line="240" w:lineRule="auto"/>
        <w:widowControl w:val="0"/>
      </w:pPr>
      <w:r>
        <w:rPr>
          <w:rFonts w:ascii="Times New Roman" w:hAnsi="Times New Roman" w:eastAsia="Times New Roman"/>
          <w:b/>
          <w:sz w:val="21"/>
        </w:rPr>
        <w:t>*Hojun Jeong</w:t>
      </w:r>
      <w:r>
        <w:rPr>
          <w:rFonts w:ascii="Times New Roman" w:hAnsi="Times New Roman" w:eastAsia="Times New Roman"/>
          <w:sz w:val="21"/>
        </w:rPr>
        <w:t>, *Gyunyeon Kim, and Sangwoo Kang. “</w:t>
      </w:r>
      <w:r>
        <w:rPr>
          <w:rFonts w:ascii="Times New Roman" w:hAnsi="Times New Roman" w:eastAsia="Times New Roman"/>
          <w:b/>
          <w:sz w:val="21"/>
        </w:rPr>
        <w:t>KLOD: Locality-Preserving Knowledge Editing via Non-Target Distribution Preservation</w:t>
      </w:r>
      <w:r>
        <w:rPr>
          <w:rFonts w:ascii="Times New Roman" w:hAnsi="Times New Roman" w:eastAsia="Times New Roman"/>
          <w:sz w:val="21"/>
        </w:rPr>
        <w:t>.” Findings of the Association for Computational Linguistics: EMNLP 2026. To appear.</w:t>
      </w:r>
    </w:p>
    <w:p>
      <w:pPr>
        <w:spacing w:before="0" w:after="16" w:line="240" w:lineRule="auto"/>
        <w:ind w:left="173"/>
        <w:widowControl w:val="0"/>
      </w:pPr>
      <w:r>
        <w:rPr>
          <w:rFonts w:ascii="Times New Roman" w:hAnsi="Times New Roman" w:eastAsia="Times New Roman"/>
          <w:i/>
          <w:sz w:val="21"/>
        </w:rPr>
        <w:t>* Equal contribution.</w:t>
      </w:r>
    </w:p>
    <w:p>
      <w:pPr>
        <w:spacing w:before="0" w:after="12" w:line="240" w:lineRule="auto"/>
        <w:widowControl w:val="0"/>
      </w:pPr>
      <w:r>
        <w:rPr>
          <w:rFonts w:ascii="Times New Roman" w:hAnsi="Times New Roman" w:eastAsia="Times New Roman"/>
          <w:b/>
          <w:sz w:val="21"/>
        </w:rPr>
        <w:t>Hojun Jeong</w:t>
      </w:r>
      <w:r>
        <w:rPr>
          <w:rFonts w:ascii="Times New Roman" w:hAnsi="Times New Roman" w:eastAsia="Times New Roman"/>
          <w:sz w:val="21"/>
        </w:rPr>
        <w:t xml:space="preserve"> and Sangwoo Kang. “</w:t>
      </w:r>
      <w:r>
        <w:rPr>
          <w:rFonts w:ascii="Times New Roman" w:hAnsi="Times New Roman" w:eastAsia="Times New Roman"/>
          <w:b/>
          <w:sz w:val="21"/>
        </w:rPr>
        <w:t>A Verify-Refine Hybrid for Dialogue Summarization with Topic Segmentation and Keypoint Coverage</w:t>
      </w:r>
      <w:r>
        <w:rPr>
          <w:rFonts w:ascii="Times New Roman" w:hAnsi="Times New Roman" w:eastAsia="Times New Roman"/>
          <w:sz w:val="21"/>
        </w:rPr>
        <w:t xml:space="preserve">.” In Proceedings of the 37th Annual Conference on Human and Language Technology (HCLT 2025), pp. 359-364, October 2025. </w:t>
      </w:r>
      <w:r>
        <w:rPr>
          <w:rFonts w:ascii="Times New Roman" w:hAnsi="Times New Roman" w:eastAsia="Times New Roman"/>
          <w:i/>
          <w:sz w:val="21"/>
        </w:rPr>
        <w:t>[Paper in Korean]</w:t>
      </w:r>
    </w:p>
    <w:p>
      <w:pPr>
        <w:spacing w:before="0" w:after="12" w:line="240" w:lineRule="auto"/>
        <w:widowControl w:val="0"/>
      </w:pPr>
      <w:r>
        <w:rPr>
          <w:rFonts w:ascii="Times New Roman" w:hAnsi="Times New Roman" w:eastAsia="Times New Roman"/>
          <w:b/>
          <w:sz w:val="21"/>
        </w:rPr>
        <w:t>Hojun Jeong</w:t>
      </w:r>
      <w:r>
        <w:rPr>
          <w:rFonts w:ascii="Times New Roman" w:hAnsi="Times New Roman" w:eastAsia="Times New Roman"/>
          <w:sz w:val="21"/>
        </w:rPr>
        <w:t xml:space="preserve"> and Sangwoo Kang. “</w:t>
      </w:r>
      <w:r>
        <w:rPr>
          <w:rFonts w:ascii="Times New Roman" w:hAnsi="Times New Roman" w:eastAsia="Times New Roman"/>
          <w:b/>
          <w:sz w:val="21"/>
        </w:rPr>
        <w:t>Structured Zero-Shot Prompts through Rule-Based Intent Analysis for Dialogue Summarization</w:t>
      </w:r>
      <w:r>
        <w:rPr>
          <w:rFonts w:ascii="Times New Roman" w:hAnsi="Times New Roman" w:eastAsia="Times New Roman"/>
          <w:sz w:val="21"/>
        </w:rPr>
        <w:t xml:space="preserve">.” In Proceedings of the Korea Computer Congress (KCC 2025), July 2025. </w:t>
      </w:r>
      <w:r>
        <w:rPr>
          <w:rFonts w:ascii="Times New Roman" w:hAnsi="Times New Roman" w:eastAsia="Times New Roman"/>
          <w:i/>
          <w:sz w:val="21"/>
        </w:rPr>
        <w:t>[Paper in Korean]</w:t>
      </w:r>
    </w:p>
    <w:p>
      <w:pPr>
        <w:spacing w:before="110" w:after="44" w:line="240" w:lineRule="auto"/>
        <w:pBdr>
          <w:bottom w:val="single" w:sz="5" w:space="1" w:color="7F7F7F"/>
        </w:pBdr>
        <w:keepNext/>
        <w:widowControl w:val="0"/>
      </w:pPr>
      <w:r>
        <w:rPr>
          <w:rFonts w:ascii="Times New Roman" w:hAnsi="Times New Roman" w:eastAsia="Times New Roman"/>
          <w:b/>
          <w:sz w:val="23"/>
        </w:rPr>
        <w:t>RESEARCH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232"/>
      </w:tblGrid>
      <w:tr>
        <w:tc>
          <w:tcPr>
            <w:tcW w:type="dxa" w:w="5141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keepNext/>
            </w:pPr>
            <w:r>
              <w:rPr>
                <w:rFonts w:ascii="Times New Roman" w:hAnsi="Times New Roman" w:eastAsia="Times New Roman"/>
                <w:b/>
                <w:sz w:val="21"/>
              </w:rPr>
              <w:t>Graduate Research Student, NLP / AI Lab, Gachon University</w:t>
            </w:r>
          </w:p>
        </w:tc>
        <w:tc>
          <w:tcPr>
            <w:tcW w:type="dxa" w:w="5141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  <w:keepNext/>
            </w:pPr>
            <w:r>
              <w:rPr>
                <w:rFonts w:ascii="Times New Roman" w:hAnsi="Times New Roman" w:eastAsia="Times New Roman"/>
                <w:sz w:val="21"/>
              </w:rPr>
              <w:t>Mar. 2025 - Present</w:t>
            </w:r>
          </w:p>
        </w:tc>
      </w:tr>
    </w:tbl>
    <w:p>
      <w:pPr>
        <w:spacing w:before="0" w:after="6" w:line="240" w:lineRule="auto"/>
        <w:keepNext/>
        <w:widowControl w:val="0"/>
      </w:pPr>
      <w:r>
        <w:rPr>
          <w:rFonts w:ascii="Times New Roman" w:hAnsi="Times New Roman" w:eastAsia="Times New Roman"/>
          <w:i/>
          <w:sz w:val="21"/>
        </w:rPr>
        <w:t>Advisor: Prof. Sangwoo Kang</w:t>
      </w:r>
    </w:p>
    <w:p>
      <w:pPr>
        <w:spacing w:before="0" w:after="8" w:line="240" w:lineRule="auto"/>
        <w:widowControl w:val="0"/>
      </w:pPr>
      <w:r>
        <w:rPr>
          <w:rFonts w:ascii="Times New Roman" w:hAnsi="Times New Roman" w:eastAsia="Times New Roman"/>
          <w:b/>
          <w:sz w:val="21"/>
        </w:rPr>
        <w:t>KLOD: Locality-Preserving Knowledge Editing via Non-Target Distribution Preservation</w:t>
      </w:r>
    </w:p>
    <w:p>
      <w:pPr>
        <w:spacing w:before="0" w:after="10" w:line="240" w:lineRule="auto"/>
        <w:ind w:left="230" w:hanging="187"/>
        <w:keepLines/>
        <w:widowControl w:val="0"/>
      </w:pPr>
      <w:r>
        <w:rPr>
          <w:rFonts w:ascii="Times New Roman" w:hAnsi="Times New Roman" w:eastAsia="Times New Roman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>Identified an objective-level mismatch in standard cross-entropy editing: target probability can increase while non-target token distributions drift, causing accumulated locality degradation under sequential updates.</w:t>
      </w:r>
    </w:p>
    <w:p>
      <w:pPr>
        <w:spacing w:before="0" w:after="10" w:line="240" w:lineRule="auto"/>
        <w:ind w:left="230" w:hanging="187"/>
        <w:keepLines/>
        <w:widowControl w:val="0"/>
      </w:pPr>
      <w:r>
        <w:rPr>
          <w:rFonts w:ascii="Times New Roman" w:hAnsi="Times New Roman" w:eastAsia="Times New Roman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>Proposed KLOD, combining bounded target logit-odds optimization with KL preservation of the target-excluded non-target distribution and the full next-token distribution at prefix positions.</w:t>
      </w:r>
    </w:p>
    <w:p>
      <w:pPr>
        <w:spacing w:before="0" w:after="10" w:line="240" w:lineRule="auto"/>
        <w:ind w:left="230" w:hanging="187"/>
        <w:keepLines/>
        <w:widowControl w:val="0"/>
      </w:pPr>
      <w:r>
        <w:rPr>
          <w:rFonts w:ascii="Times New Roman" w:hAnsi="Times New Roman" w:eastAsia="Times New Roman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>Led method development, implementation, baseline selection, experimental design, and ablation studies across two backbones and two benchmarks, including 3,000-edit sequential protocols and scaling experiments up to 150,000 edits.</w:t>
      </w:r>
    </w:p>
    <w:p>
      <w:pPr>
        <w:spacing w:before="0" w:line="240" w:lineRule="auto"/>
        <w:ind w:left="230" w:hanging="187"/>
        <w:keepLines/>
        <w:widowControl w:val="0"/>
      </w:pPr>
      <w:r>
        <w:rPr>
          <w:rFonts w:ascii="Times New Roman" w:hAnsi="Times New Roman" w:eastAsia="Times New Roman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 xml:space="preserve">On LLaMA3-8B-Instruct/CounterFact, improved Locality from </w:t>
      </w:r>
      <w:r>
        <w:rPr>
          <w:rFonts w:ascii="Times New Roman" w:hAnsi="Times New Roman" w:eastAsia="Times New Roman"/>
          <w:b/>
          <w:sz w:val="21"/>
        </w:rPr>
        <w:t>1.87 to 44.75</w:t>
      </w:r>
      <w:r>
        <w:rPr>
          <w:rFonts w:ascii="Times New Roman" w:hAnsi="Times New Roman" w:eastAsia="Times New Roman"/>
          <w:sz w:val="21"/>
        </w:rPr>
        <w:t xml:space="preserve"> while maintaining </w:t>
      </w:r>
      <w:r>
        <w:rPr>
          <w:rFonts w:ascii="Times New Roman" w:hAnsi="Times New Roman" w:eastAsia="Times New Roman"/>
          <w:b/>
          <w:sz w:val="21"/>
        </w:rPr>
        <w:t>99.70 Reliability</w:t>
      </w:r>
      <w:r>
        <w:rPr>
          <w:rFonts w:ascii="Times New Roman" w:hAnsi="Times New Roman" w:eastAsia="Times New Roman"/>
          <w:sz w:val="21"/>
        </w:rPr>
        <w:t>; on ZsRE, achieved 86.47 Locality with 99.89 Reliability. Distribution-KL analyses identified target-excluded non-target preservation as the main source of locality gains.</w:t>
      </w:r>
    </w:p>
    <w:p>
      <w:pPr>
        <w:spacing w:before="0" w:after="8" w:line="240" w:lineRule="auto"/>
        <w:widowControl w:val="0"/>
      </w:pPr>
      <w:r>
        <w:rPr>
          <w:rFonts w:ascii="Times New Roman" w:hAnsi="Times New Roman" w:eastAsia="Times New Roman"/>
          <w:b/>
          <w:sz w:val="21"/>
        </w:rPr>
        <w:t>Target-Token Prior as a Predictor of Forgetting in Fine-Tuning-Based Knowledge Editing</w:t>
      </w:r>
    </w:p>
    <w:p>
      <w:pPr>
        <w:spacing w:before="0" w:after="10" w:line="240" w:lineRule="auto"/>
        <w:ind w:left="230" w:hanging="187"/>
        <w:keepLines/>
        <w:widowControl w:val="0"/>
      </w:pPr>
      <w:r>
        <w:rPr>
          <w:rFonts w:ascii="Times New Roman" w:hAnsi="Times New Roman" w:eastAsia="Times New Roman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>Extended an initial diagnostic observation into a controlled synthetic biography study with 50,000 pre-training and 50,000 fine-tuning individuals across five prior-based bins; target-token NLL separated forgetting trajectories more consistently than generic output confidence.</w:t>
      </w:r>
    </w:p>
    <w:p>
      <w:pPr>
        <w:spacing w:before="0" w:after="10" w:line="240" w:lineRule="auto"/>
        <w:ind w:left="230" w:hanging="187"/>
        <w:keepLines/>
        <w:widowControl w:val="0"/>
      </w:pPr>
      <w:r>
        <w:rPr>
          <w:rFonts w:ascii="Times New Roman" w:hAnsi="Times New Roman" w:eastAsia="Times New Roman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>Proposed PLFT-KE, a two-stage prior-aware warm start that optimizes a latent probability lift on a frozen model, materializes it as a rank-1 parameter initialization, and consolidates the edit with standard fine-tuning.</w:t>
      </w:r>
    </w:p>
    <w:p>
      <w:pPr>
        <w:spacing w:before="0" w:after="10" w:line="240" w:lineRule="auto"/>
        <w:ind w:left="230" w:hanging="187"/>
        <w:keepLines/>
        <w:widowControl w:val="0"/>
      </w:pPr>
      <w:r>
        <w:rPr>
          <w:rFonts w:ascii="Times New Roman" w:hAnsi="Times New Roman" w:eastAsia="Times New Roman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>Led post-diagnosis method development, implementation, baseline selection, experimental design, and analysis on CounterFact and ZsRE with Qwen2.5-7B and LLaMA-3.2-1B/3B.</w:t>
      </w:r>
    </w:p>
    <w:p>
      <w:pPr>
        <w:spacing w:before="0" w:line="240" w:lineRule="auto"/>
        <w:ind w:left="230" w:hanging="187"/>
        <w:keepLines/>
        <w:widowControl w:val="0"/>
      </w:pPr>
      <w:r>
        <w:rPr>
          <w:rFonts w:ascii="Times New Roman" w:hAnsi="Times New Roman" w:eastAsia="Times New Roman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 xml:space="preserve">On LLaMA-3.2-3B/CounterFact, improved overall Score from </w:t>
      </w:r>
      <w:r>
        <w:rPr>
          <w:rFonts w:ascii="Times New Roman" w:hAnsi="Times New Roman" w:eastAsia="Times New Roman"/>
          <w:b/>
          <w:sz w:val="21"/>
        </w:rPr>
        <w:t>58.43 to 72.41</w:t>
      </w:r>
      <w:r>
        <w:rPr>
          <w:rFonts w:ascii="Times New Roman" w:hAnsi="Times New Roman" w:eastAsia="Times New Roman"/>
          <w:sz w:val="21"/>
        </w:rPr>
        <w:t>, Generalization from 41.75 to 57.83, and Specificity from 33.55 to 59.40; gains reached 31.4 specificity points in the lowest-prior bin. Stress-tested 2,000 sequential edits, identifying accumulated-update limits that motivated KLOD.</w:t>
      </w:r>
    </w:p>
    <w:p>
      <w:pPr>
        <w:spacing w:before="0" w:after="8" w:line="240" w:lineRule="auto"/>
        <w:widowControl w:val="0"/>
      </w:pPr>
      <w:r>
        <w:rPr>
          <w:rFonts w:ascii="Times New Roman" w:hAnsi="Times New Roman" w:eastAsia="Times New Roman"/>
          <w:b/>
          <w:sz w:val="21"/>
        </w:rPr>
        <w:t>Ongoing Research: Early-Stage Forgetting and Layer-Wise Transformation</w:t>
      </w:r>
    </w:p>
    <w:p>
      <w:pPr>
        <w:spacing w:before="0" w:after="10" w:line="240" w:lineRule="auto"/>
        <w:ind w:left="230" w:hanging="187"/>
        <w:keepLines/>
        <w:widowControl w:val="0"/>
      </w:pPr>
      <w:r>
        <w:rPr>
          <w:rFonts w:ascii="Times New Roman" w:hAnsi="Times New Roman" w:eastAsia="Times New Roman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>Investigating why severe forgetting is concentrated in the earliest stages of fine-tuning, including under distribution-preserving objectives.</w:t>
      </w:r>
    </w:p>
    <w:p>
      <w:pPr>
        <w:spacing w:before="0" w:after="18" w:line="240" w:lineRule="auto"/>
        <w:ind w:left="230" w:hanging="187"/>
        <w:keepLines/>
        <w:widowControl w:val="0"/>
      </w:pPr>
      <w:r>
        <w:rPr>
          <w:rFonts w:ascii="Times New Roman" w:hAnsi="Times New Roman" w:eastAsia="Times New Roman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>Analyzing layer-wise transformations from rotational and scaling perspectives to connect representation subspaces, predictive distributions, and computational pathways used to express knowledge.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232"/>
      </w:tblGrid>
      <w:tr>
        <w:tc>
          <w:tcPr>
            <w:tcW w:type="dxa" w:w="5141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keepNext/>
            </w:pPr>
            <w:r>
              <w:rPr>
                <w:rFonts w:ascii="Times New Roman" w:hAnsi="Times New Roman" w:eastAsia="Times New Roman"/>
                <w:b/>
                <w:sz w:val="21"/>
              </w:rPr>
              <w:t>Research Assistant, NLP / AI Lab, Gachon University</w:t>
            </w:r>
          </w:p>
        </w:tc>
        <w:tc>
          <w:tcPr>
            <w:tcW w:type="dxa" w:w="5141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  <w:keepNext/>
            </w:pPr>
            <w:r>
              <w:rPr>
                <w:rFonts w:ascii="Times New Roman" w:hAnsi="Times New Roman" w:eastAsia="Times New Roman"/>
                <w:sz w:val="21"/>
              </w:rPr>
              <w:t>Sep. 2023 - Feb. 2025</w:t>
            </w:r>
          </w:p>
        </w:tc>
      </w:tr>
    </w:tbl>
    <w:p>
      <w:pPr>
        <w:spacing w:before="0" w:after="6" w:line="240" w:lineRule="auto"/>
        <w:keepNext/>
        <w:widowControl w:val="0"/>
      </w:pPr>
      <w:r>
        <w:rPr>
          <w:rFonts w:ascii="Times New Roman" w:hAnsi="Times New Roman" w:eastAsia="Times New Roman"/>
          <w:i/>
          <w:sz w:val="21"/>
        </w:rPr>
        <w:t>Advisor: Prof. Sangwoo Kang</w:t>
      </w:r>
    </w:p>
    <w:p>
      <w:pPr>
        <w:spacing w:before="0" w:after="10" w:line="240" w:lineRule="auto"/>
        <w:ind w:left="230" w:hanging="187"/>
        <w:keepLines/>
        <w:widowControl w:val="0"/>
      </w:pPr>
      <w:r>
        <w:rPr>
          <w:rFonts w:ascii="Times New Roman" w:hAnsi="Times New Roman" w:eastAsia="Times New Roman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>Conducted research on dialogue summarization and knowledge editing for large language models; implemented fine-tuning, prompting, and evaluation pipelines using PyTorch and Hugging Face Transformers.</w:t>
      </w:r>
    </w:p>
    <w:p>
      <w:pPr>
        <w:spacing w:before="0" w:after="16" w:line="240" w:lineRule="auto"/>
        <w:ind w:left="230" w:hanging="187"/>
        <w:keepLines/>
        <w:widowControl w:val="0"/>
      </w:pPr>
      <w:r>
        <w:rPr>
          <w:rFonts w:ascii="Times New Roman" w:hAnsi="Times New Roman" w:eastAsia="Times New Roman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>Contributed to manuscript preparation, research presentations, and regular laboratory seminars.</w:t>
      </w:r>
    </w:p>
    <w:p>
      <w:pPr>
        <w:spacing w:before="110" w:after="44" w:line="240" w:lineRule="auto"/>
        <w:pBdr>
          <w:bottom w:val="single" w:sz="5" w:space="1" w:color="7F7F7F"/>
        </w:pBdr>
        <w:keepNext/>
        <w:widowControl w:val="0"/>
      </w:pPr>
      <w:r>
        <w:rPr>
          <w:rFonts w:ascii="Times New Roman" w:hAnsi="Times New Roman" w:eastAsia="Times New Roman"/>
          <w:b/>
          <w:sz w:val="23"/>
        </w:rPr>
        <w:t>AWARDS AND HONORS</w:t>
      </w:r>
    </w:p>
    <w:p>
      <w:pPr>
        <w:spacing w:before="0" w:after="16" w:line="240" w:lineRule="auto"/>
        <w:widowControl w:val="0"/>
      </w:pPr>
      <w:r>
        <w:rPr>
          <w:rFonts w:ascii="Times New Roman" w:hAnsi="Times New Roman" w:eastAsia="Times New Roman"/>
          <w:b/>
          <w:sz w:val="21"/>
        </w:rPr>
        <w:t>Outstanding Presentation Paper Award, HCLT 2025</w:t>
      </w:r>
      <w:r>
        <w:rPr>
          <w:rFonts w:ascii="Times New Roman" w:hAnsi="Times New Roman" w:eastAsia="Times New Roman"/>
          <w:sz w:val="21"/>
        </w:rPr>
        <w:t>, October 2025. Awarded for “A Verify-Refine Hybrid for Dialogue Summarization with Topic Segmentation and Keypoint Coverage.”</w:t>
      </w:r>
    </w:p>
    <w:p>
      <w:pPr>
        <w:spacing w:before="110" w:after="44" w:line="240" w:lineRule="auto"/>
        <w:pBdr>
          <w:bottom w:val="single" w:sz="5" w:space="1" w:color="7F7F7F"/>
        </w:pBdr>
        <w:keepNext/>
        <w:widowControl w:val="0"/>
      </w:pPr>
      <w:r>
        <w:rPr>
          <w:rFonts w:ascii="Times New Roman" w:hAnsi="Times New Roman" w:eastAsia="Times New Roman"/>
          <w:b/>
          <w:sz w:val="23"/>
        </w:rPr>
        <w:t>PRESENTATIONS</w:t>
      </w:r>
    </w:p>
    <w:p>
      <w:pPr>
        <w:spacing w:before="0" w:after="10" w:line="240" w:lineRule="auto"/>
        <w:widowControl w:val="0"/>
      </w:pPr>
      <w:r>
        <w:rPr>
          <w:rFonts w:ascii="Times New Roman" w:hAnsi="Times New Roman" w:eastAsia="Times New Roman"/>
          <w:b/>
          <w:sz w:val="21"/>
        </w:rPr>
        <w:t>“A Verify-Refine Hybrid for Dialogue Summarization with Topic Segmentation and Keypoint Coverage.”</w:t>
      </w:r>
      <w:r>
        <w:rPr>
          <w:rFonts w:ascii="Times New Roman" w:hAnsi="Times New Roman" w:eastAsia="Times New Roman"/>
          <w:sz w:val="21"/>
        </w:rPr>
        <w:t xml:space="preserve"> Oral Presentation, HCLT 2025, October 2025.</w:t>
      </w:r>
    </w:p>
    <w:p>
      <w:pPr>
        <w:spacing w:before="0" w:after="16" w:line="240" w:lineRule="auto"/>
        <w:widowControl w:val="0"/>
      </w:pPr>
      <w:r>
        <w:rPr>
          <w:rFonts w:ascii="Times New Roman" w:hAnsi="Times New Roman" w:eastAsia="Times New Roman"/>
          <w:b/>
          <w:sz w:val="21"/>
        </w:rPr>
        <w:t>“Structured Zero-Shot Prompts through Rule-Based Intent Analysis for Dialogue Summarization.”</w:t>
      </w:r>
      <w:r>
        <w:rPr>
          <w:rFonts w:ascii="Times New Roman" w:hAnsi="Times New Roman" w:eastAsia="Times New Roman"/>
          <w:sz w:val="21"/>
        </w:rPr>
        <w:t xml:space="preserve"> Poster Presentation, KCC 2025, July 2025.</w:t>
      </w:r>
    </w:p>
    <w:p>
      <w:pPr>
        <w:spacing w:before="110" w:after="44" w:line="240" w:lineRule="auto"/>
        <w:pBdr>
          <w:bottom w:val="single" w:sz="5" w:space="1" w:color="7F7F7F"/>
        </w:pBdr>
        <w:keepNext/>
        <w:widowControl w:val="0"/>
      </w:pPr>
      <w:r>
        <w:rPr>
          <w:rFonts w:ascii="Times New Roman" w:hAnsi="Times New Roman" w:eastAsia="Times New Roman"/>
          <w:b/>
          <w:sz w:val="23"/>
        </w:rPr>
        <w:t>PROFESSIONAL SKILLS</w:t>
      </w:r>
    </w:p>
    <w:p>
      <w:pPr>
        <w:spacing w:before="0" w:after="7" w:line="240" w:lineRule="auto"/>
        <w:widowControl w:val="0"/>
      </w:pPr>
      <w:r>
        <w:rPr>
          <w:rFonts w:ascii="Times New Roman" w:hAnsi="Times New Roman" w:eastAsia="Times New Roman"/>
          <w:b/>
          <w:sz w:val="21"/>
        </w:rPr>
        <w:t xml:space="preserve">Programming: </w:t>
      </w:r>
      <w:r>
        <w:rPr>
          <w:rFonts w:ascii="Times New Roman" w:hAnsi="Times New Roman" w:eastAsia="Times New Roman"/>
          <w:sz w:val="21"/>
        </w:rPr>
        <w:t>Python; Java and C (working familiarity)</w:t>
      </w:r>
    </w:p>
    <w:p>
      <w:pPr>
        <w:spacing w:before="0" w:after="7" w:line="240" w:lineRule="auto"/>
        <w:widowControl w:val="0"/>
      </w:pPr>
      <w:r>
        <w:rPr>
          <w:rFonts w:ascii="Times New Roman" w:hAnsi="Times New Roman" w:eastAsia="Times New Roman"/>
          <w:b/>
          <w:sz w:val="21"/>
        </w:rPr>
        <w:t xml:space="preserve">ML &amp; Data Analytics: </w:t>
      </w:r>
      <w:r>
        <w:rPr>
          <w:rFonts w:ascii="Times New Roman" w:hAnsi="Times New Roman" w:eastAsia="Times New Roman"/>
          <w:sz w:val="21"/>
        </w:rPr>
        <w:t>PyTorch; TensorFlow; Keras; Pandas; NumPy; Matplotlib; Hugging Face Transformers; LangChain; EasyEdit</w:t>
      </w:r>
    </w:p>
    <w:p>
      <w:pPr>
        <w:spacing w:before="0" w:after="7" w:line="240" w:lineRule="auto"/>
        <w:widowControl w:val="0"/>
      </w:pPr>
      <w:r>
        <w:rPr>
          <w:rFonts w:ascii="Times New Roman" w:hAnsi="Times New Roman" w:eastAsia="Times New Roman"/>
          <w:b/>
          <w:sz w:val="21"/>
        </w:rPr>
        <w:t xml:space="preserve">Platforms &amp; Tools: </w:t>
      </w:r>
      <w:r>
        <w:rPr>
          <w:rFonts w:ascii="Times New Roman" w:hAnsi="Times New Roman" w:eastAsia="Times New Roman"/>
          <w:sz w:val="21"/>
        </w:rPr>
        <w:t>Git; Linux; LaTeX</w:t>
      </w:r>
    </w:p>
    <w:p>
      <w:pPr>
        <w:spacing w:before="0" w:after="7" w:line="240" w:lineRule="auto"/>
        <w:widowControl w:val="0"/>
      </w:pPr>
      <w:r>
        <w:rPr>
          <w:rFonts w:ascii="Times New Roman" w:hAnsi="Times New Roman" w:eastAsia="Times New Roman"/>
          <w:b/>
          <w:sz w:val="21"/>
        </w:rPr>
        <w:t xml:space="preserve">Research Methods: </w:t>
      </w:r>
      <w:r>
        <w:rPr>
          <w:rFonts w:ascii="Times New Roman" w:hAnsi="Times New Roman" w:eastAsia="Times New Roman"/>
          <w:sz w:val="21"/>
        </w:rPr>
        <w:t>Supervised and Localized Fine-Tuning; Knowledge Editing; Sequential and Continual Learning; KL-Regularized Training; Token-Level Probability and Output-Distribution Analysis; Ablation Study Design; Language-Model Evaluation</w:t>
      </w:r>
    </w:p>
    <w:p>
      <w:pPr>
        <w:spacing w:before="0" w:after="4" w:line="240" w:lineRule="auto"/>
        <w:widowControl w:val="0"/>
      </w:pPr>
      <w:r>
        <w:rPr>
          <w:rFonts w:ascii="Times New Roman" w:hAnsi="Times New Roman" w:eastAsia="Times New Roman"/>
          <w:b/>
          <w:sz w:val="21"/>
        </w:rPr>
        <w:t xml:space="preserve">Languages: </w:t>
      </w:r>
      <w:r>
        <w:rPr>
          <w:rFonts w:ascii="Times New Roman" w:hAnsi="Times New Roman" w:eastAsia="Times New Roman"/>
          <w:sz w:val="21"/>
        </w:rPr>
        <w:t>Korean (native); English (academic reading and writing)</w:t>
      </w:r>
    </w:p>
    <w:sectPr w:rsidR="00FC693F" w:rsidRPr="0006063C" w:rsidSect="00034616"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jdghwns12@gachon.ac.kr" TargetMode="External"/><Relationship Id="rId10" Type="http://schemas.openxmlformats.org/officeDocument/2006/relationships/hyperlink" Target="https://hostoday.github.io/" TargetMode="External"/><Relationship Id="rId11" Type="http://schemas.openxmlformats.org/officeDocument/2006/relationships/hyperlink" Target="https://github.com/Hostod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Hojun Jeong - Curriculum Vitae</dc:title>
  <dc:subject>Academic Curriculum Vitae</dc:subject>
  <dc:creator>Hojun Jeong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