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this study combines survey-weighted logistic regression and latent profile analysis to examine whether in-person socialization predicts volunteering differently across five generational cohorts. Across all generations, the transition from no socialization to even occasional contact is associated with the largest marginal gain in </w:t>
      </w:r>
      <w:r>
        <w:rPr>
          <w:rFonts w:ascii="Times New Roman" w:hAnsi="Times New Roman" w:cs="Times New Roman"/>
          <w:b w:val="0"/>
          <w:i w:val="0"/>
          <w:color w:val="FF0000"/>
          <w:sz w:val="24"/>
        </w:rPr>
        <w:t>the probability of</w:t>
      </w:r>
      <w:r>
        <w:rPr>
          <w:rFonts w:ascii="Times New Roman" w:hAnsi="Times New Roman" w:cs="Times New Roman"/>
          <w:b w:val="0"/>
          <w:i w:val="0"/>
          <w:sz w:val="24"/>
        </w:rPr>
        <w:t xml:space="preserve"> volunteering (7–10 percentage points), a "First Step Effect" comparable in magnitude to the education gradient. Gen Z exhibits a paradox: the highest baseline volunteering probability at zero socialization yet a plateau beyond moderate socialization levels, a </w:t>
      </w:r>
      <w:r>
        <w:rPr>
          <w:rFonts w:ascii="Times New Roman" w:hAnsi="Times New Roman" w:cs="Times New Roman"/>
          <w:b w:val="0"/>
          <w:i w:val="0"/>
          <w:color w:val="FF0000"/>
          <w:sz w:val="24"/>
        </w:rPr>
        <w:t>ceiling effect</w:t>
      </w:r>
      <w:r>
        <w:rPr>
          <w:rFonts w:ascii="Times New Roman" w:hAnsi="Times New Roman" w:cs="Times New Roman"/>
          <w:b w:val="0"/>
          <w:i w:val="0"/>
          <w:sz w:val="24"/>
        </w:rPr>
        <w:t xml:space="preserve"> absent in older cohorts. These patterns predate COVID-19 and persist unchanged, establishing them as cohort characteristics. Education amplifies the socialization–volunteering gradient, but neither employment nor civic social media use alters the generational pattern. Over half of Gen Z occupies civic engagement profiles defined by social isolation. Findings suggest that declining youth volunteering reflects social disconnection rather than weakened civic motivation, with implications for low-threshold volunteer recruitment.</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w:t>
      </w:r>
      <w:r>
        <w:rPr>
          <w:rFonts w:ascii="Times New Roman" w:hAnsi="Times New Roman" w:cs="Times New Roman"/>
          <w:b w:val="0"/>
          <w:i w:val="0"/>
          <w:color w:val="FF0000"/>
          <w:sz w:val="24"/>
        </w:rPr>
        <w:t>formally identified</w:t>
      </w:r>
      <w:r>
        <w:rPr>
          <w:rFonts w:ascii="Times New Roman" w:hAnsi="Times New Roman" w:cs="Times New Roman"/>
          <w:b w:val="0"/>
          <w:i w:val="0"/>
          <w:sz w:val="24"/>
        </w:rPr>
        <w:t xml:space="preserve"> loneliness and social isolation as a public health epidemic, </w:t>
      </w:r>
      <w:r>
        <w:rPr>
          <w:rFonts w:ascii="Times New Roman" w:hAnsi="Times New Roman" w:cs="Times New Roman"/>
          <w:b w:val="0"/>
          <w:i w:val="0"/>
          <w:color w:val="FF0000"/>
          <w:sz w:val="24"/>
        </w:rPr>
        <w:t>documenting their significant associations with adverse mental health outcomes, physical well-being, and increased mortality risk</w:t>
      </w:r>
      <w:r>
        <w:rPr>
          <w:rFonts w:ascii="Times New Roman" w:hAnsi="Times New Roman" w:cs="Times New Roman"/>
          <w:b w:val="0"/>
          <w:i w:val="0"/>
          <w:sz w:val="24"/>
        </w:rPr>
        <w:t xml:space="preserve"> (Office of the Surgeon General, 2023). </w:t>
      </w:r>
      <w:r>
        <w:rPr>
          <w:rFonts w:ascii="Times New Roman" w:hAnsi="Times New Roman" w:cs="Times New Roman"/>
          <w:b w:val="0"/>
          <w:i w:val="0"/>
          <w:color w:val="FF0000"/>
          <w:sz w:val="24"/>
        </w:rPr>
        <w:t>Researchers have examined the health effects of social disconnection extensively, yet they have paid far less attention to its civic consequences, particularly its effects on volunteering.</w:t>
      </w:r>
      <w:r>
        <w:rPr>
          <w:rFonts w:ascii="Times New Roman" w:hAnsi="Times New Roman" w:cs="Times New Roman"/>
          <w:b w:val="0"/>
          <w:i w:val="0"/>
          <w:sz w:val="24"/>
        </w:rPr>
        <w:t xml:space="preserve"> That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xml:space="preserve">, emerging evidence suggests that the decline in social connection has continued, and accelerated among younger cohorts, with potential implications for the civic infrastructure that depends on volunteerism </w:t>
      </w:r>
      <w:r>
        <w:rPr>
          <w:rFonts w:ascii="Times New Roman" w:hAnsi="Times New Roman" w:cs="Times New Roman"/>
          <w:b w:val="0"/>
          <w:i w:val="0"/>
          <w:color w:val="0000FF"/>
          <w:sz w:val="24"/>
        </w:rPr>
        <w:t>(Musick &amp; Wilson, 2008; Verba et al., 1995)</w:t>
      </w:r>
      <w:r>
        <w:rPr>
          <w:rFonts w:ascii="Times New Roman" w:hAnsi="Times New Roman" w:cs="Times New Roman"/>
          <w:b w:val="0"/>
          <w:i w:val="0"/>
          <w:sz w:val="24"/>
        </w:rPr>
        <w:t>.</w:t>
      </w:r>
    </w:p>
    <w:p>
      <w:pPr>
        <w:spacing w:before="0" w:after="0" w:lineRule="auto" w:line="480"/>
        <w:ind w:firstLine="720"/>
        <w:jc w:val="left"/>
      </w:pPr>
      <w:r>
        <w:rPr>
          <w:rFonts w:ascii="Times New Roman" w:hAnsi="Times New Roman" w:cs="Times New Roman"/>
          <w:b w:val="0"/>
          <w:i w:val="0"/>
          <w:color w:val="FF0000"/>
          <w:sz w:val="24"/>
        </w:rPr>
        <w:t>Volunteering in the United States has declined not because opportunities are scarce, but because fewer individuals connect to them.</w:t>
      </w:r>
      <w:r>
        <w:rPr>
          <w:rFonts w:ascii="Times New Roman" w:hAnsi="Times New Roman" w:cs="Times New Roman"/>
          <w:b w:val="0"/>
          <w:i w:val="0"/>
          <w:sz w:val="24"/>
        </w:rPr>
        <w:t xml:space="preserve"> Between 2005 and 2021, the </w:t>
      </w:r>
      <w:r>
        <w:rPr>
          <w:rFonts w:ascii="Times New Roman" w:hAnsi="Times New Roman" w:cs="Times New Roman"/>
          <w:b w:val="0"/>
          <w:i w:val="0"/>
          <w:color w:val="FF0000"/>
          <w:sz w:val="24"/>
        </w:rPr>
        <w:t>national</w:t>
      </w:r>
      <w:r>
        <w:rPr>
          <w:rFonts w:ascii="Times New Roman" w:hAnsi="Times New Roman" w:cs="Times New Roman"/>
          <w:b w:val="0"/>
          <w:i w:val="0"/>
          <w:sz w:val="24"/>
        </w:rPr>
        <w:t xml:space="preserve"> volunteering rate fell from 28.8% to 23.2%, the lowest </w:t>
      </w:r>
      <w:r>
        <w:rPr>
          <w:rFonts w:ascii="Times New Roman" w:hAnsi="Times New Roman" w:cs="Times New Roman"/>
          <w:b w:val="0"/>
          <w:i w:val="0"/>
          <w:color w:val="FF0000"/>
          <w:sz w:val="24"/>
        </w:rPr>
        <w:t>level</w:t>
      </w:r>
      <w:r>
        <w:rPr>
          <w:rFonts w:ascii="Times New Roman" w:hAnsi="Times New Roman" w:cs="Times New Roman"/>
          <w:b w:val="0"/>
          <w:i w:val="0"/>
          <w:sz w:val="24"/>
        </w:rPr>
        <w:t xml:space="preserve"> recorded </w:t>
      </w:r>
      <w:r>
        <w:rPr>
          <w:rFonts w:ascii="Times New Roman" w:hAnsi="Times New Roman" w:cs="Times New Roman"/>
          <w:b w:val="0"/>
          <w:i w:val="0"/>
          <w:color w:val="0000FF"/>
          <w:sz w:val="24"/>
        </w:rPr>
        <w:t>since the Bureau of Labor Statistics began tracking the measure</w:t>
      </w:r>
      <w:r>
        <w:rPr>
          <w:rFonts w:ascii="Times New Roman" w:hAnsi="Times New Roman" w:cs="Times New Roman"/>
          <w:b w:val="0"/>
          <w:i w:val="0"/>
          <w:sz w:val="24"/>
        </w:rPr>
        <w:t xml:space="preserve"> (AmeriCorps, 2022). </w:t>
      </w:r>
      <w:r>
        <w:rPr>
          <w:rFonts w:ascii="Times New Roman" w:hAnsi="Times New Roman" w:cs="Times New Roman"/>
          <w:b w:val="0"/>
          <w:i w:val="0"/>
          <w:color w:val="FF0000"/>
          <w:sz w:val="24"/>
        </w:rPr>
        <w:t>Participation among young adults declined even more sharply,</w:t>
      </w:r>
      <w:r>
        <w:rPr>
          <w:rFonts w:ascii="Times New Roman" w:hAnsi="Times New Roman" w:cs="Times New Roman"/>
          <w:b w:val="0"/>
          <w:i w:val="0"/>
          <w:sz w:val="24"/>
        </w:rPr>
        <w:t xml:space="preserve"> from 26.4% to 17.4%. </w:t>
      </w:r>
      <w:r>
        <w:rPr>
          <w:rFonts w:ascii="Times New Roman" w:hAnsi="Times New Roman" w:cs="Times New Roman"/>
          <w:b w:val="0"/>
          <w:i w:val="0"/>
          <w:color w:val="FF0000"/>
          <w:sz w:val="24"/>
        </w:rPr>
        <w:t>Although organizations expanded their volunteer infrastructure, participation continued to decrease. These patterns demonstrate that weakened social recruitment mechanisms, not insufficient opportunities, drive the decline in volunteering.</w:t>
      </w:r>
    </w:p>
    <w:p>
      <w:pPr>
        <w:spacing w:before="0" w:after="0" w:lineRule="auto" w:line="480"/>
        <w:ind w:firstLine="720"/>
        <w:jc w:val="left"/>
      </w:pPr>
      <w:r>
        <w:rPr>
          <w:rFonts w:ascii="Times New Roman" w:hAnsi="Times New Roman" w:cs="Times New Roman"/>
          <w:b w:val="0"/>
          <w:i w:val="0"/>
          <w:sz w:val="24"/>
        </w:rPr>
        <w:t xml:space="preserve">Twenge et al. (2019) documented that in-person social interaction among U.S. adolescents declined substantially between 2003 and 2017, a trend that predates the COVID-19 pandemic and thus cannot be attributed solely to lockdown-era disruptions </w:t>
      </w:r>
      <w:r>
        <w:rPr>
          <w:rFonts w:ascii="Times New Roman" w:hAnsi="Times New Roman" w:cs="Times New Roman"/>
          <w:b w:val="0"/>
          <w:i w:val="0"/>
          <w:color w:val="0000FF"/>
          <w:sz w:val="24"/>
        </w:rPr>
        <w:t>(Twenge, 2017)</w:t>
      </w:r>
      <w:r>
        <w:rPr>
          <w:rFonts w:ascii="Times New Roman" w:hAnsi="Times New Roman" w:cs="Times New Roman"/>
          <w:b w:val="0"/>
          <w:i w:val="0"/>
          <w:sz w:val="24"/>
        </w:rPr>
        <w:t xml:space="preserve">. If social interaction drives civic recruitment, as both social capital theory (Putnam, 2000) and the civic voluntarism model (Verba et al., 1995) suggest, then generational declines in face-to-face socialization may be associated with lower volunteering rates in ways that existing interventions fail to address. </w:t>
      </w:r>
      <w:r>
        <w:rPr>
          <w:rFonts w:ascii="Times New Roman" w:hAnsi="Times New Roman" w:cs="Times New Roman"/>
          <w:b w:val="0"/>
          <w:i w:val="0"/>
          <w:color w:val="FF0000"/>
          <w:sz w:val="24"/>
        </w:rPr>
        <w:t>The pathway from socialization to volunteering operates through concrete, everyday interactions. Individuals encounter opportunities when acquaintances mention local needs at community events, coworkers invite them to participate in activities such as park cleanups, or neighbors encourage them to participate in fundraising efforts. These routine, low-threshold interactions historically facilitated civic engagement, and they rely on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w:t>
      </w:r>
      <w:r>
        <w:rPr>
          <w:rFonts w:ascii="Times New Roman" w:hAnsi="Times New Roman" w:cs="Times New Roman"/>
          <w:b w:val="0"/>
          <w:i w:val="0"/>
          <w:color w:val="FF0000"/>
          <w:sz w:val="24"/>
        </w:rPr>
        <w:t>important</w:t>
      </w:r>
      <w:r>
        <w:rPr>
          <w:rFonts w:ascii="Times New Roman" w:hAnsi="Times New Roman" w:cs="Times New Roman"/>
          <w:b w:val="0"/>
          <w:i w:val="0"/>
          <w:sz w:val="24"/>
        </w:rPr>
        <w:t xml:space="preserve"> for the volunteering sector. Unlike voting or charitable giving, organized volunteering requires sustained </w:t>
      </w:r>
      <w:r>
        <w:rPr>
          <w:rFonts w:ascii="Times New Roman" w:hAnsi="Times New Roman" w:cs="Times New Roman"/>
          <w:b w:val="0"/>
          <w:i w:val="0"/>
          <w:color w:val="FF0000"/>
          <w:sz w:val="24"/>
        </w:rPr>
        <w:t>time investment</w:t>
      </w:r>
      <w:r>
        <w:rPr>
          <w:rFonts w:ascii="Times New Roman" w:hAnsi="Times New Roman" w:cs="Times New Roman"/>
          <w:b w:val="0"/>
          <w:i w:val="0"/>
          <w:sz w:val="24"/>
        </w:rPr>
        <w:t xml:space="preserve"> and coordination with others, making it especially dependent on social networks and in-person contact (Cacioppo &amp; Cacioppo, 2014; Holt-Lunstad et al., 2010). Social connections reduce entry barriers by providing practical information and the social accompaniment that lowers the threshold for initial participation. </w:t>
      </w:r>
      <w:r>
        <w:rPr>
          <w:rFonts w:ascii="Times New Roman" w:hAnsi="Times New Roman" w:cs="Times New Roman"/>
          <w:b w:val="0"/>
          <w:i w:val="0"/>
          <w:color w:val="FF0000"/>
          <w:sz w:val="24"/>
        </w:rPr>
        <w:t>However,</w:t>
      </w:r>
      <w:r>
        <w:rPr>
          <w:rFonts w:ascii="Times New Roman" w:hAnsi="Times New Roman" w:cs="Times New Roman"/>
          <w:b w:val="0"/>
          <w:i w:val="0"/>
          <w:sz w:val="24"/>
        </w:rPr>
        <w:t xml:space="preserve"> the empirical literature has treated social isolation primarily as a control variable rather than a central mechanism</w:t>
      </w:r>
      <w:r>
        <w:rPr>
          <w:rFonts w:ascii="Times New Roman" w:hAnsi="Times New Roman" w:cs="Times New Roman"/>
          <w:b w:val="0"/>
          <w:i w:val="0"/>
          <w:color w:val="FF0000"/>
          <w:sz w:val="24"/>
        </w:rPr>
        <w:t>. In addition,</w:t>
      </w:r>
      <w:r>
        <w:rPr>
          <w:rFonts w:ascii="Times New Roman" w:hAnsi="Times New Roman" w:cs="Times New Roman"/>
          <w:b w:val="0"/>
          <w:i w:val="0"/>
          <w:sz w:val="24"/>
        </w:rPr>
        <w:t xml:space="preserve">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identified social networks as a consistent predictor of volunteering but noted that the field lacks a clear account of how network effects vary across demographic subgroups. The question is whether declining youth volunteering is better explained by changing values or by the weakening of </w:t>
      </w:r>
      <w:r>
        <w:rPr>
          <w:rFonts w:ascii="Times New Roman" w:hAnsi="Times New Roman" w:cs="Times New Roman"/>
          <w:b w:val="0"/>
          <w:i w:val="0"/>
          <w:color w:val="FF0000"/>
          <w:sz w:val="24"/>
        </w:rPr>
        <w:t>social</w:t>
      </w:r>
      <w:r>
        <w:rPr>
          <w:rFonts w:ascii="Times New Roman" w:hAnsi="Times New Roman" w:cs="Times New Roman"/>
          <w:b w:val="0"/>
          <w:i w:val="0"/>
          <w:sz w:val="24"/>
        </w:rPr>
        <w:t xml:space="preserve"> connections that facilitate volunteering.</w:t>
      </w:r>
    </w:p>
    <w:p>
      <w:pPr>
        <w:spacing w:before="0" w:after="0" w:lineRule="auto" w:line="480"/>
        <w:ind w:firstLine="720"/>
        <w:jc w:val="left"/>
      </w:pPr>
      <w:r>
        <w:rPr>
          <w:rFonts w:ascii="Times New Roman" w:hAnsi="Times New Roman" w:cs="Times New Roman"/>
          <w:b w:val="0"/>
          <w:i w:val="0"/>
          <w:sz w:val="24"/>
        </w:rPr>
        <w:t xml:space="preserve">We address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Two research questions guide </w:t>
      </w:r>
      <w:r>
        <w:rPr>
          <w:rFonts w:ascii="Times New Roman" w:hAnsi="Times New Roman" w:cs="Times New Roman"/>
          <w:b w:val="0"/>
          <w:i w:val="0"/>
          <w:color w:val="FF0000"/>
          <w:sz w:val="24"/>
        </w:rPr>
        <w:t>this study</w:t>
      </w:r>
      <w:r>
        <w:rPr>
          <w:rFonts w:ascii="Times New Roman" w:hAnsi="Times New Roman" w:cs="Times New Roman"/>
          <w:b w:val="0"/>
          <w:i w:val="0"/>
          <w:sz w:val="24"/>
        </w:rPr>
        <w:t xml:space="preserve">, spanning variable-centered and person-centered approaches (see Purpose and Research Questions). By bracketing the COVID-19 pandemic, the four-wave design distinguishes stable cohort effects from pandemic-specific disruptions. The integrated approach, combining survey-weighted logistic regression and Latent Profile Analysis, extends the Surgeon General's health-focused framing to a civic engagement context. </w:t>
      </w:r>
      <w:r>
        <w:rPr>
          <w:rFonts w:ascii="Times New Roman" w:hAnsi="Times New Roman" w:cs="Times New Roman"/>
          <w:b w:val="0"/>
          <w:i w:val="0"/>
          <w:color w:val="FF0000"/>
          <w:sz w:val="24"/>
        </w:rPr>
        <w:t>In doing so, this study advances the literature by positioning social connection as a central mechanism in civic engagement, rather than a peripheral control, and by clarifying how generational differences shape pathways into volunteering.</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 xml:space="preserve">Why does face-to-face contact predict civic engagement? Social capital theory and the civic voluntarism model offer complementary answers. Putnam (2000) defined social capital as the networks, norms, and trust that enable coordination and cooperation among individuals. In his framework, face-to-face social interaction is more than a correlate of civic engagement; it is a generative mechanism. Repeated contact builds trust and reciprocity norms </w:t>
      </w:r>
      <w:r>
        <w:rPr>
          <w:rFonts w:ascii="Times New Roman" w:hAnsi="Times New Roman" w:cs="Times New Roman"/>
          <w:b w:val="0"/>
          <w:i w:val="0"/>
          <w:color w:val="FF0000"/>
          <w:sz w:val="24"/>
        </w:rPr>
        <w:t>lowering</w:t>
      </w:r>
      <w:r>
        <w:rPr>
          <w:rFonts w:ascii="Times New Roman" w:hAnsi="Times New Roman" w:cs="Times New Roman"/>
          <w:b w:val="0"/>
          <w:i w:val="0"/>
          <w:sz w:val="24"/>
        </w:rPr>
        <w:t xml:space="preserve"> the costs of collective action. Granovetter's (1973) weak ties theory extends this insight by arguing that peripheral social contacts (acquaintances encountered through occasional socialization) serve as bridges to new information and opportunities, including awareness of volunteer organizations and direct recruitment appeals. The mechanism is as much motivational as informational: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 </w:t>
      </w:r>
      <w:r>
        <w:rPr>
          <w:rFonts w:ascii="Times New Roman" w:hAnsi="Times New Roman" w:cs="Times New Roman"/>
          <w:b w:val="0"/>
          <w:i w:val="0"/>
          <w:color w:val="0000FF"/>
          <w:sz w:val="24"/>
        </w:rPr>
        <w:t xml:space="preserve">In this study, we define </w:t>
      </w:r>
      <w:r>
        <w:rPr>
          <w:rFonts w:ascii="Times New Roman" w:hAnsi="Times New Roman" w:cs="Times New Roman"/>
          <w:b w:val="0"/>
          <w:i/>
          <w:color w:val="0000FF"/>
          <w:sz w:val="24"/>
        </w:rPr>
        <w:t>civic recruitment</w:t>
      </w:r>
      <w:r>
        <w:rPr>
          <w:rFonts w:ascii="Times New Roman" w:hAnsi="Times New Roman" w:cs="Times New Roman"/>
          <w:b w:val="0"/>
          <w:i w:val="0"/>
          <w:color w:val="0000FF"/>
          <w:sz w:val="24"/>
        </w:rPr>
        <w:t xml:space="preserve"> as the process by which individuals are drawn into volunteer roles through social networks, personal invitations, and exposure to organizational opportunities that arise from face-to-face interaction (Musick &amp; Wilson, 2008; Wilson, 2012).</w:t>
      </w:r>
    </w:p>
    <w:p>
      <w:pPr>
        <w:spacing w:before="0" w:after="0" w:lineRule="auto" w:line="480"/>
        <w:ind w:firstLine="720"/>
        <w:jc w:val="left"/>
      </w:pPr>
      <w:r>
        <w:rPr>
          <w:rFonts w:ascii="Times New Roman" w:hAnsi="Times New Roman" w:cs="Times New Roman"/>
          <w:b w:val="0"/>
          <w:i w:val="0"/>
          <w:sz w:val="24"/>
        </w:rPr>
        <w:t>Verba et al.'s (1995) civic voluntarism model (CVM) identifies three categories of factors predicting civic engagement: resources (time, money, civic skills), engagement (political interest, civic duty), and recruitment networks (Brady et al., 1995). Of these, the recruitment pathway matters most here: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give rise to norms and sanctions that encourage prosocial behavior, including volunteering. Beyerlein and Hipp (2006) demonstrated empirically that organizational membership mediates much of the socialization-volunteering pathway, evidence that social contact promotes volunteering partly through institutional embeddedness rather than through social influence alone. The implication is that socialization may be a necessary but not sufficient condition for civic engagement: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Engagement</w:t>
      </w:r>
    </w:p>
    <w:p>
      <w:pPr>
        <w:spacing w:before="0" w:after="0" w:lineRule="auto" w:line="480"/>
        <w:ind w:firstLine="720"/>
        <w:jc w:val="left"/>
      </w:pPr>
      <w:r>
        <w:rPr>
          <w:rFonts w:ascii="Times New Roman" w:hAnsi="Times New Roman" w:cs="Times New Roman"/>
          <w:b w:val="0"/>
          <w:i w:val="0"/>
          <w:color w:val="0000FF"/>
          <w:sz w:val="24"/>
        </w:rPr>
        <w:t>Dramatic generational shifts in socialization patterns require that the theoretical relationship between social interaction and civic engagement be examined in context.</w:t>
      </w:r>
      <w:r>
        <w:rPr>
          <w:rFonts w:ascii="Times New Roman" w:hAnsi="Times New Roman" w:cs="Times New Roman"/>
          <w:b w:val="0"/>
          <w:i w:val="0"/>
          <w:sz w:val="24"/>
        </w:rPr>
        <w:t xml:space="preserve">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 not as a consequence of, the COVID-19 pandemic. The result is a generation that came of age in an environment where social connection increasingly occurs through screens rather than in the shared physical spaces (Oldenburg's [1999] "third places") that historically served as incubators for civic recruitment.</w:t>
      </w:r>
    </w:p>
    <w:p>
      <w:pPr>
        <w:spacing w:before="0" w:after="0" w:lineRule="auto" w:line="480"/>
        <w:ind w:firstLine="720"/>
        <w:jc w:val="left"/>
      </w:pPr>
      <w:r>
        <w:rPr>
          <w:rFonts w:ascii="Times New Roman" w:hAnsi="Times New Roman" w:cs="Times New Roman"/>
          <w:b w:val="0"/>
          <w:i w:val="0"/>
          <w:color w:val="FF0000"/>
          <w:sz w:val="24"/>
        </w:rPr>
        <w:t>Dalton (2008) proposed that this represents not disengagement but a shift from "duty-based" to "engaged" citizenship, where younger cohorts pursue civic goals through informal, often digital, channels.</w:t>
      </w:r>
      <w:r>
        <w:rPr>
          <w:rFonts w:ascii="Times New Roman" w:hAnsi="Times New Roman" w:cs="Times New Roman"/>
          <w:b w:val="0"/>
          <w:i w:val="0"/>
          <w:sz w:val="24"/>
        </w:rPr>
        <w:t xml:space="preserve"> However, Flanagan and Levine (2010) and Wray-Lake and Hart (2012) documented that these alternative forms of engagement have not compensated for declines in traditional civic engagement, above all volunteering, among younger cohorts. If Dalton's "engaged citizenship" thesis were correct, if young people were simply channeling civic energy into new forms, aggregate civic engagement should remain stable or rise even as traditional forms decline. It has not. The decline in formal volunteering among young adults has proceeded without a corresponding increase in measurable alternative engagement, </w:t>
      </w:r>
      <w:r>
        <w:rPr>
          <w:rFonts w:ascii="Times New Roman" w:hAnsi="Times New Roman" w:cs="Times New Roman"/>
          <w:b w:val="0"/>
          <w:i w:val="0"/>
          <w:color w:val="FF0000"/>
          <w:sz w:val="24"/>
        </w:rPr>
        <w:t>suggesting that</w:t>
      </w:r>
      <w:r>
        <w:rPr>
          <w:rFonts w:ascii="Times New Roman" w:hAnsi="Times New Roman" w:cs="Times New Roman"/>
          <w:b w:val="0"/>
          <w:i w:val="0"/>
          <w:sz w:val="24"/>
        </w:rPr>
        <w:t xml:space="preserve"> eroding civic infrastructure rather than shifting civic preferences </w:t>
      </w:r>
      <w:r>
        <w:rPr>
          <w:rFonts w:ascii="Times New Roman" w:hAnsi="Times New Roman" w:cs="Times New Roman"/>
          <w:b w:val="0"/>
          <w:i w:val="0"/>
          <w:color w:val="FF0000"/>
          <w:sz w:val="24"/>
        </w:rPr>
        <w:t>is</w:t>
      </w:r>
      <w:r>
        <w:rPr>
          <w:rFonts w:ascii="Times New Roman" w:hAnsi="Times New Roman" w:cs="Times New Roman"/>
          <w:b w:val="0"/>
          <w:i w:val="0"/>
          <w:sz w:val="24"/>
        </w:rPr>
        <w:t xml:space="preserve"> the more likely explanation.</w:t>
      </w:r>
    </w:p>
    <w:p>
      <w:pPr>
        <w:spacing w:before="0" w:after="0" w:lineRule="auto" w:line="480"/>
        <w:ind w:firstLine="720"/>
        <w:jc w:val="left"/>
      </w:pPr>
      <w:r>
        <w:rPr>
          <w:rFonts w:ascii="Times New Roman" w:hAnsi="Times New Roman" w:cs="Times New Roman"/>
          <w:b w:val="0"/>
          <w:i w:val="0"/>
          <w:sz w:val="24"/>
        </w:rPr>
        <w:t xml:space="preserve">Together, these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correspondingly </w:t>
      </w:r>
      <w:r>
        <w:rPr>
          <w:rFonts w:ascii="Times New Roman" w:hAnsi="Times New Roman" w:cs="Times New Roman"/>
          <w:b w:val="0"/>
          <w:i w:val="0"/>
          <w:color w:val="FF0000"/>
          <w:sz w:val="24"/>
        </w:rPr>
        <w:t>reduce</w:t>
      </w:r>
      <w:r>
        <w:rPr>
          <w:rFonts w:ascii="Times New Roman" w:hAnsi="Times New Roman" w:cs="Times New Roman"/>
          <w:b w:val="0"/>
          <w:i w:val="0"/>
          <w:sz w:val="24"/>
        </w:rPr>
        <w:t xml:space="preserve"> volunteering, 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 xml:space="preserve">We focus on Gen Z (born after 1997) because it is the first generation to have entered adulthood entirely within a digitally mediated social environment, where the in-person settings that historically exposed young people to civic recruitment (after-school hangouts, religious youth groups, community events) have been partially displaced by screen-based interaction (Pew Research Center, 2018). </w:t>
      </w:r>
      <w:r>
        <w:rPr>
          <w:rFonts w:ascii="Times New Roman" w:hAnsi="Times New Roman" w:cs="Times New Roman"/>
          <w:b w:val="0"/>
          <w:i w:val="0"/>
          <w:color w:val="0000FF"/>
          <w:sz w:val="24"/>
        </w:rPr>
        <w:t>We note that Twenge (2017) defined "iGen" as those born after 1995; we follow the Pew Research Center convention of 1997 as the Gen Z boundary, which is more widely used in demographic research and aligns with the CPS-CEV age structure across our study waves.</w:t>
      </w:r>
      <w:r>
        <w:rPr>
          <w:rFonts w:ascii="Times New Roman" w:hAnsi="Times New Roman" w:cs="Times New Roman"/>
          <w:b w:val="0"/>
          <w:i w:val="0"/>
          <w:sz w:val="24"/>
        </w:rPr>
        <w:t xml:space="preserve"> CPS-CEV data consistently show that Gen Z reports the highest rates of minimal socialization, making this cohort a critical test case for whether online interaction can substitute for face-to-face contact in generating civic engagement. Generation is operationalized as a moderating variable because generational membership captures shared formative experiences that shape how individuals relate to civic institutions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Education and employment are primary resource predictors of civic engagement in the CVM framework (Verba et al., 1995; Wilson, 2012). However, whether these pathways operate with equal strength across generational cohorts has received limited attention. The resource model implicitly assumes that education and employment generate social contacts that serve as recruitment channels, an assumption that may be less reliable for Gen Z, whose social connections increasingly occur through digital rather than institutional channels (Schlozman et al., 2012; Musick &amp; Wilson, 2008).</w:t>
      </w:r>
    </w:p>
    <w:p>
      <w:pPr>
        <w:spacing w:before="0" w:after="0" w:lineRule="auto" w:line="480"/>
        <w:ind w:firstLine="720"/>
        <w:jc w:val="left"/>
      </w:pPr>
      <w:r>
        <w:rPr>
          <w:rFonts w:ascii="Times New Roman" w:hAnsi="Times New Roman" w:cs="Times New Roman"/>
          <w:b w:val="0"/>
          <w:i w:val="0"/>
          <w:sz w:val="24"/>
        </w:rPr>
        <w:t>We also examine civic social media use as a potential moderator. Bennett and Segerberg's (2012) "connective action" framework and the "digital compensation" hypothesis (Norris, 2002) raise the possibility that online civic engagement could partially offset the volunteering deficit associated with social isolation, among digitally native cohorts especially.</w:t>
      </w:r>
    </w:p>
    <w:p>
      <w:pPr>
        <w:spacing w:before="0" w:after="0" w:lineRule="auto" w:line="480"/>
        <w:jc w:val="left"/>
      </w:pPr>
      <w:r>
        <w:rPr>
          <w:rFonts w:ascii="Times New Roman" w:hAnsi="Times New Roman" w:cs="Times New Roman"/>
          <w:b/>
          <w:i w:val="0"/>
          <w:sz w:val="24"/>
        </w:rPr>
        <w:t>Social Disconnection and Civic Consequences</w:t>
      </w:r>
    </w:p>
    <w:p>
      <w:pPr>
        <w:spacing w:before="0" w:after="0" w:lineRule="auto" w:line="480"/>
        <w:ind w:firstLine="720"/>
        <w:jc w:val="left"/>
      </w:pPr>
      <w:r>
        <w:rPr>
          <w:rFonts w:ascii="Times New Roman" w:hAnsi="Times New Roman" w:cs="Times New Roman"/>
          <w:b w:val="0"/>
          <w:i w:val="0"/>
          <w:sz w:val="24"/>
        </w:rPr>
        <w:t xml:space="preserve">In 2023, the Surgeon General's advisory noted that social isolation "undermines the social infrastructure on which democratic participation depends" (Office of the Surgeon General, 2023), a claim that has received limited empirical testing in the </w:t>
      </w:r>
      <w:r>
        <w:rPr>
          <w:rFonts w:ascii="Times New Roman" w:hAnsi="Times New Roman" w:cs="Times New Roman"/>
          <w:b w:val="0"/>
          <w:i w:val="0"/>
          <w:color w:val="FF0000"/>
          <w:sz w:val="24"/>
        </w:rPr>
        <w:t>context of volunteerism.</w:t>
      </w:r>
      <w:r>
        <w:rPr>
          <w:rFonts w:ascii="Times New Roman" w:hAnsi="Times New Roman" w:cs="Times New Roman"/>
          <w:b w:val="0"/>
          <w:i w:val="0"/>
          <w:sz w:val="24"/>
        </w:rPr>
        <w:t xml:space="preserve"> Cacioppo and Cacioppo (2014) provided a theoretical bridge: their model argues that perceived social isolation triggers a self-reinforcing cycle of social withdrawal, hypervigilance to social threat, and reduced interpersonal trust. In civic terms, the most isolated individuals are the least likely to encounter the recruitment appeals that social capital theory identifies as the primary mechanism for volunteering initiation. The prediction is nonlinear. Even small reductions in isolation may break the withdrawal cycle and yield disproportionate gains in civic engagement. </w:t>
      </w:r>
      <w:r>
        <w:rPr>
          <w:rFonts w:ascii="Times New Roman" w:hAnsi="Times New Roman" w:cs="Times New Roman"/>
          <w:b w:val="0"/>
          <w:i w:val="0"/>
          <w:color w:val="0000FF"/>
          <w:sz w:val="24"/>
        </w:rPr>
        <w:t>We term this predicted pattern the "First Step Effect": the hypothesis that the transition from complete social isolation to even minimal in-person contact will be associated with a disproportionately large increase in volunteering probability, exceeding the marginal gains from subsequent increases in socialization frequency.</w:t>
      </w:r>
      <w:r>
        <w:rPr>
          <w:rFonts w:ascii="Times New Roman" w:hAnsi="Times New Roman" w:cs="Times New Roman"/>
          <w:b w:val="0"/>
          <w:i w:val="0"/>
          <w:sz w:val="24"/>
        </w:rPr>
        <w:t xml:space="preserve"> </w:t>
      </w:r>
      <w:r>
        <w:rPr>
          <w:rFonts w:ascii="Times New Roman" w:hAnsi="Times New Roman" w:cs="Times New Roman"/>
          <w:b w:val="0"/>
          <w:i w:val="0"/>
          <w:color w:val="FF0000"/>
          <w:sz w:val="24"/>
        </w:rPr>
        <w:t>This is</w:t>
      </w:r>
      <w:r>
        <w:rPr>
          <w:rFonts w:ascii="Times New Roman" w:hAnsi="Times New Roman" w:cs="Times New Roman"/>
          <w:b w:val="0"/>
          <w:i w:val="0"/>
          <w:sz w:val="24"/>
        </w:rPr>
        <w:t xml:space="preserve">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 xml:space="preserve">This study examines the association between in-person socialization frequency and volunteering across generational cohorts using four waves of nationally representative data from the Current Population Survey Civic Engagement and Volunteering Supplement (2017, 2019, 2021, 2023). We employ an integrated </w:t>
      </w:r>
      <w:r>
        <w:rPr>
          <w:rFonts w:ascii="Times New Roman" w:hAnsi="Times New Roman" w:cs="Times New Roman"/>
          <w:b w:val="0"/>
          <w:i w:val="0"/>
          <w:color w:val="FF0000"/>
          <w:sz w:val="24"/>
        </w:rPr>
        <w:t>analytical</w:t>
      </w:r>
      <w:r>
        <w:rPr>
          <w:rFonts w:ascii="Times New Roman" w:hAnsi="Times New Roman" w:cs="Times New Roman"/>
          <w:b w:val="0"/>
          <w:i w:val="0"/>
          <w:sz w:val="24"/>
        </w:rPr>
        <w:t xml:space="preserve"> design that combines variable-centered regression and person-centered profiling to </w:t>
      </w:r>
      <w:r>
        <w:rPr>
          <w:rFonts w:ascii="Times New Roman" w:hAnsi="Times New Roman" w:cs="Times New Roman"/>
          <w:b w:val="0"/>
          <w:i w:val="0"/>
          <w:color w:val="FF0000"/>
          <w:sz w:val="24"/>
        </w:rPr>
        <w:t>achieve</w:t>
      </w:r>
      <w:r>
        <w:rPr>
          <w:rFonts w:ascii="Times New Roman" w:hAnsi="Times New Roman" w:cs="Times New Roman"/>
          <w:b w:val="0"/>
          <w:i w:val="0"/>
          <w:sz w:val="24"/>
        </w:rPr>
        <w:t xml:space="preserve"> methodological triangulation </w:t>
      </w:r>
      <w:r>
        <w:rPr>
          <w:rFonts w:ascii="Times New Roman" w:hAnsi="Times New Roman" w:cs="Times New Roman"/>
          <w:b w:val="0"/>
          <w:i w:val="0"/>
          <w:color w:val="FF0000"/>
          <w:sz w:val="24"/>
        </w:rPr>
        <w:t>and strengthen inference</w:t>
      </w:r>
      <w:r>
        <w:rPr>
          <w:rFonts w:ascii="Times New Roman" w:hAnsi="Times New Roman" w:cs="Times New Roman"/>
          <w:b w:val="0"/>
          <w:i w:val="0"/>
          <w:sz w:val="24"/>
        </w:rPr>
        <w:t xml:space="preserve">. By spanning four waves that bracket the COVID-19 pandemic, </w:t>
      </w:r>
      <w:r>
        <w:rPr>
          <w:rFonts w:ascii="Times New Roman" w:hAnsi="Times New Roman" w:cs="Times New Roman"/>
          <w:b w:val="0"/>
          <w:i w:val="0"/>
          <w:color w:val="FF0000"/>
          <w:sz w:val="24"/>
        </w:rPr>
        <w:t>the design enables us to</w:t>
      </w:r>
      <w:r>
        <w:rPr>
          <w:rFonts w:ascii="Times New Roman" w:hAnsi="Times New Roman" w:cs="Times New Roman"/>
          <w:b w:val="0"/>
          <w:i w:val="0"/>
          <w:sz w:val="24"/>
        </w:rPr>
        <w:t xml:space="preserve"> distinguish structural cohort effects from pandemic-specific disruptions. </w:t>
      </w:r>
      <w:r>
        <w:rPr>
          <w:rFonts w:ascii="Times New Roman" w:hAnsi="Times New Roman" w:cs="Times New Roman"/>
          <w:b w:val="0"/>
          <w:i w:val="0"/>
          <w:color w:val="FF0000"/>
          <w:sz w:val="24"/>
        </w:rPr>
        <w:t>Guided by this framework, the study addresses two complementary research questions: differential associations across generations and the underlying civic engagement profiles that characterize participation patterns.</w:t>
      </w:r>
    </w:p>
    <w:p>
      <w:pPr>
        <w:spacing w:before="0" w:after="0" w:lineRule="auto" w:line="480"/>
        <w:ind w:firstLine="720"/>
        <w:jc w:val="left"/>
      </w:pPr>
      <w:r>
        <w:rPr>
          <w:rFonts w:ascii="Times New Roman" w:hAnsi="Times New Roman" w:cs="Times New Roman"/>
          <w:b w:val="0"/>
          <w:i w:val="0"/>
          <w:color w:val="0000FF"/>
          <w:sz w:val="24"/>
        </w:rPr>
        <w:t>The dependent variable is volunteering status (volunteered in the past 12 months). The independent variable is in-person socialization frequency. Generational cohort serves as the primary moderator of the socialization-volunteering association. Education, employment status, civic social media use, and the COVID-19 period are examined as exploratory moderators through three-way interactions (see Figure 1).</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819049"/>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9"/>
                    <a:stretch>
                      <a:fillRect/>
                    </a:stretch>
                  </pic:blipFill>
                  <pic:spPr>
                    <a:xfrm>
                      <a:off x="0" y="0"/>
                      <a:ext cx="5029200" cy="3819049"/>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Conceptual framework. The primary relationship between in-person socialization (IV) and volunteering (DV) is moderated by generational cohort. Three-way interactions test whether education, employment, civic social media use, and the COVID-19 period further condition this relationship. Three analytic stages provide methodological triangulation.</w:t>
      </w:r>
    </w:p>
    <w:p>
      <w:pPr>
        <w:spacing w:before="0" w:after="0" w:lineRule="auto" w:line="480"/>
        <w:ind w:firstLine="720"/>
        <w:jc w:val="left"/>
      </w:pPr>
      <w:r>
        <w:rPr>
          <w:rFonts w:ascii="Times New Roman" w:hAnsi="Times New Roman" w:cs="Times New Roman"/>
          <w:b w:val="0"/>
          <w:i/>
          <w:color w:val="0000FF"/>
          <w:sz w:val="24"/>
        </w:rPr>
        <w:t>Note.</w:t>
      </w:r>
      <w:r>
        <w:rPr>
          <w:rFonts w:ascii="Times New Roman" w:hAnsi="Times New Roman" w:cs="Times New Roman"/>
          <w:b w:val="0"/>
          <w:i w:val="0"/>
          <w:color w:val="0000FF"/>
          <w:sz w:val="24"/>
        </w:rPr>
        <w:t xml:space="preserve"> Figure 1 displays the conceptual framework. In-person socialization (IV) predicts volunteering (DV), with generational cohort as the primary moderator (MV). Education, employment, civic social media use, and COVID-19 period are exploratory moderators tested via three-way interactions. The person-centered component (LPA) provides methodological triangulation.</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w:t>
      </w:r>
      <w:r>
        <w:rPr>
          <w:rFonts w:ascii="Times New Roman" w:hAnsi="Times New Roman" w:cs="Times New Roman"/>
          <w:b w:val="0"/>
          <w:i w:val="0"/>
          <w:color w:val="FF0000"/>
          <w:sz w:val="24"/>
        </w:rPr>
        <w:t>association between socialization and volunteering at higher levels of socialization than</w:t>
      </w:r>
      <w:r>
        <w:rPr>
          <w:rFonts w:ascii="Times New Roman" w:hAnsi="Times New Roman" w:cs="Times New Roman"/>
          <w:b w:val="0"/>
          <w:i w:val="0"/>
          <w:sz w:val="24"/>
        </w:rPr>
        <w:t xml:space="preserve">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will be stable across the pre- and post-COVID periods, </w:t>
      </w:r>
      <w:r>
        <w:rPr>
          <w:rFonts w:ascii="Times New Roman" w:hAnsi="Times New Roman" w:cs="Times New Roman"/>
          <w:b w:val="0"/>
          <w:i w:val="0"/>
          <w:color w:val="FF0000"/>
          <w:sz w:val="24"/>
        </w:rPr>
        <w:t>supporting a cohort-based rather than period-based interpretation.</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w:t>
      </w:r>
      <w:r>
        <w:rPr>
          <w:rFonts w:ascii="Times New Roman" w:hAnsi="Times New Roman" w:cs="Times New Roman"/>
          <w:b w:val="0"/>
          <w:i w:val="0"/>
          <w:color w:val="FF0000"/>
          <w:sz w:val="24"/>
        </w:rPr>
        <w:t>in-person socialization, organizational membership, and charitable donation</w:t>
      </w:r>
      <w:r>
        <w:rPr>
          <w:rFonts w:ascii="Times New Roman" w:hAnsi="Times New Roman" w:cs="Times New Roman"/>
          <w:b w:val="0"/>
          <w:i w:val="0"/>
          <w:sz w:val="24"/>
        </w:rPr>
        <w:t>,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w:t>
      </w:r>
      <w:r>
        <w:rPr>
          <w:rFonts w:ascii="Times New Roman" w:hAnsi="Times New Roman" w:cs="Times New Roman"/>
          <w:b w:val="0"/>
          <w:i w:val="0"/>
          <w:color w:val="FF0000"/>
          <w:sz w:val="24"/>
        </w:rPr>
        <w:t>and the frequency of in-person socialization within a sample large enough to support robust subgroup analyses across generational cohorts.</w:t>
      </w:r>
      <w:r>
        <w:rPr>
          <w:rFonts w:ascii="Times New Roman" w:hAnsi="Times New Roman" w:cs="Times New Roman"/>
          <w:b w:val="0"/>
          <w:i w:val="0"/>
          <w:sz w:val="24"/>
        </w:rPr>
        <w:t xml:space="preserve"> </w:t>
      </w:r>
      <w:r>
        <w:rPr>
          <w:rFonts w:ascii="Times New Roman" w:hAnsi="Times New Roman" w:cs="Times New Roman"/>
          <w:b w:val="0"/>
          <w:i w:val="0"/>
          <w:color w:val="0000FF"/>
          <w:sz w:val="24"/>
        </w:rPr>
        <w:t>The supplement is administered biennially; the 2017, 2019, 2021, and 2023 waves represent all available administrations during the study period.</w:t>
      </w:r>
      <w:r>
        <w:rPr>
          <w:rFonts w:ascii="Times New Roman" w:hAnsi="Times New Roman" w:cs="Times New Roman"/>
          <w:b w:val="0"/>
          <w:i w:val="0"/>
          <w:sz w:val="24"/>
        </w:rPr>
        <w:t xml:space="preserve">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criterion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 xml:space="preserve">Respondents were classified into five generational cohorts based on birth year (calculated as survey year minus age): Generation Z (born 1997 or later), Millennials (1981-1996), Generation X (1965-1980), Baby Boomers (1946-1964), and the Silent Generation (born before 1946). </w:t>
      </w:r>
      <w:r>
        <w:rPr>
          <w:rFonts w:ascii="Times New Roman" w:hAnsi="Times New Roman" w:cs="Times New Roman"/>
          <w:b w:val="0"/>
          <w:i w:val="0"/>
          <w:color w:val="0000FF"/>
          <w:sz w:val="24"/>
        </w:rPr>
        <w:t>Generational cohort serves as the primary moderator of the socialization-volunteering association; Generation Z is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w:t>
      </w:r>
      <w:r>
        <w:rPr>
          <w:rFonts w:ascii="Times New Roman" w:hAnsi="Times New Roman" w:cs="Times New Roman"/>
          <w:b w:val="0"/>
          <w:i w:val="0"/>
          <w:color w:val="0000FF"/>
          <w:sz w:val="24"/>
        </w:rPr>
        <w:t>exploratory</w:t>
      </w:r>
      <w:r>
        <w:rPr>
          <w:rFonts w:ascii="Times New Roman" w:hAnsi="Times New Roman" w:cs="Times New Roman"/>
          <w:b w:val="0"/>
          <w:i w:val="0"/>
          <w:sz w:val="24"/>
        </w:rPr>
        <w:t xml:space="preserve">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w:t>
      </w:r>
      <w:r>
        <w:rPr>
          <w:rFonts w:ascii="Times New Roman" w:hAnsi="Times New Roman" w:cs="Times New Roman"/>
          <w:b w:val="0"/>
          <w:i w:val="0"/>
          <w:color w:val="0000FF"/>
          <w:sz w:val="24"/>
        </w:rPr>
        <w:t>civic</w:t>
      </w:r>
      <w:r>
        <w:rPr>
          <w:rFonts w:ascii="Times New Roman" w:hAnsi="Times New Roman" w:cs="Times New Roman"/>
          <w:b w:val="0"/>
          <w:i w:val="0"/>
          <w:sz w:val="24"/>
        </w:rPr>
        <w:t xml:space="preserve">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 xml:space="preserve">Six indicators were used to construct civic engagement typologies. Three are binary: boycotting a product for social or political reasons (CEBOYCOTT), contacting a public official (CEPUBOFF), and donating to a charitable or religious organization (VLDONATE). Two are ordinal (scaled 1-6): frequency of </w:t>
      </w:r>
      <w:r>
        <w:rPr>
          <w:rFonts w:ascii="Times New Roman" w:hAnsi="Times New Roman" w:cs="Times New Roman"/>
          <w:b w:val="0"/>
          <w:i w:val="0"/>
          <w:color w:val="FF0000"/>
          <w:sz w:val="24"/>
        </w:rPr>
        <w:t>discussing civic topics</w:t>
      </w:r>
      <w:r>
        <w:rPr>
          <w:rFonts w:ascii="Times New Roman" w:hAnsi="Times New Roman" w:cs="Times New Roman"/>
          <w:b w:val="0"/>
          <w:i w:val="0"/>
          <w:sz w:val="24"/>
        </w:rPr>
        <w:t xml:space="preserve"> (CEPOLCONV) and frequency of in-person social contact (CESOCIALIZE). The sixth, organizational membership (VLMEMBERN), is a count of the number of organizations to which the respondent belongs (respondents reporting no membership via VLMEMBER were coded as 0).</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Together, these indicators span multiple dimensions of civic life (civic action, social connection, institutional membership, and philanthropic behavior), 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two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 xml:space="preserve">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w:t>
      </w:r>
      <w:r>
        <w:rPr>
          <w:rFonts w:ascii="Times New Roman" w:hAnsi="Times New Roman" w:cs="Times New Roman"/>
          <w:b w:val="0"/>
          <w:i w:val="0"/>
          <w:color w:val="FF0000"/>
          <w:sz w:val="24"/>
        </w:rPr>
        <w:t>during the pandemic.</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(Collins &amp; Lanza, 2010). We evaluate models with 2-7 profiles using the EII parameterization, selecting the optimal number based on BIC, entropy, and BLRT. Given the large sample size, model selection is conducted on a random subsample of 20,000 cases, with the selected model refit to the full sample. Profiles are characterized by indicator means, generational distribution, volunteering rates, and pre/post-COVID stability.</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color w:val="FF0000"/>
          <w:sz w:val="24"/>
        </w:rPr>
        <w:t>Regression analyses were conducted in R using</w:t>
      </w:r>
      <w:r>
        <w:rPr>
          <w:rFonts w:ascii="Times New Roman" w:hAnsi="Times New Roman" w:cs="Times New Roman"/>
          <w:b w:val="0"/>
          <w:i w:val="0"/>
          <w:sz w:val="24"/>
        </w:rPr>
        <w:t xml:space="preserve"> the `survey` (Lumley, 2020) and `marginaleffects` (Arel-Bundock, 2023) packages. LPA used `mclust` (Scrucca et al., 2016).</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We conducted three robustness analyses to test the sensitivity of the regression findings. To confirm that the First Step Effect reflects a genuine threshold rather than an artifact of scale concavity, we compared the observed categorical AMEs to predictions from a smooth log-linear specification. We also added organizational membership (VLMEMBERN) as a covariate to assess whether the socialization pathway operates through institutional embeddedness. A nonlinear age control (age-squared) was included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Pooled across four CPS-CEV waves (2017, 2019, 2021, 2023), the analytic sample comprised 201,168 respondents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 a rate that was stable across all four waves (range: 44.6–47.8%), indicating that Gen Z's social disconnection preceded the COVID-19 pandemic and was independent of it. The generational contrast is worth spelling out: nearly half of the youngest adult cohort in a nationally representative sample reports that their face-to-face social contact amounts to no more than a few encounters per year, a level of isolation that, for older generations, characterizes fewer than one in five respondents.</w:t>
      </w:r>
    </w:p>
    <w:p>
      <w:pPr>
        <w:spacing w:before="240" w:after="0" w:lineRule="auto" w:line="480"/>
        <w:jc w:val="left"/>
      </w:pPr>
      <w:r>
        <w:rPr>
          <w:rFonts w:ascii="Times New Roman" w:hAnsi="Times New Roman" w:cs="Times New Roman"/>
          <w:b/>
          <w:i/>
          <w:sz w:val="24"/>
        </w:rPr>
        <w:t>Table 1</w:t>
      </w:r>
    </w:p>
    <w:p>
      <w:pPr>
        <w:spacing w:before="0" w:after="80" w:lineRule="auto" w:line="480"/>
        <w:jc w:val="left"/>
      </w:pPr>
      <w:r>
        <w:rPr>
          <w:rFonts w:ascii="Times New Roman" w:hAnsi="Times New Roman" w:cs="Times New Roman"/>
          <w:b w:val="0"/>
          <w:i/>
          <w:sz w:val="24"/>
        </w:rPr>
        <w:t>Sample Characteristics by Generational Cohort (CPS-CEV 2017–2023, N = 201,168)</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Total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Z</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Millennial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X</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Boomer</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Silent</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Test</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(unweighted)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50,325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48,042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68,065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23,698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 (18.2)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21.0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 (5.1)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 (5.2)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64.2 (5.8)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 (3.8)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665381.3***</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106,788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5,507 (49.4)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26,317 (50.2)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24,942 (51.0)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36,496 (52.4)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13,526 (57.2)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F(3, 374115) = 60.6***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Race/ethnicity</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F(15, 1728276) = 212.6***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White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144,946 (62.6)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6,416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32,592 (55.2)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32,739 (60.0)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53,428 (71.3)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19,771 (78.5)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Black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18,583 (11.8)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1,212 (13.6)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4,791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4,685 (11.9)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6,208 (10.8)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1,687 (8.0)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Hispanic,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22,817 (16.8)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2,315 (24.2)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7,964 (21.0)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6,586 (18.9)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4,757 (11.0)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1,195 (8.1)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Asian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9,619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601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3,286 (7.2)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2,697 (6.9)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2,343 (5.0)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692 (4.1)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Other,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5,203 (2.6)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494 (4.4)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1,692 (3.3)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1,329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 (1.3)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73,097 (34.6)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1,582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21,876 (40.8)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19,530 (39.3)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23,245 (33.4)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6,864 (28.2)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422182) = 766.5***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118,676 (62.1)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6,984 (60.4)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41,119 (80.8)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38,611 (79.7)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30,015 (45.0)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1,947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419255) = 6474.1***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110,475 (52.2)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1,061 (7.4)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25,060 (46.6)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30,300 (64.7)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42,339 (62.8)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11,715 (49.3)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433364) = 2793.5***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158,531 (86.3)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8,810 (86.5)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41,467 (88.7)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38,649 (87.3)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51,816 (83.9)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17,789 (82.8)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424107) = 114.5***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97,683 (60,836)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92,704 (61,417)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100,659 (59,981)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111,025 (60,894)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93,007 (60,040)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69,646 (53,038)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1238.7***</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freq.,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116828) = 1031.8***</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Minimal socialization,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74,735 (41.0)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6,542 (60.3)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22,800 (48.3)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17,487 (38.1)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20,852 (32.6)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7,054 (32.1)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431620) = 883.1***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Civic social media use,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25,456 (12.8)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1,794 (16.4)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7,375 (14.6)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6,418 (12.7)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8,026 (11.5)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1,843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415137) = 127.5***</w:t>
            </w:r>
          </w:p>
        </w:tc>
      </w:tr>
      <w:tr>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Volunteered, n (%)</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64,366 (29.4)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 (23.4)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16,010 (28.3)</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17,656 (34.5)</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21,929 (29.7)</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6,137 (24.0)</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424814) = 175.5***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Minimal socialization = reported socializing not at all or a few times per year. Civic SM = used social media for civic or political purposes. Test statistics are design-corrected F-tests.</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240" w:after="0" w:lineRule="auto" w:line="480"/>
        <w:jc w:val="left"/>
      </w:pPr>
      <w:r>
        <w:rPr>
          <w:rFonts w:ascii="Times New Roman" w:hAnsi="Times New Roman" w:cs="Times New Roman"/>
          <w:b/>
          <w:i/>
          <w:sz w:val="24"/>
        </w:rPr>
        <w:t>Table 6</w:t>
      </w:r>
    </w:p>
    <w:p>
      <w:pPr>
        <w:spacing w:before="0" w:after="80" w:lineRule="auto" w:line="480"/>
        <w:jc w:val="left"/>
      </w:pPr>
      <w:r>
        <w:rPr>
          <w:rFonts w:ascii="Times New Roman" w:hAnsi="Times New Roman" w:cs="Times New Roman"/>
          <w:b w:val="0"/>
          <w:i/>
          <w:sz w:val="24"/>
        </w:rPr>
        <w:t>Volunteering and Minimal Socialization Rates by Generation and Survey Wave (Survey-Weighted Estimates)</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wave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44.6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1839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14323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15075</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20397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2400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13072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12552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17597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6607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2859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11483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10293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14901</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45.9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11447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10122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15170</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4085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Vol. = volunteering rate (%). No Soc. = reported socializing not at all (%). Low Soc. = reported socializing a few times per year or less (%). SE in parentheses. The 2021 wave was administered during the COVID-19 pandemic.</w:t>
      </w:r>
    </w:p>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Table 2). Figure 2 displays the predicted probabilities. Two patterns stand out.</w:t>
      </w:r>
    </w:p>
    <w:p>
      <w:pPr>
        <w:spacing w:before="240" w:after="0" w:lineRule="auto" w:line="480"/>
        <w:jc w:val="left"/>
      </w:pPr>
      <w:r>
        <w:rPr>
          <w:rFonts w:ascii="Times New Roman" w:hAnsi="Times New Roman" w:cs="Times New Roman"/>
          <w:b/>
          <w:i/>
          <w:sz w:val="24"/>
        </w:rPr>
        <w:t>Table 2</w:t>
      </w:r>
    </w:p>
    <w:p>
      <w:pPr>
        <w:spacing w:before="0" w:after="80" w:lineRule="auto" w:line="480"/>
        <w:jc w:val="left"/>
      </w:pPr>
      <w:r>
        <w:rPr>
          <w:rFonts w:ascii="Times New Roman" w:hAnsi="Times New Roman" w:cs="Times New Roman"/>
          <w:b w:val="0"/>
          <w:i/>
          <w:sz w:val="24"/>
        </w:rPr>
        <w:t>Survey-Weighted Logistic Regression Predicting Volunteering (Model 1: Socialization × Generation Interaction)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340"/>
        <w:gridCol w:w="2340"/>
        <w:gridCol w:w="2340"/>
        <w:gridCol w:w="2340"/>
      </w:tblGrid>
      <w:tr>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Main Effects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times/yr (ref: Not at all)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[1.401, 2.025]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Once/mo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[2.000, 2.998]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[2.091, 2.986]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times/wk</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[2.081, 2.976]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Daily</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[2.176, 3.460]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Millennial (ref: Gen Z)</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[0.659, 0.826]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[0.656, 0.857]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0.533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[0.453, 0.627]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[0.338, 0.525]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[0.998, 1.003]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[1.434, 1.502]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Black NH (ref: Asian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[1.709, 2.027]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Hispanic</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[1.096,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Other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[1.862, 2.332]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White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[1.967, 2.264]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[2.208, 2.340]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[1.133, 1.212]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[1.292, 1.371]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(log)</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[1.215, 1.266]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[0.894, 0.964]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Northeast (ref: Midwest)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[0.743, 0.815]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South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[0.789, 0.851]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[0.866, 0.940]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Post-COVID period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[0.736, 0.782]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x Generation Interactions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0.947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[0.774, 1.159]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0.600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[0.650, 1.010]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0.061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[0.710, 1.045]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[0.864, 1.274]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0.628</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[0.854, 1.420]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1.052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[0.857,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0.917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[0.734, 1.145]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0.445</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[0.831, 1.224]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[1.100, 1.620]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[0.932, 1.539]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0.160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1.075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[0.875, 1.319]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0.491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[0.827, 1.288]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1.167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[0.961, 1.416]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0.119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[1.243, 1.831]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[1.251, 2.055]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[0.860, 1.424]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0.433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[0.773, 1.321]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0.937</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[0.921, 1.456]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[1.332, 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1.594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[1.213, 2.095]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Interaction Wald Tests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df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1: Soc x Generation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2: Soc x Gen x Education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3: Soc x Gen x Employment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4: Soc x Gen x Civic SM</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5: Soc x Gen x Post-COVID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Fit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McFadden pseudo R² = 0.1144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 201,168</w:t>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OR = odds ratio. CI = confidence interval. Survey-weighted logistic regression (quasibinomial). All models control for age, sex, race/ethnicity, education (BA+), employment, marital status, family income (log), metropolitan status, region, and post-COVID period. Interaction Wald tests use design-corrected F-statistics. McFadden pseudo R² computed as 1 − (deviance / null deviance).</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1_pred_prob.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Predicted probability of volunteering by in-person socialization frequency and generation, from survey-weighted logistic regression (Model 1). The steep initial rise illustrates the First Step Effect; Gen Z's flattening beyond moderate socialization illustrates the generational plateau. Shaded bands represent 95% confidence intervals.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4_ame_first_step.png"/>
                    <pic:cNvPicPr/>
                  </pic:nvPicPr>
                  <pic:blipFill>
                    <a:blip r:embed="rId11"/>
                    <a:stretch>
                      <a:fillRect/>
                    </a:stretch>
                  </pic:blipFill>
                  <pic:spPr>
                    <a:xfrm>
                      <a:off x="0" y="0"/>
                      <a:ext cx="5029200" cy="25146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The First Step Effect: Average Marginal Effect of transitioning from no socialization to minimal socialization (few times per year) on volunteering probability, by generation. The effect is universal across all five cohorts (7.3 to 10.3 percentage points). Error bars represent 95% confidence intervals.</w:t>
      </w:r>
    </w:p>
    <w:p>
      <w:pPr>
        <w:spacing w:before="0" w:after="0" w:lineRule="auto" w:line="480"/>
        <w:ind w:firstLine="720"/>
        <w:jc w:val="left"/>
      </w:pPr>
      <w:r>
        <w:rPr>
          <w:rFonts w:ascii="Times New Roman" w:hAnsi="Times New Roman" w:cs="Times New Roman"/>
          <w:b w:val="0"/>
          <w:i w:val="0"/>
          <w:sz w:val="24"/>
        </w:rPr>
        <w:t>A universal threshold emerged. For every generation, the transition from no socialization to minimal socialization (a few times per year) was associated with the single largest marginal gain in volunteering probability (Table 3). This "First Step" effect ranged from 7.3 percentage points for the Silent Generation to 10.3 points for Gen X, with Gen Z at 8.1 points (95% CI [5.0, 11.2]), comparable in magnitude to the education gradient (BA+ vs. no BA). Subsequent transitions yielded progressively smaller gains, following a concave dose–response pattern: the move from isolation to minimal contact is worth roughly as much, in volunteering probability terms,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 but a substantial independent association remained.</w:t>
      </w:r>
    </w:p>
    <w:p>
      <w:pPr>
        <w:spacing w:before="240" w:after="0" w:lineRule="auto" w:line="480"/>
        <w:jc w:val="left"/>
      </w:pPr>
      <w:r>
        <w:rPr>
          <w:rFonts w:ascii="Times New Roman" w:hAnsi="Times New Roman" w:cs="Times New Roman"/>
          <w:b/>
          <w:i/>
          <w:sz w:val="24"/>
        </w:rPr>
        <w:t>Table 3</w:t>
      </w:r>
    </w:p>
    <w:p>
      <w:pPr>
        <w:spacing w:before="0" w:after="80" w:lineRule="auto" w:line="480"/>
        <w:jc w:val="left"/>
      </w:pPr>
      <w:r>
        <w:rPr>
          <w:rFonts w:ascii="Times New Roman" w:hAnsi="Times New Roman" w:cs="Times New Roman"/>
          <w:b w:val="0"/>
          <w:i/>
          <w:sz w:val="24"/>
        </w:rPr>
        <w:t>First Step Effect: Average Marginal Effects for the Transition From No Socialization to Minimal Socialization, by Generation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AME (pp)</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Total (pooled)</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 11.2]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 12.0]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0.69</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 10.1]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 9.5]</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AME = average marginal effect; pp = percentage points; SE = standard error; CI = confidence interval. AMEs represent the estimated change in volunteering probability for the transition from "Not at all" to "Few times/year" socialization, computed via the marginaleffects package with survey weights.</w:t>
      </w:r>
    </w:p>
    <w:p>
      <w:pPr>
        <w:spacing w:before="80" w:after="240" w:lineRule="auto" w:line="480"/>
      </w:pPr>
    </w:p>
    <w:p>
      <w:pPr>
        <w:spacing w:before="0" w:after="0" w:lineRule="auto" w:line="480"/>
        <w:ind w:firstLine="720"/>
        <w:jc w:val="left"/>
      </w:pPr>
      <w:r>
        <w:rPr>
          <w:rFonts w:ascii="Times New Roman" w:hAnsi="Times New Roman" w:cs="Times New Roman"/>
          <w:b w:val="0"/>
          <w:i w:val="0"/>
          <w:sz w:val="24"/>
        </w:rPr>
        <w:t>Gen Z deviated from this pattern with a plateau. Gen Z's predicted volunteering probability rose sharply from 27.3% at no socialization to 48.4% at a few times per month, then flatlined, 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which argues against the idea that low volunteering rates among Gen Z reflect weaker civic motivation. The plateau points instead to a decoupling: for Gen Z, additional face-to-face contact beyond a moderate threshold is not associated with additional civic recruitment, possibly because the social contexts in which high-frequency Gen Z socialization occurs lack ties to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is theoretically informative: digital civic engagement does not compensate for the absence of face-to-face socialization, and this holds uniformly across generations, 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Perhaps the most consequential test concerned temporal stability.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 (including the Gen Z plateau) were present before the pandemic and unchanged afterward. The pre-COVID First Step AME for Gen Z (10.7 points, 95% CI [5.8, 15.6]) was comparable to the full-sample estimate, and the overall relationship structure was preserved across periods. Declining youth volunteering is not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We turned to person-centered analysis to test whether the regression findings hold when individuals are classified by their full pattern of civic behavior rather than by individual predictors. LPA identified six distinct profiles (Tables 4–5; Figure 4).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0" w:lineRule="auto" w:line="480"/>
        <w:jc w:val="left"/>
      </w:pPr>
      <w:r>
        <w:rPr>
          <w:rFonts w:ascii="Times New Roman" w:hAnsi="Times New Roman" w:cs="Times New Roman"/>
          <w:b/>
          <w:i/>
          <w:sz w:val="24"/>
        </w:rPr>
        <w:t>Table 4</w:t>
      </w:r>
    </w:p>
    <w:p>
      <w:pPr>
        <w:spacing w:before="0" w:after="80" w:lineRule="auto" w:line="480"/>
        <w:jc w:val="left"/>
      </w:pPr>
      <w:r>
        <w:rPr>
          <w:rFonts w:ascii="Times New Roman" w:hAnsi="Times New Roman" w:cs="Times New Roman"/>
          <w:b w:val="0"/>
          <w:i/>
          <w:sz w:val="24"/>
        </w:rPr>
        <w:t>Latent Profile Analysis Model Fit Indices (EII Parameterization, 20,000 Subsample)</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Profiles</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Delta 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Entropy</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Selected</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-323775.8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-315925.7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7850.1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-312648.3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3277.4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-310013.6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-296036.5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13977.1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Yes</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7</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-291325.8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EII = spherical, equal volume parameterization. BIC = Bayesian information criterion. ΔBIC = improvement from the previous model. Entropy reported for the selected model only. Model selection conducted on a random subsample (n = 20,000) and refit to the full sample (N = 197,497).</w:t>
      </w:r>
    </w:p>
    <w:p>
      <w:pPr>
        <w:spacing w:before="80" w:after="240" w:lineRule="auto" w:line="480"/>
      </w:pPr>
    </w:p>
    <w:p>
      <w:pPr>
        <w:spacing w:before="240" w:after="0" w:lineRule="auto" w:line="480"/>
        <w:jc w:val="left"/>
      </w:pPr>
      <w:r>
        <w:rPr>
          <w:rFonts w:ascii="Times New Roman" w:hAnsi="Times New Roman" w:cs="Times New Roman"/>
          <w:b/>
          <w:i/>
          <w:sz w:val="24"/>
        </w:rPr>
        <w:t>Table 5</w:t>
      </w:r>
    </w:p>
    <w:p>
      <w:pPr>
        <w:spacing w:before="0" w:after="80" w:lineRule="auto" w:line="480"/>
        <w:jc w:val="left"/>
      </w:pPr>
      <w:r>
        <w:rPr>
          <w:rFonts w:ascii="Times New Roman" w:hAnsi="Times New Roman" w:cs="Times New Roman"/>
          <w:b w:val="0"/>
          <w:i/>
          <w:sz w:val="24"/>
        </w:rPr>
        <w:t>Latent Profile Characteristics: Indicator Means and Volunteering Rates (6-Profile Solution, N = 197,497)</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Boycott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Contact Officials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Political Conv.,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Socialization,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Org. Membership,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Donated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Volunteering (%)</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1: Isolated Disengaged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37,568 (19.0)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 Politically Aware Isolated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14,089 (7.1)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 (0.7)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 Socially Active Non-Donors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34,520 (17.5)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 Mainstream 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65,417 (33.1)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 (1.2)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99.9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 Activist Boycotters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22,266 (11.3)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4.3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46.9</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 Fully Engaged</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23,637 (12.0)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 (1.9)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86.6</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66.7</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Profile labels assigned post hoc based on indicator patterns. Continuous indicators reported as M (SD); binary indicators as percentages. Volunteering rate = proportion who volunteered in the past 12 months (not used as an LPA indicator).</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fig2_lpa_heatmap.png"/>
                    <pic:cNvPicPr/>
                  </pic:nvPicPr>
                  <pic:blipFill>
                    <a:blip r:embed="rId12"/>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Civic engagement profile characteristics from latent profile analysis. All values are normalized to a 0–100 scale for cross-indicator comparability. The green column shows volunteering rate (outcome variable, not used as an LPA indicator). Color intensity reflects within-indicator relative magnitude.</w:t>
      </w:r>
    </w:p>
    <w:p>
      <w:pPr>
        <w:spacing w:before="0" w:after="0" w:lineRule="auto" w:line="480"/>
        <w:ind w:firstLine="720"/>
        <w:jc w:val="left"/>
      </w:pPr>
      <w:r>
        <w:rPr>
          <w:rFonts w:ascii="Times New Roman" w:hAnsi="Times New Roman" w:cs="Times New Roman"/>
          <w:b w:val="0"/>
          <w:i w:val="0"/>
          <w:sz w:val="24"/>
        </w:rPr>
        <w:t>Generational sorting across profiles was pronounced (Figure 3). Over a third of Gen Z (35.3%) fell into the Isolated Disengaged profile, more than double the Boomer rate (15.3%), while only 3.7% of Gen Z reached Fully Engaged status (vs. 15.1% of Boomers). Combining the two socially isolated profiles (Isolated Disengaged and Politically Aware Isolated), over half of Gen Z (50.6%) occupied profiles defined by social disconnection. Profile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 a rate consistent with social disconnection being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3_lpa_gen_dist.png"/>
                    <pic:cNvPicPr/>
                  </pic:nvPicPr>
                  <pic:blipFill>
                    <a:blip r:embed="rId13"/>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Generational distribution across six latent civic engagement profiles. Over half of Gen Z (50.6%) occupies the two socially disconnected profiles (Isolated Disengaged and Politically Aware Isolated), while only 3.7% reaches Fully Engaged status.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In-person socialization is the single strongest correlate of volunteering among the most socially disconnected generation in the CPS-CEV record, and the transition from complete isolation to even occasional contact is associated with a larger civic return than any subsequent increase in social frequency. Two complementary analytic approaches (one variable-centered, one person-centered) converge on this conclusion despite sharing neither assumptions about variable roles nor distributional requirements. That convergence matters.</w:t>
      </w:r>
    </w:p>
    <w:p>
      <w:pPr>
        <w:spacing w:before="0" w:after="0" w:lineRule="auto" w:line="480"/>
        <w:ind w:firstLine="720"/>
        <w:jc w:val="left"/>
      </w:pPr>
      <w:r>
        <w:rPr>
          <w:rFonts w:ascii="Times New Roman" w:hAnsi="Times New Roman" w:cs="Times New Roman"/>
          <w:b w:val="0"/>
          <w:i w:val="0"/>
          <w:sz w:val="24"/>
        </w:rPr>
        <w:t>Consider a finding that did not have to turn out this way: Gen Z's predicted volunteering probability at zero socialization (27.3%) exceeded that of every older cohort, including Boomers (16.7%). If declining youth volunteering reflected weakened civic motivation, we would expect lower baseline rates, not higher ones. Gen Z appears more civically inclined at the individual level but less able to convert that inclination into sustained participation. The puzzle, then, is not whether young adults care about their communities (the baseline rates say they do) but why additional social contact fails to recruit them the way it recruits everyone else.</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that even minimal social contact should disrupt the self-reinforcing dynamic of isolation and perceived social threat, yielding disproportionate gains at the lowest end of the socialization continuum. The First Step Effect confirms that prediction across all five generations. Beyond that initial threshold, generational trajectories diverged. Gen Z's volunteering probability plateaued at moderate socialization levels; no older cohort exhibited this ceiling (see Figure 1). Putnam's (2000) social capital framework, which predicts continuous returns from accumulated contact, cannot account for this plateau. We read the Gen Z ceiling as reflecting a decoupling: additional face-to-face contact occurs in contexts stripped of the institutional anchoring through which civic recruitment historically operates. In Putnam's own terms, the youngest Americans are not bowling alone by choice; they are scrolling together in a digital environment that sustains the perception of connection without providing the face-to-face encounters through which civic recruitment occurs.</w:t>
      </w:r>
    </w:p>
    <w:p>
      <w:pPr>
        <w:spacing w:before="0" w:after="0" w:lineRule="auto" w:line="480"/>
        <w:ind w:firstLine="720"/>
        <w:jc w:val="left"/>
      </w:pPr>
      <w:r>
        <w:rPr>
          <w:rFonts w:ascii="Times New Roman" w:hAnsi="Times New Roman" w:cs="Times New Roman"/>
          <w:b w:val="0"/>
          <w:i w:val="0"/>
          <w:sz w:val="24"/>
        </w:rPr>
        <w:t>Education amplified the socialization–volunteering gradient more strongly for older cohorts (</w:t>
      </w:r>
      <w:r>
        <w:rPr>
          <w:rFonts w:ascii="Times New Roman" w:hAnsi="Times New Roman" w:cs="Times New Roman"/>
          <w:b w:val="0"/>
          <w:i/>
          <w:sz w:val="24"/>
        </w:rPr>
        <w:t>p</w:t>
      </w:r>
      <w:r>
        <w:rPr>
          <w:rFonts w:ascii="Times New Roman" w:hAnsi="Times New Roman" w:cs="Times New Roman"/>
          <w:b w:val="0"/>
          <w:i w:val="0"/>
          <w:sz w:val="24"/>
        </w:rPr>
        <w:t xml:space="preserve"> = .009), but the Gen Z plateau persisted even among degree holders. For Boomers and Gen Xers, holding a BA added roughly 3 percentage points of additional First Step return; for Gen Z, the boost was less than 1 point. Employment fell just short of conventional significance (</w:t>
      </w:r>
      <w:r>
        <w:rPr>
          <w:rFonts w:ascii="Times New Roman" w:hAnsi="Times New Roman" w:cs="Times New Roman"/>
          <w:b w:val="0"/>
          <w:i/>
          <w:sz w:val="24"/>
        </w:rPr>
        <w:t>p</w:t>
      </w:r>
      <w:r>
        <w:rPr>
          <w:rFonts w:ascii="Times New Roman" w:hAnsi="Times New Roman" w:cs="Times New Roman"/>
          <w:b w:val="0"/>
          <w:i w:val="0"/>
          <w:sz w:val="24"/>
        </w:rPr>
        <w:t xml:space="preserve"> = .056), and civic social media use showed no moderating effect whatsoever (</w:t>
      </w:r>
      <w:r>
        <w:rPr>
          <w:rFonts w:ascii="Times New Roman" w:hAnsi="Times New Roman" w:cs="Times New Roman"/>
          <w:b w:val="0"/>
          <w:i/>
          <w:sz w:val="24"/>
        </w:rPr>
        <w:t>p</w:t>
      </w:r>
      <w:r>
        <w:rPr>
          <w:rFonts w:ascii="Times New Roman" w:hAnsi="Times New Roman" w:cs="Times New Roman"/>
          <w:b w:val="0"/>
          <w:i w:val="0"/>
          <w:sz w:val="24"/>
        </w:rPr>
        <w:t xml:space="preserve"> = .969). If digital platforms sustain civic awareness, why don't they also sustain civic action? The social media null deserves emphasis: the digital compensation effect posited by Bennett and Segerberg's (2012) connective action framework does not operate differently for digitally native young adults. Online civic activity offers no special substitute for the face-to-face encounter in which someone says, "We need help Saturday morning, will you come?" That the most plausible compensatory pathways (education, employment, digital engagement) all failed to budge the generational pattern is itself theoretically revealing.</w:t>
      </w:r>
    </w:p>
    <w:p>
      <w:pPr>
        <w:spacing w:before="0" w:after="0" w:lineRule="auto" w:line="480"/>
        <w:ind w:firstLine="720"/>
        <w:jc w:val="left"/>
      </w:pPr>
      <w:r>
        <w:rPr>
          <w:rFonts w:ascii="Times New Roman" w:hAnsi="Times New Roman" w:cs="Times New Roman"/>
          <w:b w:val="0"/>
          <w:i w:val="0"/>
          <w:sz w:val="24"/>
        </w:rPr>
        <w:t>Nor do pandemic-era disruptions explain the pattern.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matched the full-sample estimate. Gen Z's weaker conversion of social contact into volunteering was evident before COVID-19 and unchanged afterward. Twenge et al. (2019) documented that declines in adolescent socialization were well underway by 2017; the present analysis extends that finding to its civic consequences. Pandemic recovery strategies alone will not resolve the engagement deficit among young adults; the deficit predates the pandemic. The First Step Effect also points to a practical answer: target the initial transition out of social isolation. Low-threshold, single-contact strategies should take priority over sustained-commitment appeals. Creating one opportunity for in-person contact may matter more than intensifying recruitment among already-connected individuals, and digital-only campaigns offer no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w:t>
      </w:r>
    </w:p>
    <w:p>
      <w:pPr>
        <w:spacing w:before="0" w:after="0" w:lineRule="auto" w:line="480"/>
        <w:ind w:firstLine="720"/>
        <w:jc w:val="left"/>
      </w:pPr>
      <w:r>
        <w:rPr>
          <w:rFonts w:ascii="Times New Roman" w:hAnsi="Times New Roman" w:cs="Times New Roman"/>
          <w:b w:val="0"/>
          <w:i w:val="0"/>
          <w:sz w:val="24"/>
        </w:rPr>
        <w:t>Person-centered analysis told the same story through a different lens. Gen Z was disproportionately concentrated in socially disconnected profiles (see Figure 3): over half (50.6%) occupied the Isolated Disengaged or Politically Aware Isolated classes, and only 3.7% reached Fully Engaged status. Profile proportions held steady across the pre- and post-COVID periods, corroborating the temporal stability finding from the regression models.</w:t>
      </w:r>
    </w:p>
    <w:p>
      <w:pPr>
        <w:spacing w:before="0" w:after="0" w:lineRule="auto" w:line="480"/>
        <w:ind w:firstLine="720"/>
        <w:jc w:val="left"/>
      </w:pPr>
      <w:r>
        <w:rPr>
          <w:rFonts w:ascii="Times New Roman" w:hAnsi="Times New Roman" w:cs="Times New Roman"/>
          <w:b w:val="0"/>
          <w:i w:val="0"/>
          <w:sz w:val="24"/>
        </w:rPr>
        <w:t>High socialization without institutional anchoring, it turns out, did not translate into civic action. The Socially Active Non-Donors class makes this plain. Members reported the highest socialization scores of any profile (M = 4.70) yet volunteered at only 14.6%, below the sample mean. Organizational membership was near zero (M = 0.08) and charitable giving absent. Robustness analysis confirmed the pathway: controlling for organizational membership attenuated the First Step Effect by approximately 30%, indicating that institutional embeddedness is a key mediating mechanism. Not all socializing is created equal. The distinction between bonding capital (close-knit relationships among similar individuals) and bridging capital (cross-cutting ties connecting individuals to new networks and resources) is central here (Putnam, 2000). The Socially Active Non-Donors appear rich in bonding capital but poor in the bridging capital that links individuals to civic institutions. For Gen Z, whose socialization increasingly occurs in homogeneous peer groups rather than in the institutionally diverse settings that older cohorts navigated (churches, civic associations, workplaces), this distinction may prove consequential. Klinenberg's (2018) concept of "social infrastructure" (the physical spaces and institutions that support social contact) provides a framework for intervention: Cooperative Extension, embedded at the interface of campus and community, could design programming that treats social connection as a prerequisite for volunteering rather than a byproduct of it.</w:t>
      </w:r>
    </w:p>
    <w:p>
      <w:pPr>
        <w:spacing w:before="0" w:after="0" w:lineRule="auto" w:line="480"/>
        <w:ind w:firstLine="720"/>
        <w:jc w:val="left"/>
      </w:pPr>
      <w:r>
        <w:rPr>
          <w:rFonts w:ascii="Times New Roman" w:hAnsi="Times New Roman" w:cs="Times New Roman"/>
          <w:b w:val="0"/>
          <w:i w:val="0"/>
          <w:sz w:val="24"/>
        </w:rPr>
        <w:t>A temporal shift in profile structure deserves attention. Gen Z's representation in the Activist Boycotter profile doubled from 5.9% pre-COVID to 10.7% post-COVID, even as Isolated Disengaged proportions remained stable. The post-2020 period catalyzed a politicization pathway for a subset of Gen Z without altering the broader pattern of civic disengagement. The Activist Boycotter profile (which emphasizes political consumption over institutional volunteering, with a 46.9% volunteering rate) may represent an emerging civic pathway operating alongside traditional voluntarism rather than substituting for it.</w:t>
      </w:r>
    </w:p>
    <w:p>
      <w:pPr>
        <w:spacing w:before="0" w:after="0" w:lineRule="auto" w:line="480"/>
        <w:ind w:firstLine="720"/>
        <w:jc w:val="left"/>
      </w:pPr>
      <w:r>
        <w:rPr>
          <w:rFonts w:ascii="Times New Roman" w:hAnsi="Times New Roman" w:cs="Times New Roman"/>
          <w:b w:val="0"/>
          <w:i w:val="0"/>
          <w:sz w:val="24"/>
        </w:rPr>
        <w:t>What does this convergence of evidence mean for the prevailing narrative about generational differences in civic engagement? It challenges it. Dalton (2008) and others frame declining youth participation as a value shift from "duty-based" to "engaged" citizenship, in which younger cohorts express commitment through informal and digital channels. We read the data differently. The baseline paradox (Gen Z volunteering more than similarly isolated Boomers at zero socialization) is inconsistent with a motivational deficit account. The plateau at moderate socialization levels is more consistent with an account in which Gen Z lacks the dense, multiplex social networks that Granovetter (1973) identified as conduits for weak-tie recruitment. The "scrolling together" metaphor captures this structural irony: Gen Z is the most connected generation digitally yet the most disconnected in face-to-face contact.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that digital civic activity does not function as a recruitment channel the way a personal encounter does. Those who socialize enough to encounter some recruitment opportunities do volunteer, but their social contexts (often peer-group gatherings without institutional anchoring) may not provide the escalating web of obligations that drove older cohorts toward deeper engagement.</w:t>
      </w:r>
    </w:p>
    <w:p>
      <w:pPr>
        <w:spacing w:before="0" w:after="0" w:lineRule="auto" w:line="480"/>
        <w:ind w:firstLine="720"/>
        <w:jc w:val="left"/>
      </w:pPr>
      <w:r>
        <w:rPr>
          <w:rFonts w:ascii="Times New Roman" w:hAnsi="Times New Roman" w:cs="Times New Roman"/>
          <w:b w:val="0"/>
          <w:i w:val="0"/>
          <w:sz w:val="24"/>
        </w:rPr>
        <w:t>The baseline paradox admits two interpretations: stronger intrinsic civic motivation cultivated through digital cause-awareness, or compositional differences (an isolated 18-year-old living with volunteering parents differs from an isolated 65-year-old retiree). Our baseline comparison controls for demographics but cannot fully account for unobserved household-level civic socialization. The more consequential finding is what happens above the baseline: Gen Z's volunteering probability plateaus where other generations' continues to climb, and it is this ceiling, not the floor, that explains the overall generational gap.</w:t>
      </w:r>
    </w:p>
    <w:p>
      <w:pPr>
        <w:spacing w:before="0" w:after="0" w:lineRule="auto" w:line="480"/>
        <w:ind w:firstLine="720"/>
        <w:jc w:val="left"/>
      </w:pPr>
      <w:r>
        <w:rPr>
          <w:rFonts w:ascii="Times New Roman" w:hAnsi="Times New Roman" w:cs="Times New Roman"/>
          <w:b w:val="0"/>
          <w:i w:val="0"/>
          <w:sz w:val="24"/>
        </w:rPr>
        <w:t>At the policy level, the Surgeon General's 2023 advisory focused predominantly on health consequences of social disconnection. Our results point to civic consequences that deserve equal attention. Workplace-based volunteer programs may serve a bridging function by providing the structured, organizationally anchored social context that the LPA analysis identified as critical for translating socialization into civic action. Federal and state civic engagement initiatives would benefit from incorporating a "social activation" component that addresses social isolation as a barrier to entry rather than assuming motivation alone is sufficient. The common thread is designing the social encounter first and the volunteer ask second, inverting the traditional model that assumes interested individuals will seek out opportunities on their own.</w:t>
      </w:r>
    </w:p>
    <w:p>
      <w:pPr>
        <w:spacing w:before="0" w:after="0" w:lineRule="auto" w:line="480"/>
        <w:jc w:val="left"/>
      </w:pPr>
      <w:r>
        <w:rPr>
          <w:rFonts w:ascii="Times New Roman" w:hAnsi="Times New Roman" w:cs="Times New Roman"/>
          <w:b/>
          <w:i w:val="0"/>
          <w:sz w:val="24"/>
        </w:rPr>
        <w:t>Limitations and Future Directions</w:t>
      </w:r>
    </w:p>
    <w:p>
      <w:pPr>
        <w:spacing w:before="0" w:after="0" w:lineRule="auto" w:line="480"/>
        <w:ind w:firstLine="720"/>
        <w:jc w:val="left"/>
      </w:pPr>
      <w:r>
        <w:rPr>
          <w:rFonts w:ascii="Times New Roman" w:hAnsi="Times New Roman" w:cs="Times New Roman"/>
          <w:b w:val="0"/>
          <w:i w:val="0"/>
          <w:sz w:val="24"/>
        </w:rPr>
        <w:t>Does the gradient reflect socialization causing volunteering, or volunteering generating social contact? The pooled cross-sectional design cannot resolve this question. People who volunteer meet others through their service, which increases their socialization frequency; the entire gradient could be partly driven by this reverse pathway, or both socialization and volunteering may reflect a common disposition such as extraversion. Two features of the results provide partial leverage against a purely reverse-causal account. The nonlinear threshold shape of the First Step Effect is more consistent with a recruitment mechanism, in which initial contact triggers awareness of opportunities, than with reverse causation, which would predict a more linear association. And the temporal stability of the pattern across four waves suggests a durable relationship rather than a context-dependent artifact. Establishing directionality will require longitudinal data. The CPS rotation group structure offers a quasi-panel design that could establish whether changes in socialization within individuals precede changes in volunteering; true panel studies (e.g., PSID, Understanding America Study) could provide more definitive evidence. The First Step Effect also implies a specific intervention design: randomized controlled trials of low-threshold, single-contact programs targeting socially isolated young adults would test whether the cross-sectional associations documented here reflect causal pathways.</w:t>
      </w:r>
    </w:p>
    <w:p>
      <w:pPr>
        <w:spacing w:before="0" w:after="0" w:lineRule="auto" w:line="480"/>
        <w:ind w:firstLine="720"/>
        <w:jc w:val="left"/>
      </w:pPr>
      <w:r>
        <w:rPr>
          <w:rFonts w:ascii="Times New Roman" w:hAnsi="Times New Roman" w:cs="Times New Roman"/>
          <w:b w:val="0"/>
          <w:i w:val="0"/>
          <w:sz w:val="24"/>
        </w:rPr>
        <w:t xml:space="preserve">Measurement constraints add further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future research should disaggregate socialization by context (kin vs. friend vs. neighbor) and institutional setting (organizationally embedded vs. informal) to test whether institutionally anchored socialization is uniquely tied to civic recruitment. The binary COVID coding (2017/2019 vs. 2021/2023) is approximate; the 2021 wave was administered during, not after, the pandemic. A supplementary three-period specification (Pre-COVID 2017/2019, During-COVID 2021, Post-COVID 2023) yielded a non-significant three-way interaction (F = 1.04, df = 40, </w:t>
      </w:r>
      <w:r>
        <w:rPr>
          <w:rFonts w:ascii="Times New Roman" w:hAnsi="Times New Roman" w:cs="Times New Roman"/>
          <w:b w:val="0"/>
          <w:i/>
          <w:sz w:val="24"/>
        </w:rPr>
        <w:t>p</w:t>
      </w:r>
      <w:r>
        <w:rPr>
          <w:rFonts w:ascii="Times New Roman" w:hAnsi="Times New Roman" w:cs="Times New Roman"/>
          <w:b w:val="0"/>
          <w:i w:val="0"/>
          <w:sz w:val="24"/>
        </w:rPr>
        <w:t xml:space="preserve"> = .396), confirming that the socialization–volunteering–generation relationship was stable across all three periods. The PES16F variable measuring virtual versus in-person volunteering mode is available only for the 2023 wave, preventing systematic analysis of how volunteering modality interacts with social isolation. All measures are self-reported and subject to social desirability bias, which may differentially affect reporting of socially valued behaviors such as volunteering. Generational classification by birth cohort conflates age, period, and cohort effects. Supplementary analyses (nonlinear age controls [age-squared], fixed age-band comparisons [ages 25–30 across waves], and shifted generation boundaries [Gen Z = 1995+]) confirmed that the socialization-by-generation interaction survived all specifications (</w:t>
      </w:r>
      <w:r>
        <w:rPr>
          <w:rFonts w:ascii="Times New Roman" w:hAnsi="Times New Roman" w:cs="Times New Roman"/>
          <w:b w:val="0"/>
          <w:i/>
          <w:sz w:val="24"/>
        </w:rPr>
        <w:t>p</w:t>
      </w:r>
      <w:r>
        <w:rPr>
          <w:rFonts w:ascii="Times New Roman" w:hAnsi="Times New Roman" w:cs="Times New Roman"/>
          <w:b w:val="0"/>
          <w:i w:val="0"/>
          <w:sz w:val="24"/>
        </w:rPr>
        <w:t xml:space="preserve"> &lt; .001) and that First Step AMEs were essentially unchanged. Such tests reduce the plausibility of a purely age-based account without eliminating it; we cannot rule out that what we attribute to generational differences reflects life-stage effects that would dissipate as Gen Z ages into the institutional roles that historically anchor </w:t>
      </w:r>
      <w:r>
        <w:rPr>
          <w:rFonts w:ascii="Times New Roman" w:hAnsi="Times New Roman" w:cs="Times New Roman"/>
          <w:b w:val="0"/>
          <w:i w:val="0"/>
          <w:color w:val="0000FF"/>
          <w:sz w:val="24"/>
        </w:rPr>
        <w:t>civic engagement</w:t>
      </w:r>
      <w:r>
        <w:rPr>
          <w:rFonts w:ascii="Times New Roman" w:hAnsi="Times New Roman" w:cs="Times New Roman"/>
          <w:b w:val="0"/>
          <w:i w:val="0"/>
          <w:sz w:val="24"/>
        </w:rPr>
        <w:t>. We use "generation" to mean birth-cohort-at-observed-age rather than a fixed generational identity; a formal age-period-cohort decomposition would require additional data waves. The CPS-CEV does not include a religious attendance item, a notable omission given that congregations are among the strongest institutional predictors of volunteering in U.S. studies (Putnam &amp; Campbell, 2010; Musick &amp; Wilson, 2008). Organizational membership count and charitable donation to religious organizations provide partial proxies, and the robustness analysis showing ~30% attenuation of the First Step Effect when controlling for membership suggests the socialization pathway partly operates through institutional channels, of which religious congregations are a major component. The dependent variable captures extensive-margin participation (volunteered yes/no in past 12 months) but not intensive-margin engagement; the CPS Volunteer Supplement includes annual volunteer hours (VLHALLORG), which could serve as a continuous alternative in future analyses.</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across time, is that one step out of isolation is associated with a larger civic return than any subsequent increase in social frequency. In 2000, Americans were bowling alone; a quarter century later, the youngest Americans are scrolling together, maintaining the appearance of social connection through digital platforms that sustain awareness of community needs without providing the face-to-face encounters that translate awareness into action. The path to volunteering begins not with appeals to duty or digital campaigns but with creating the physical social encounters, the social infrastructure that Klinenberg (2018) describes, that make civic recruitment possible.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 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 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