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2F09A" w14:textId="77777777" w:rsidR="00617726" w:rsidRDefault="00617726"/>
    <w:p w14:paraId="42752BDF" w14:textId="77777777" w:rsidR="00617726" w:rsidRDefault="00617726"/>
    <w:p w14:paraId="2420E161" w14:textId="77777777" w:rsidR="00617726" w:rsidRDefault="00617726"/>
    <w:p w14:paraId="1C731823" w14:textId="77777777" w:rsidR="00617726" w:rsidRDefault="00000000">
      <w:pPr>
        <w:jc w:val="center"/>
      </w:pPr>
      <w:r>
        <w:rPr>
          <w:b/>
        </w:rPr>
        <w:t>Bowling Alone, Scrolling Together: Social Isolation and the Generational Divide in Volunteering</w:t>
      </w:r>
    </w:p>
    <w:p w14:paraId="0671BEA6" w14:textId="77777777" w:rsidR="00617726" w:rsidRDefault="00617726"/>
    <w:p w14:paraId="54ABA82A" w14:textId="23A594A8" w:rsidR="00617726" w:rsidRDefault="00000000">
      <w:pPr>
        <w:jc w:val="center"/>
        <w:rPr>
          <w:lang w:eastAsia="ko-KR"/>
        </w:rPr>
      </w:pPr>
      <w:r>
        <w:t>Hosung You</w:t>
      </w:r>
    </w:p>
    <w:p w14:paraId="5A205DE9" w14:textId="77777777" w:rsidR="00617726" w:rsidRDefault="00000000">
      <w:pPr>
        <w:jc w:val="center"/>
      </w:pPr>
      <w:r>
        <w:t>The Pennsylvania State University</w:t>
      </w:r>
    </w:p>
    <w:p w14:paraId="26BFA370" w14:textId="77777777" w:rsidR="00617726" w:rsidRDefault="00617726"/>
    <w:p w14:paraId="20EDD9D4" w14:textId="77777777" w:rsidR="00617726" w:rsidRDefault="00000000">
      <w:pPr>
        <w:jc w:val="center"/>
      </w:pPr>
      <w:r>
        <w:rPr>
          <w:b/>
        </w:rPr>
        <w:t>Author Note</w:t>
      </w:r>
    </w:p>
    <w:p w14:paraId="5FCA6132" w14:textId="77777777" w:rsidR="00617726" w:rsidRDefault="00000000">
      <w:pPr>
        <w:jc w:val="center"/>
      </w:pPr>
      <w:r>
        <w:t>Hosung You  https://orcid.org/XXXX-XXXX-XXXX-XXXX</w:t>
      </w:r>
    </w:p>
    <w:p w14:paraId="783A340B" w14:textId="77777777" w:rsidR="00617726" w:rsidRDefault="00000000">
      <w:r>
        <w:br w:type="page"/>
      </w:r>
    </w:p>
    <w:p w14:paraId="6BEB9463" w14:textId="77777777" w:rsidR="00617726" w:rsidRDefault="00000000">
      <w:pPr>
        <w:pStyle w:val="Heading1"/>
      </w:pPr>
      <w:r>
        <w:lastRenderedPageBreak/>
        <w:t>Abstract</w:t>
      </w:r>
    </w:p>
    <w:p w14:paraId="47A886B0" w14:textId="77777777" w:rsidR="00617726" w:rsidRDefault="00000000">
      <w:r>
        <w:t xml:space="preserve">Social isolation has been declared a public health epidemic, yet its consequences for civic participation remain underexplored. Using </w:t>
      </w:r>
      <w:commentRangeStart w:id="0"/>
      <w:r>
        <w:t>four</w:t>
      </w:r>
      <w:commentRangeEnd w:id="0"/>
      <w:r w:rsidR="00EE4D44">
        <w:rPr>
          <w:rStyle w:val="CommentReference"/>
          <w:sz w:val="24"/>
          <w:szCs w:val="22"/>
        </w:rPr>
        <w:commentReference w:id="0"/>
      </w:r>
      <w:r>
        <w:t xml:space="preserve"> waves of the Current Population Survey Civic Engagement and Volunteering Supplement (2017, 2019, 2021, 2023; N = 201,168), this study examines the relationship between in-person socialization frequency and volunteering across generational cohorts. Descriptive analyses reveal that nearly half of Generation Z adults report rarely or never socializing in person—a pattern predating COVID-19 and persisting despite higher education and employment. The transition from minimal socialization to even occasional soci</w:t>
      </w:r>
      <w:r>
        <w:t>al contact corresponds to the largest marginal gain in volunteering (10–14 percentage points) across all generations. However, Generation Z exhibits a volunteering ceiling at approximately 34% regardless of socialization frequency, while education and civic social media use moderate isolation's civic consequences more effectively for older cohorts. Implications for volunteer recruitment and community development programming are discussed.</w:t>
      </w:r>
    </w:p>
    <w:p w14:paraId="2743D6FF" w14:textId="77777777" w:rsidR="00617726" w:rsidRDefault="00617726"/>
    <w:p w14:paraId="709BABEE" w14:textId="77777777" w:rsidR="00617726" w:rsidRDefault="00000000">
      <w:r>
        <w:rPr>
          <w:i/>
        </w:rPr>
        <w:t xml:space="preserve">Keywords: </w:t>
      </w:r>
      <w:r>
        <w:t>volunteering, social isolation, civic engagement, generational differences, Current Population Survey</w:t>
      </w:r>
    </w:p>
    <w:p w14:paraId="1F1FCB9D" w14:textId="77777777" w:rsidR="00617726" w:rsidRDefault="00000000">
      <w:r>
        <w:br w:type="page"/>
      </w:r>
    </w:p>
    <w:p w14:paraId="21D30D25" w14:textId="77777777" w:rsidR="00617726" w:rsidRDefault="00000000">
      <w:pPr>
        <w:jc w:val="center"/>
      </w:pPr>
      <w:r>
        <w:rPr>
          <w:b/>
        </w:rPr>
        <w:lastRenderedPageBreak/>
        <w:t xml:space="preserve">Bowling Alone, Scrolling Together: Social Isolation and the Generational Divide in </w:t>
      </w:r>
      <w:commentRangeStart w:id="1"/>
      <w:r>
        <w:rPr>
          <w:b/>
        </w:rPr>
        <w:t>Volunteering</w:t>
      </w:r>
      <w:commentRangeEnd w:id="1"/>
      <w:r w:rsidR="00EE4D44">
        <w:rPr>
          <w:rStyle w:val="CommentReference"/>
          <w:sz w:val="24"/>
          <w:szCs w:val="22"/>
        </w:rPr>
        <w:commentReference w:id="1"/>
      </w:r>
    </w:p>
    <w:p w14:paraId="38AC0661" w14:textId="77777777" w:rsidR="00617726" w:rsidRDefault="00000000">
      <w:pPr>
        <w:ind w:firstLine="720"/>
      </w:pPr>
      <w:r>
        <w:t>In May 2023, the U.S. Surgeon General declared loneliness and social isolation a public health epidemic, documenting extensive consequences for mental health, physical well-being, and mortality (Office of the Surgeon General, 2023). The advisory cited research showing that social disconnection carries health risks comparable to smoking 15 cigarettes per day (Holt-Lunstad et al., 2010) and called for urgent action to rebuild social infrastructure. Yet the advisory focused almost exclusively on health outcome</w:t>
      </w:r>
      <w:r>
        <w:t>s. The civic consequences of the loneliness epidemic—its implications for volunteering, community capacity, and democratic participation—remain largely unexamined.</w:t>
      </w:r>
    </w:p>
    <w:p w14:paraId="3A7D8B15" w14:textId="77777777" w:rsidR="00617726" w:rsidRDefault="00000000">
      <w:pPr>
        <w:ind w:firstLine="720"/>
      </w:pPr>
      <w:r>
        <w:t>This omission is consequential. A quarter century after Putnam (2000) documented the broad decline of associational life in Bowling Alone, new evidence suggests that the erosion of social connection has entered a qualitatively different phase. The decline is no longer gradual and generationally uniform. Instead, exploratory analyses of the Current Population Survey Civic Engagement and Volunteering Supplement (CPS-CEV) reveal a striking generational asymmetry: nearly half of Generation Z adults report rarel</w:t>
      </w:r>
      <w:r>
        <w:t>y or never socializing in person with friends, relatives, or neighbors—a pattern that predates the COVID-19 pandemic, persists despite higher education and employment, and corresponds to substantially lower rates of volunteering and other forms of civic participation.</w:t>
      </w:r>
    </w:p>
    <w:p w14:paraId="7D4D8848" w14:textId="77777777" w:rsidR="00617726" w:rsidRDefault="00000000">
      <w:pPr>
        <w:ind w:firstLine="720"/>
      </w:pPr>
      <w:r>
        <w:t xml:space="preserve">Understanding the civic consequences of social isolation is particularly urgent for the volunteering sector. Unlike voting or charitable giving, organized volunteering demands sustained investment of time, skills, and social energy within formal organizational structures (Wilson, 2000). Volunteering is therefore uniquely dependent on the social networks through </w:t>
      </w:r>
      <w:r>
        <w:lastRenderedPageBreak/>
        <w:t>which individuals are recruited, trained, and retained (Musick &amp; Wilson, 2008). If a substantial portion of a generation lacks the social connections that serve as pathways to volunteering, the implications extend beyond individual nonparticipation to the organizational capacity of the voluntary sector itself.</w:t>
      </w:r>
    </w:p>
    <w:p w14:paraId="22722253" w14:textId="77777777" w:rsidR="00617726" w:rsidRDefault="00000000">
      <w:pPr>
        <w:ind w:firstLine="720"/>
      </w:pPr>
      <w:r>
        <w:t>The present study uses four waves of the CPS-CEV (2017, 2019, 2021, 2023; N = 201,168) to examine two research questions:</w:t>
      </w:r>
    </w:p>
    <w:p w14:paraId="0F9BA0D9" w14:textId="77777777" w:rsidR="00617726" w:rsidRDefault="00000000">
      <w:pPr>
        <w:ind w:firstLine="720"/>
      </w:pPr>
      <w:commentRangeStart w:id="2"/>
      <w:r>
        <w:rPr>
          <w:i/>
        </w:rPr>
        <w:t xml:space="preserve">Research Question 1: </w:t>
      </w:r>
      <w:r>
        <w:t>How does the relationship between in-person socialization frequency and volunteering differ across generational cohorts, and does this relationship exhibit nonlinear threshold effects?</w:t>
      </w:r>
    </w:p>
    <w:p w14:paraId="60765E60" w14:textId="77777777" w:rsidR="00617726" w:rsidRDefault="00000000">
      <w:pPr>
        <w:ind w:firstLine="720"/>
      </w:pPr>
      <w:r>
        <w:rPr>
          <w:i/>
        </w:rPr>
        <w:t xml:space="preserve">Research Question 2: </w:t>
      </w:r>
      <w:r>
        <w:t>To what extent do education, employment, and civic social media use moderate the association between social isolation and volunteering, and do these moderating effects differ by generation?</w:t>
      </w:r>
      <w:commentRangeEnd w:id="2"/>
      <w:r w:rsidR="009642EB">
        <w:rPr>
          <w:rStyle w:val="CommentReference"/>
          <w:sz w:val="24"/>
          <w:szCs w:val="22"/>
        </w:rPr>
        <w:commentReference w:id="2"/>
      </w:r>
    </w:p>
    <w:p w14:paraId="380F75E5" w14:textId="77777777" w:rsidR="00617726" w:rsidRDefault="00000000">
      <w:pPr>
        <w:ind w:firstLine="720"/>
      </w:pPr>
      <w:r>
        <w:t>By addressing these questions with nationally representative data spanning the COVID-19 pandemic, this study makes three contributions. First, it provides the first large-scale empirical evidence connecting the Surgeon General's loneliness epidemic to volunteering outcomes across generational cohorts. Second, it identifies the transition from social isolation to even minimal social contact as the most consequential threshold for volunteering participation—a finding with direct implications for volunteer rec</w:t>
      </w:r>
      <w:r>
        <w:t>ruitment strategy. Third, it demonstrates that conventional pathways expected to promote civic participation—higher education, employment, digital civic tools—operate differently across generations, with substantially weaker moderating effects for Generation Z.</w:t>
      </w:r>
    </w:p>
    <w:p w14:paraId="442AB70C" w14:textId="77777777" w:rsidR="00617726" w:rsidRDefault="00000000">
      <w:pPr>
        <w:pStyle w:val="Heading1"/>
      </w:pPr>
      <w:r>
        <w:lastRenderedPageBreak/>
        <w:t>Theoretical Framework</w:t>
      </w:r>
    </w:p>
    <w:p w14:paraId="35BD0D91" w14:textId="77777777" w:rsidR="00617726" w:rsidRDefault="00000000">
      <w:pPr>
        <w:pStyle w:val="Heading2"/>
      </w:pPr>
      <w:r>
        <w:t>Social Capital and Civic Recruitment</w:t>
      </w:r>
    </w:p>
    <w:p w14:paraId="30BE5515" w14:textId="77777777" w:rsidR="00617726" w:rsidRDefault="00000000">
      <w:pPr>
        <w:ind w:firstLine="720"/>
      </w:pPr>
      <w:r>
        <w:t>The theoretical foundation for the relationship between social interaction and volunteering rests on social capital theory and the civic voluntarism model. Putnam (2000) defined social capital as the "connections among individuals—social networks and the norms of reciprocity and trustworthiness that arise from them" (p. 19), distinguishing between bonding capital (ties within homogeneous groups) and bridging capital (ties across diverse groups). Both forms of social capital generate civic returns: bonding c</w:t>
      </w:r>
      <w:r>
        <w:t>apital sustains mutual obligation and community solidarity, while bridging capital exposes individuals to new information, opportunities, and recruitment appeals (Putnam, 2000; Woolcock &amp; Narayan, 2000).</w:t>
      </w:r>
    </w:p>
    <w:p w14:paraId="10D2E591" w14:textId="77777777" w:rsidR="00617726" w:rsidRDefault="00000000">
      <w:pPr>
        <w:ind w:firstLine="720"/>
      </w:pPr>
      <w:r>
        <w:t>The civic voluntarism model (CVM) identifies three categories of factors predicting civic participation: resources (time, money, civic skills), engagement (political interest, civic duty), and recruitment (being asked to participate through social networks; Verba et al., 1995). The recruitment mechanism is particularly relevant for volunteering, as organizational participation typically requires an explicit invitation or social exposure to opportunities (Brady et al., 1995; Musick &amp; Wilson, 2008). Social in</w:t>
      </w:r>
      <w:r>
        <w:t>teraction creates the occasions through which individuals encounter these recruitment appeals. Coleman (1988) formalized this insight by arguing that social networks create obligations, expectations, and information channels that facilitate collective action. Granovetter's (1973) theory of weak ties further suggests that even casual acquaintances can serve as bridges to new civic opportunities—implying that the transition from zero social contact to even minimal interaction may activate recruitment channels</w:t>
      </w:r>
      <w:r>
        <w:t xml:space="preserve"> that are otherwise entirely absent.</w:t>
      </w:r>
    </w:p>
    <w:p w14:paraId="05BDA47A" w14:textId="77777777" w:rsidR="00617726" w:rsidRDefault="00000000">
      <w:pPr>
        <w:pStyle w:val="Heading2"/>
      </w:pPr>
      <w:r>
        <w:lastRenderedPageBreak/>
        <w:t xml:space="preserve">Generational Shifts in Socialization and Civic </w:t>
      </w:r>
      <w:commentRangeStart w:id="3"/>
      <w:r>
        <w:t>Participation</w:t>
      </w:r>
      <w:commentRangeEnd w:id="3"/>
      <w:r w:rsidR="009642EB">
        <w:rPr>
          <w:rStyle w:val="CommentReference"/>
          <w:sz w:val="24"/>
          <w:szCs w:val="26"/>
        </w:rPr>
        <w:commentReference w:id="3"/>
      </w:r>
    </w:p>
    <w:p w14:paraId="575B83A8" w14:textId="77777777" w:rsidR="00617726" w:rsidRDefault="00000000">
      <w:pPr>
        <w:ind w:firstLine="720"/>
      </w:pPr>
      <w:r>
        <w:t>The theoretical expectation that social interaction facilitates civic engagement must be situated within evidence of dramatic generational shifts in socialization patterns. Twenge et al. (2019) documented sharp declines in face-to-face social interaction among U.S. adolescents beginning around 2012, coinciding with widespread smartphone adoption. Using nationally representative data from Monitoring the Future (N = 8.2 million), they found that high school seniors in 2016 spent approximately one hour less pe</w:t>
      </w:r>
      <w:r>
        <w:t>r day in face-to-face social interaction compared to seniors in the late 1980s, despite comparable levels of homework and extracurricular activity. Twenge (2017) characterized the generation born after 1995 as uniquely shaped by digital mediation of social life, with consequences for mental health, social development, and community participation.</w:t>
      </w:r>
    </w:p>
    <w:p w14:paraId="6CD6ABBB" w14:textId="77777777" w:rsidR="00617726" w:rsidRDefault="00000000">
      <w:pPr>
        <w:ind w:firstLine="720"/>
      </w:pPr>
      <w:r>
        <w:t>These shifts intersect with broader transformations in civic engagement documented by scholars of political participation. Zukin et al. (2006) identified generational differences in civic participation styles, with younger cohorts favoring community service over electoral engagement. Skocpol (2003) traced the decline of membership-based civic organizations in favor of professionally managed advocacy groups, reducing the organizational infrastructure through which citizens are recruited into volunteering. Da</w:t>
      </w:r>
      <w:r>
        <w:t>lton (2008) distinguished between "duty-based" citizenship norms (voting, military service) that are declining among younger cohorts and "engaged" citizenship norms (community involvement, lifestyle politics) that may be rising. Bennett and Segerberg (2012) theorized the emergence of "connective action"—individualized, digitally mediated civic expression—as a potential complement or substitute for traditional collective action.</w:t>
      </w:r>
    </w:p>
    <w:p w14:paraId="02870DC3" w14:textId="77777777" w:rsidR="00617726" w:rsidRDefault="00000000">
      <w:pPr>
        <w:ind w:firstLine="720"/>
      </w:pPr>
      <w:r>
        <w:lastRenderedPageBreak/>
        <w:t>These theoretical perspectives generate competing predictions about the relationship between social isolation and volunteering across generations. If social capital theory is correct that face-to-face interaction is the primary mechanism of civic recruitment (Putnam, 2000; Verba et al., 1995), then the generation with the lowest socialization rates should exhibit the lowest volunteering rates—and the transition from isolation to minimal contact should produce the largest marginal gains in volunteering acros</w:t>
      </w:r>
      <w:r>
        <w:t>s all generations. However, if digital tools have genuinely created alternative pathways to civic recruitment (Bennett &amp; Segerberg, 2012), then civic social media use should compensate for the absence of face-to-face interaction, particularly for digital natives. The present study tests these competing predictions empirically.</w:t>
      </w:r>
    </w:p>
    <w:p w14:paraId="1227A9D0" w14:textId="77777777" w:rsidR="00617726" w:rsidRDefault="00000000">
      <w:pPr>
        <w:pStyle w:val="Heading2"/>
      </w:pPr>
      <w:commentRangeStart w:id="4"/>
      <w:r>
        <w:t>The</w:t>
      </w:r>
      <w:commentRangeEnd w:id="4"/>
      <w:r w:rsidR="00EE4D44">
        <w:rPr>
          <w:rStyle w:val="CommentReference"/>
          <w:sz w:val="24"/>
          <w:szCs w:val="26"/>
        </w:rPr>
        <w:commentReference w:id="4"/>
      </w:r>
      <w:r>
        <w:t xml:space="preserve"> Loneliness Epidemic and Democratic </w:t>
      </w:r>
      <w:commentRangeStart w:id="5"/>
      <w:r>
        <w:t>Health</w:t>
      </w:r>
      <w:commentRangeEnd w:id="5"/>
      <w:r w:rsidR="00EE4D44">
        <w:rPr>
          <w:rStyle w:val="CommentReference"/>
          <w:sz w:val="24"/>
          <w:szCs w:val="26"/>
        </w:rPr>
        <w:commentReference w:id="5"/>
      </w:r>
    </w:p>
    <w:p w14:paraId="16AA5E58" w14:textId="77777777" w:rsidR="00617726" w:rsidRDefault="00000000">
      <w:pPr>
        <w:ind w:firstLine="720"/>
      </w:pPr>
      <w:r>
        <w:t>The Surgeon General's 2023 advisory situated social isolation within a public health framework, documenting associations between social disconnection and increased risk of heart disease, stroke, dementia, depression, and premature mortality (Office of the Surgeon General, 2023). The advisory acknowledged that social connection is "a critical and underappreciated contributor to individual and population health, community safety, resilience, and prosperity" (p. 4) and noted that communities with higher social</w:t>
      </w:r>
      <w:r>
        <w:t xml:space="preserve"> connectedness exhibit "higher civic engagement" (p. 28). However, the advisory's empirical evidence focused overwhelmingly on health outcomes, leaving the civic consequences of the loneliness epidemic largely as an assertion rather than a demonstrated finding.</w:t>
      </w:r>
    </w:p>
    <w:p w14:paraId="20F20EEB" w14:textId="77777777" w:rsidR="00617726" w:rsidRDefault="00000000">
      <w:pPr>
        <w:ind w:firstLine="720"/>
      </w:pPr>
      <w:r>
        <w:t xml:space="preserve">Cacioppo and Cacioppo (2014) provided a theoretical bridge between loneliness and civic withdrawal, arguing that perceived social isolation triggers a self-reinforcing cycle of hypervigilance to social threat, withdrawal from social situations, and declining trust—all of which undermine the social engagement that sustains civic participation. Holt-Lunstad et al. </w:t>
      </w:r>
      <w:r>
        <w:lastRenderedPageBreak/>
        <w:t>(2010) established through meta-analysis that social relationships predict mortality risk with effect sizes comparable to well-established risk factors, suggesting that the physiological and psychological mechanisms of social disconnection are powerful enough to reshape behavior across multiple domains, including civic life. The present study extends this line of inquiry by examining whether the Surgeon General's loneliness epidemic has measurable civic consequences—specifically, whether social isolation pr</w:t>
      </w:r>
      <w:r>
        <w:t xml:space="preserve">edicts lower volunteering rates and whether this association varies by </w:t>
      </w:r>
      <w:commentRangeStart w:id="6"/>
      <w:commentRangeStart w:id="7"/>
      <w:commentRangeStart w:id="8"/>
      <w:r>
        <w:t>generation</w:t>
      </w:r>
      <w:commentRangeEnd w:id="8"/>
      <w:r w:rsidR="00EE4D44">
        <w:rPr>
          <w:rStyle w:val="CommentReference"/>
          <w:sz w:val="24"/>
          <w:szCs w:val="22"/>
        </w:rPr>
        <w:commentReference w:id="8"/>
      </w:r>
      <w:commentRangeEnd w:id="7"/>
      <w:r w:rsidR="00424297">
        <w:rPr>
          <w:rStyle w:val="CommentReference"/>
          <w:sz w:val="24"/>
          <w:szCs w:val="22"/>
        </w:rPr>
        <w:commentReference w:id="7"/>
      </w:r>
      <w:commentRangeEnd w:id="6"/>
      <w:r w:rsidR="006F7D2E">
        <w:rPr>
          <w:rStyle w:val="CommentReference"/>
          <w:sz w:val="24"/>
          <w:szCs w:val="22"/>
        </w:rPr>
        <w:commentReference w:id="6"/>
      </w:r>
      <w:r>
        <w:t>.</w:t>
      </w:r>
    </w:p>
    <w:p w14:paraId="1C615E41" w14:textId="77777777" w:rsidR="00EE4D44" w:rsidRDefault="00EE4D44">
      <w:pPr>
        <w:ind w:firstLine="720"/>
      </w:pPr>
    </w:p>
    <w:p w14:paraId="013302A6" w14:textId="77777777" w:rsidR="00617726" w:rsidRDefault="00000000">
      <w:pPr>
        <w:pStyle w:val="Heading1"/>
      </w:pPr>
      <w:commentRangeStart w:id="9"/>
      <w:r>
        <w:t>Method</w:t>
      </w:r>
      <w:commentRangeEnd w:id="9"/>
      <w:r w:rsidR="006F7D2E">
        <w:rPr>
          <w:rStyle w:val="CommentReference"/>
          <w:sz w:val="24"/>
          <w:szCs w:val="28"/>
        </w:rPr>
        <w:commentReference w:id="9"/>
      </w:r>
    </w:p>
    <w:p w14:paraId="1CF95367" w14:textId="77777777" w:rsidR="00617726" w:rsidRDefault="00000000">
      <w:pPr>
        <w:pStyle w:val="Heading2"/>
      </w:pPr>
      <w:r>
        <w:t>Data Source and Sample</w:t>
      </w:r>
    </w:p>
    <w:p w14:paraId="240159A2" w14:textId="77777777" w:rsidR="00617726" w:rsidRDefault="00000000">
      <w:pPr>
        <w:ind w:firstLine="720"/>
      </w:pPr>
      <w:r>
        <w:t>Data come from the Current Population Survey Civic Engagement and Volunteering Supplement (CPS-CEV), obtained via IPUMS (Flood et al., 2023). The CPS-CEV is administered as a supplement to the September CPS in alternating years and is sponsored jointly by AmeriCorps and the U.S. Census Bureau. It is the most comprehensive longitudinal survey of civic engagement and volunteering in the United States, employing a stratified multistage probability sampling design that produces nationally representative estimat</w:t>
      </w:r>
      <w:r>
        <w:t>es of the civilian noninstitutionalized population aged 16 and older.</w:t>
      </w:r>
    </w:p>
    <w:p w14:paraId="62D85834" w14:textId="77777777" w:rsidR="00617726" w:rsidRDefault="00000000">
      <w:pPr>
        <w:ind w:firstLine="720"/>
      </w:pPr>
      <w:r>
        <w:t xml:space="preserve">We pooled four waves of CPS-CEV data: September 2017, 2019, 2021, and 2023. The analytic sample includes all U.S. adults aged 18 and older with valid supplement weights (VLSUPPWT &gt; 0) and nonmissing volunteering status (VLSTATUS ∈ {1, 2}), yielding N = 201,168. Each wave contributes approximately 50,000 respondents. The four-wave design </w:t>
      </w:r>
      <w:r>
        <w:lastRenderedPageBreak/>
        <w:t>spanning the COVID-19 pandemic enables examination of temporal patterns while maintaining sufficient statistical power for generational subgroup analyses.</w:t>
      </w:r>
    </w:p>
    <w:p w14:paraId="20BCBBDD" w14:textId="77777777" w:rsidR="00617726" w:rsidRDefault="00000000">
      <w:pPr>
        <w:pStyle w:val="Heading2"/>
      </w:pPr>
      <w:r>
        <w:t>Measures</w:t>
      </w:r>
    </w:p>
    <w:p w14:paraId="037FDDE9" w14:textId="77777777" w:rsidR="00617726" w:rsidRDefault="00000000">
      <w:pPr>
        <w:pStyle w:val="Heading3"/>
      </w:pPr>
      <w:r>
        <w:t>Dependent Variable</w:t>
      </w:r>
    </w:p>
    <w:p w14:paraId="5B70F834" w14:textId="77777777" w:rsidR="00617726" w:rsidRDefault="00000000">
      <w:pPr>
        <w:ind w:firstLine="720"/>
      </w:pPr>
      <w:r>
        <w:t>Volunteering status was measured using VLSTATUS, which asks whether the respondent "did any volunteer activities through or for an organization" in the past 12 months (1 = volunteered, 2 = did not volunteer). This variable was recoded as a binary indicator (1 = volunteered, 0 = did not volunteer) for analysis. The national volunteering rate across the pooled sample was 31.5%.</w:t>
      </w:r>
    </w:p>
    <w:p w14:paraId="17EEC473" w14:textId="77777777" w:rsidR="00617726" w:rsidRDefault="00000000">
      <w:pPr>
        <w:pStyle w:val="Heading3"/>
      </w:pPr>
      <w:r>
        <w:t>Key Independent Variable</w:t>
      </w:r>
    </w:p>
    <w:p w14:paraId="3DF33649" w14:textId="77777777" w:rsidR="00617726" w:rsidRDefault="00000000">
      <w:pPr>
        <w:ind w:firstLine="720"/>
      </w:pPr>
      <w:r>
        <w:t>In-person socialization frequency was measured using CESOCIALIZE, which asks respondents how often they "got together socially with friends, relatives, or neighbors" in the past 12 months. Response options range from 1 (not at all) to 6 (basically every day). We note that the "not at all" response category captures respondents who report no in-person social gatherings over a 12-month period. While some respondents selecting this option may have had incidental social contact, the response represents the lowe</w:t>
      </w:r>
      <w:r>
        <w:t>st point on the socialization continuum and is interpreted as indicating minimal or absent intentional social engagement. An important coding note: the civic engagement supplement variables (CE*) use ascending frequency (1 = not at all to 6 = basically every day), whereas volunteering supplement variables (VL*) use descending frequency. All coding was verified through education cross-validation, confirming that higher socialization frequencies correspond to higher educational attainment, as expected from th</w:t>
      </w:r>
      <w:r>
        <w:t>e civic voluntarism model.</w:t>
      </w:r>
    </w:p>
    <w:p w14:paraId="36766570" w14:textId="77777777" w:rsidR="00617726" w:rsidRDefault="00000000">
      <w:pPr>
        <w:pStyle w:val="Heading3"/>
      </w:pPr>
      <w:r>
        <w:lastRenderedPageBreak/>
        <w:t>Generational Cohorts</w:t>
      </w:r>
    </w:p>
    <w:p w14:paraId="771E4822" w14:textId="77777777" w:rsidR="00617726" w:rsidRDefault="00000000">
      <w:pPr>
        <w:ind w:firstLine="720"/>
      </w:pPr>
      <w:r>
        <w:t>Respondents were classified into five generational cohorts based on birth year: Generation Z (born 1997 or later), Millennials (1981–1996), Generation X (1965–1980), Baby Boomers (1946–1964), and the Silent Generation (born before 1946). Birth year was calculated as survey year minus respondent age. Because CPS-CEV is administered to adults aged 16 and older, the age range of Generation Z respondents varies across waves (ages 18–20 in 2017 to ages 18–26 in 2023). Analyses that involve Generation Z are inter</w:t>
      </w:r>
      <w:r>
        <w:t>preted with this compositional shift in mind.</w:t>
      </w:r>
    </w:p>
    <w:p w14:paraId="5FC2475F" w14:textId="77777777" w:rsidR="00617726" w:rsidRDefault="00000000">
      <w:pPr>
        <w:pStyle w:val="Heading3"/>
      </w:pPr>
      <w:r>
        <w:t>Moderating Variables</w:t>
      </w:r>
    </w:p>
    <w:p w14:paraId="3B38ED7D" w14:textId="77777777" w:rsidR="00617726" w:rsidRDefault="00000000">
      <w:pPr>
        <w:ind w:firstLine="720"/>
      </w:pPr>
      <w:r>
        <w:t>Three theoretically motivated moderators were examined. Education was measured using PEEDUCA and dichotomized as bachelor's degree or higher versus less than a bachelor's degree, consistent with the civic voluntarism model's identification of education as the strongest resource predictor of civic participation (Verba et al., 1995). Employment status was derived from PEMLR and dichotomized as currently employed (including self-employed) versus not employed. Civic social media use was measured using VLSOCMEDI</w:t>
      </w:r>
      <w:r>
        <w:t>A, which asks how often the respondent used the internet or social media to engage in civic activities such as organizing events, expressing opinions on community issues, or finding volunteering opportunities. This variable uses descending frequency (1 = basically every day to 6 = not at all) and was reverse-coded for consistency.</w:t>
      </w:r>
    </w:p>
    <w:p w14:paraId="11FBB66B" w14:textId="77777777" w:rsidR="00617726" w:rsidRDefault="00000000">
      <w:pPr>
        <w:pStyle w:val="Heading3"/>
      </w:pPr>
      <w:r>
        <w:t>Control Variables</w:t>
      </w:r>
    </w:p>
    <w:p w14:paraId="0091F0D4" w14:textId="77777777" w:rsidR="00617726" w:rsidRDefault="00000000">
      <w:pPr>
        <w:ind w:firstLine="720"/>
      </w:pPr>
      <w:r>
        <w:t xml:space="preserve">Models controlled for age (continuous), sex (male/female), race/ethnicity (White non-Hispanic, Black non-Hispanic, Hispanic, Asian non-Hispanic, other), marital status (married, </w:t>
      </w:r>
      <w:r>
        <w:lastRenderedPageBreak/>
        <w:t>never married, divorced/separated/widowed), household income (16 categories), metropolitan status (metropolitan/nonmetropolitan), region (Northeast, Midwest, South, West), and survey wave (2017, 2019, 2021, 2023).</w:t>
      </w:r>
    </w:p>
    <w:p w14:paraId="79D0B334" w14:textId="1CB4F053" w:rsidR="00617726" w:rsidRDefault="00000000">
      <w:pPr>
        <w:pStyle w:val="Heading2"/>
      </w:pPr>
      <w:r>
        <w:t>Analytic Strategy</w:t>
      </w:r>
    </w:p>
    <w:p w14:paraId="5677C8F4" w14:textId="77777777" w:rsidR="00617726" w:rsidRDefault="00000000">
      <w:pPr>
        <w:ind w:firstLine="720"/>
      </w:pPr>
      <w:r>
        <w:t>The analysis proceeds in three stages. First, we present weighted descriptive statistics characterizing the distribution of socialization frequency across generational cohorts and survey waves. These cross-tabulations establish the empirical foundation for the formal analysis and document the generational asymmetry in social isolation that motivates the study.</w:t>
      </w:r>
    </w:p>
    <w:p w14:paraId="4C650FA2" w14:textId="77777777" w:rsidR="00617726" w:rsidRDefault="00000000">
      <w:pPr>
        <w:ind w:firstLine="720"/>
      </w:pPr>
      <w:r>
        <w:t>Second, to address RQ1, we estimate survey-weighted logistic regression models predicting volunteering status from socialization frequency, generational cohort, and their interaction. Socialization frequency is entered as a set of dummy variables (with "not at all" as the reference category) to capture nonlinear threshold effects. Predicted probabilities and average marginal effects are computed to quantify the socialization–volunteering gradient within each generation. To test whether the observed generati</w:t>
      </w:r>
      <w:r>
        <w:t>onal pattern reflects a cohort effect rather than an age effect, we conduct a same-age comparison of Millennials (ages 20–25 in 2017) and Generation Z (ages 20–25 in 2023) on socialization and volunteering rates.</w:t>
      </w:r>
    </w:p>
    <w:p w14:paraId="5C158F45" w14:textId="77777777" w:rsidR="00617726" w:rsidRDefault="00000000">
      <w:pPr>
        <w:ind w:firstLine="720"/>
      </w:pPr>
      <w:r>
        <w:t>Third, to address RQ2, we extend the logistic regression models to include three-way interactions: socialization frequency × generation × education, socialization frequency × generation × employment status, and socialization frequency × generation × civic social media use. These interactions test whether conventional pathways to civic participation moderate the socialization–volunteering association differently across generations. All models use supplement weights (VLSUPPWT) and account for the complex surv</w:t>
      </w:r>
      <w:r>
        <w:t>ey design using linearized standard errors.</w:t>
      </w:r>
    </w:p>
    <w:p w14:paraId="4226269A" w14:textId="64746A7B" w:rsidR="00617726" w:rsidRDefault="00000000">
      <w:pPr>
        <w:ind w:firstLine="720"/>
      </w:pPr>
      <w:r>
        <w:lastRenderedPageBreak/>
        <w:t xml:space="preserve">As a supplementary analysis, we employ Latent Profile Analysis (LPA) to identify distinct civic engagement typologies using five indicators: boycotting (CEBOYCOTT), contacting public officials (CEPUBOFF), political conversation frequency (CEPOLCONV), socialization frequency (CESOCIALIZE), and organizational membership count (VLMEMBERN). LPA results provide </w:t>
      </w:r>
      <w:r w:rsidR="00556631">
        <w:t xml:space="preserve">a </w:t>
      </w:r>
      <w:r>
        <w:t>person-centered context for the variable-centered regression findings, confirming whether the socialization–volunteering gradient operates similarly across empirically derived civic engagement profiles. Additionally, gradient boosting machines (GBMs) with TreeSHAP decomposition (Lundberg &amp; Lee, 2017) are used as a robustness check to identify potential nonlinear relationships and interaction effects not captured by the parametric models (Friedman, 2001). All analyses were conducted in R (version 4.4) usin</w:t>
      </w:r>
      <w:r>
        <w:t xml:space="preserve">g the survey, tidyLPA, and xgboost </w:t>
      </w:r>
      <w:commentRangeStart w:id="10"/>
      <w:r>
        <w:t>packages</w:t>
      </w:r>
      <w:commentRangeEnd w:id="10"/>
      <w:r w:rsidR="008F5598">
        <w:rPr>
          <w:rStyle w:val="CommentReference"/>
          <w:sz w:val="24"/>
          <w:szCs w:val="22"/>
        </w:rPr>
        <w:commentReference w:id="10"/>
      </w:r>
      <w:r>
        <w:t>.</w:t>
      </w:r>
    </w:p>
    <w:p w14:paraId="6E50FE3A" w14:textId="77777777" w:rsidR="00617726" w:rsidRDefault="00000000">
      <w:r>
        <w:br w:type="page"/>
      </w:r>
    </w:p>
    <w:p w14:paraId="3435F7F3" w14:textId="77777777" w:rsidR="00617726" w:rsidRDefault="00000000">
      <w:pPr>
        <w:pStyle w:val="Heading1"/>
      </w:pPr>
      <w:r>
        <w:lastRenderedPageBreak/>
        <w:t>References</w:t>
      </w:r>
    </w:p>
    <w:p w14:paraId="1575E8F1" w14:textId="77777777" w:rsidR="00617726" w:rsidRDefault="00000000">
      <w:pPr>
        <w:ind w:left="720" w:hanging="720"/>
      </w:pPr>
      <w:r>
        <w:t>Adler, R. P., &amp; Goggin, J. (2005). What do we mean by “civic engagement”? Journal of Transformative Education, 3(3), 236–253. https://doi.org/10.1177/1541344605276792</w:t>
      </w:r>
    </w:p>
    <w:p w14:paraId="677619D9" w14:textId="77777777" w:rsidR="00617726" w:rsidRDefault="00000000">
      <w:pPr>
        <w:ind w:left="720" w:hanging="720"/>
      </w:pPr>
      <w:r>
        <w:t>AmeriCorps. (2024). Civic engagement and volunteering (CEV) dashboard. AmeriCorps Open Data. https://data.americorps.gov/stories/s/62w6-z7xa</w:t>
      </w:r>
    </w:p>
    <w:p w14:paraId="38CA91CB" w14:textId="77777777" w:rsidR="00617726" w:rsidRDefault="00000000">
      <w:pPr>
        <w:ind w:left="720" w:hanging="720"/>
      </w:pPr>
      <w:r w:rsidRPr="00EE4D44">
        <w:rPr>
          <w:lang w:val="de-DE"/>
        </w:rPr>
        <w:t xml:space="preserve">Bennett, W. L., &amp; Segerberg, A. (2012). </w:t>
      </w:r>
      <w:r>
        <w:t>The logic of connective action: Digital media and the personalization of contentious politics. Information, Communication &amp; Society, 15(5), 739–768. https://doi.org/10.1080/1369118.2012.670661</w:t>
      </w:r>
    </w:p>
    <w:p w14:paraId="4E47EB2B" w14:textId="77777777" w:rsidR="00617726" w:rsidRDefault="00000000">
      <w:pPr>
        <w:ind w:left="720" w:hanging="720"/>
      </w:pPr>
      <w:r>
        <w:t>Bergman, L. R., &amp; Magnusson, D. (1997). A person-oriented approach in research on developmental psychopathology. Development and Psychopathology, 9(2), 291–319. https://doi.org/10.1017/S095457949700206X</w:t>
      </w:r>
    </w:p>
    <w:p w14:paraId="3815A2F8" w14:textId="77777777" w:rsidR="00617726" w:rsidRDefault="00000000">
      <w:pPr>
        <w:ind w:left="720" w:hanging="720"/>
      </w:pPr>
      <w:r>
        <w:t>Blais, A., &amp; Rubenson, D. (2013). The source of turnout decline: New values or new contexts? Comparative Political Studies, 46(1), 95–117. https://doi.org/10.1177/0010414012453032</w:t>
      </w:r>
    </w:p>
    <w:p w14:paraId="3119CF79" w14:textId="77777777" w:rsidR="00617726" w:rsidRDefault="00000000">
      <w:pPr>
        <w:ind w:left="720" w:hanging="720"/>
      </w:pPr>
      <w:r>
        <w:t>Brady, H. E., Verba, S., &amp; Schlozman, K. L. (1995). Beyond SES: A resource model of political participation. American Political Science Review, 89(2), 271–294. https://doi.org/10.2307/2082425</w:t>
      </w:r>
    </w:p>
    <w:p w14:paraId="46392475" w14:textId="77777777" w:rsidR="00617726" w:rsidRDefault="00000000">
      <w:pPr>
        <w:ind w:left="720" w:hanging="720"/>
      </w:pPr>
      <w:r>
        <w:t>Bronfenbrenner, U. (1979). The ecology of human development: Experiments by nature and design. Harvard University Press.</w:t>
      </w:r>
    </w:p>
    <w:p w14:paraId="19386BA2" w14:textId="77777777" w:rsidR="00617726" w:rsidRDefault="00000000">
      <w:pPr>
        <w:ind w:left="720" w:hanging="720"/>
      </w:pPr>
      <w:r>
        <w:t>Cacioppo, J. T., &amp; Cacioppo, S. (2014). Social relationships and health: The toxic effects of perceived social isolation. Social and Personality Psychology Compass, 8(2), 58–72. https://doi.org/10.1111/spc3.12087</w:t>
      </w:r>
    </w:p>
    <w:p w14:paraId="2485D223" w14:textId="77777777" w:rsidR="00617726" w:rsidRDefault="00000000">
      <w:pPr>
        <w:ind w:left="720" w:hanging="720"/>
      </w:pPr>
      <w:r>
        <w:lastRenderedPageBreak/>
        <w:t>Coleman, J. S. (1988). Social capital in the creation of human capital. American Journal of Sociology, 94(Supplement), S95–S120. https://doi.org/10.1086/228943</w:t>
      </w:r>
    </w:p>
    <w:p w14:paraId="3CDB499A" w14:textId="77777777" w:rsidR="00617726" w:rsidRDefault="00000000">
      <w:pPr>
        <w:ind w:left="720" w:hanging="720"/>
      </w:pPr>
      <w:r>
        <w:t>Collins, L. M., &amp; Lanza, S. T. (2010). Latent class and latent transition analysis: With applications in the social, behavioral, and health sciences. Wiley.</w:t>
      </w:r>
    </w:p>
    <w:p w14:paraId="43A37E53" w14:textId="77777777" w:rsidR="00617726" w:rsidRDefault="00000000">
      <w:pPr>
        <w:ind w:left="720" w:hanging="720"/>
      </w:pPr>
      <w:r>
        <w:t>Corporation for National and Community Service. (2018). Volunteering in America 2018. https://www.nationalservice.gov/serve/via</w:t>
      </w:r>
    </w:p>
    <w:p w14:paraId="723206C6" w14:textId="77777777" w:rsidR="00617726" w:rsidRDefault="00000000">
      <w:pPr>
        <w:ind w:left="720" w:hanging="720"/>
      </w:pPr>
      <w:r>
        <w:t>Dalton, R. J. (2008). The good citizen: How a younger generation is reshaping American politics. CQ Press.</w:t>
      </w:r>
    </w:p>
    <w:p w14:paraId="043AC4DB" w14:textId="77777777" w:rsidR="00617726" w:rsidRDefault="00000000">
      <w:pPr>
        <w:ind w:left="720" w:hanging="720"/>
      </w:pPr>
      <w:r>
        <w:t>Ekman, J., &amp; Amnå, E. (2012). Political participation and civic engagement: Towards a new typology. Human Affairs, 22(3), 283–300. https://doi.org/10.2478/s13374-012-0024-1</w:t>
      </w:r>
    </w:p>
    <w:p w14:paraId="5D9EC0D3" w14:textId="77777777" w:rsidR="00617726" w:rsidRDefault="00000000">
      <w:pPr>
        <w:ind w:left="720" w:hanging="720"/>
      </w:pPr>
      <w:r>
        <w:t>Flanagan, C., &amp; Levine, P. (2010). Civic engagement and the transition to adulthood. The Future of Children, 20(1), 159–179. https://doi.org/10.1353/foc.0.0043</w:t>
      </w:r>
    </w:p>
    <w:p w14:paraId="2E58527E" w14:textId="77777777" w:rsidR="00617726" w:rsidRDefault="00000000">
      <w:pPr>
        <w:ind w:left="720" w:hanging="720"/>
      </w:pPr>
      <w:r>
        <w:t>Flood, S., King, M., Rodgers, R., Ruggles, S., Warren, J. R., Backman, D., Chen, A., Cooper, G., Richards, S., Schouweiler, M., &amp; Westberry, M. (2023). Integrated public use microdata series, Current Population Survey: Version 11.0 [dataset]. IPUMS. https://doi.org/10.18128/D030.V11.0</w:t>
      </w:r>
    </w:p>
    <w:p w14:paraId="0D617E93" w14:textId="77777777" w:rsidR="00617726" w:rsidRDefault="00000000">
      <w:pPr>
        <w:ind w:left="720" w:hanging="720"/>
      </w:pPr>
      <w:r>
        <w:t>Flora, C. B., &amp; Flora, J. L. (2013). Rural communities: Legacy and change (4th ed.). Westview Press.</w:t>
      </w:r>
    </w:p>
    <w:p w14:paraId="704175DC" w14:textId="77777777" w:rsidR="00617726" w:rsidRDefault="00000000">
      <w:pPr>
        <w:ind w:left="720" w:hanging="720"/>
      </w:pPr>
      <w:r>
        <w:t>Friedman, J. H. (2001). Greedy function approximation: A gradient boosting machine. Annals of Statistics, 29(5), 1189–1232. https://doi.org/10.1214/aos/1013203451</w:t>
      </w:r>
    </w:p>
    <w:p w14:paraId="1A537C6C" w14:textId="77777777" w:rsidR="00617726" w:rsidRDefault="00000000">
      <w:pPr>
        <w:ind w:left="720" w:hanging="720"/>
      </w:pPr>
      <w:r>
        <w:t>Granovetter, M. S. (1973). The strength of weak ties. American Journal of Sociology, 78(6), 1360–1380. https://doi.org/10.1086/225469</w:t>
      </w:r>
    </w:p>
    <w:p w14:paraId="0FD90CAF" w14:textId="77777777" w:rsidR="00617726" w:rsidRDefault="00000000">
      <w:pPr>
        <w:ind w:left="720" w:hanging="720"/>
      </w:pPr>
      <w:r>
        <w:lastRenderedPageBreak/>
        <w:t>Holt-Lunstad, J., Smith, T. B., &amp; Layton, J. B. (2010). Social relationships and mortality risk: A meta-analytic review. PLOS Medicine, 7(7), Article e1000316. https://doi.org/10.1371/journal.pmed.1000316</w:t>
      </w:r>
    </w:p>
    <w:p w14:paraId="14C85A10" w14:textId="77777777" w:rsidR="00617726" w:rsidRDefault="00000000">
      <w:pPr>
        <w:ind w:left="720" w:hanging="720"/>
      </w:pPr>
      <w:r>
        <w:t>Hooghe, M. (2012). Taking generation seriously: Three approaches to cohort effects in political research. In M. Hooghe &amp; D. Stolle (Eds.), Generating social capital: Civil society and institutions in comparative perspective (pp. 1–22). Palgrave Macmillan.</w:t>
      </w:r>
    </w:p>
    <w:p w14:paraId="6533CC09" w14:textId="77777777" w:rsidR="00617726" w:rsidRDefault="00000000">
      <w:pPr>
        <w:ind w:left="720" w:hanging="720"/>
      </w:pPr>
      <w:r>
        <w:t>Kelle, N., Simonson, J., &amp; Henning, G. (2025). Baby boomers and their voluntary engagement: A cohort comparison among the middle-aged and older population in Germany. Nonprofit and Voluntary Sector Quarterly, 54(1), 182–203. https://doi.org/10.1177/08997640241240417</w:t>
      </w:r>
    </w:p>
    <w:p w14:paraId="0F276644" w14:textId="77777777" w:rsidR="00617726" w:rsidRDefault="00000000">
      <w:pPr>
        <w:ind w:left="720" w:hanging="720"/>
      </w:pPr>
      <w:r>
        <w:t>Lim, C., &amp; Laurence, J. (2015). Doing good when times are bad: Volunteering behaviour in economic hard times. British Journal of Sociology, 66(2), 319–344. https://doi.org/10.1111/1468-4446.12122</w:t>
      </w:r>
    </w:p>
    <w:p w14:paraId="758AEEE1" w14:textId="77777777" w:rsidR="00617726" w:rsidRDefault="00000000">
      <w:pPr>
        <w:ind w:left="720" w:hanging="720"/>
      </w:pPr>
      <w:r>
        <w:t>Lundberg, S. M., Erion, G., Chen, H., DeGrave, A., Prutkin, J. M., Nair, B., Katz, R., Himmelfarb, J., Bansal, N., &amp; Lee, S.-I. (2020). From local explanations to global understanding with explainable AI for trees. Nature Machine Intelligence, 2(1), 56–67. https://doi.org/10.1038/s42256-019-0138-9</w:t>
      </w:r>
    </w:p>
    <w:p w14:paraId="6DFB2612" w14:textId="77777777" w:rsidR="00617726" w:rsidRDefault="00000000">
      <w:pPr>
        <w:ind w:left="720" w:hanging="720"/>
      </w:pPr>
      <w:r>
        <w:t>Lundberg, S. M., &amp; Lee, S.-I. (2017). A unified approach to interpreting model predictions. In I. Guyon, U. V. Luxburg, S. Bengio, H. Wallach, R. Fergus, S. Vishwanathan, &amp; R. Garnett (Eds.), Advances in neural information processing systems 30 (pp. 4765–4774). Curran Associates.</w:t>
      </w:r>
    </w:p>
    <w:p w14:paraId="56F075CD" w14:textId="77777777" w:rsidR="00617726" w:rsidRDefault="00000000">
      <w:pPr>
        <w:ind w:left="720" w:hanging="720"/>
      </w:pPr>
      <w:r>
        <w:t>Marien, S., Hooghe, M., &amp; Quintelier, E. (2010). The effect of age on citizenship: Evidence from a meta-analysis. Acta Politica, 45(4), 417–441. https://doi.org/10.1057/ap.2009.30</w:t>
      </w:r>
    </w:p>
    <w:p w14:paraId="61E41DA6" w14:textId="77777777" w:rsidR="00617726" w:rsidRDefault="00000000">
      <w:pPr>
        <w:ind w:left="720" w:hanging="720"/>
      </w:pPr>
      <w:r>
        <w:lastRenderedPageBreak/>
        <w:t>Molnar, C. (2020). Interpretable machine learning: A guide for making black box models explainable (2nd ed.). https://christophm.github.io/interpretable-ml-book/</w:t>
      </w:r>
    </w:p>
    <w:p w14:paraId="075263E4" w14:textId="77777777" w:rsidR="00617726" w:rsidRDefault="00000000">
      <w:pPr>
        <w:ind w:left="720" w:hanging="720"/>
      </w:pPr>
      <w:r>
        <w:t>Murmuration. (2023). Understanding Gen Z: Barriers to civic engagement. https://murmuration.org/research/barriers-to-gen-z-civic-engagement</w:t>
      </w:r>
    </w:p>
    <w:p w14:paraId="7ECEDB98" w14:textId="77777777" w:rsidR="00617726" w:rsidRDefault="00000000">
      <w:pPr>
        <w:ind w:left="720" w:hanging="720"/>
      </w:pPr>
      <w:r>
        <w:t>Musick, M. A., &amp; Wilson, J. (2008). Volunteers: A social profile. Indiana University Press.</w:t>
      </w:r>
    </w:p>
    <w:p w14:paraId="60CB5825" w14:textId="77777777" w:rsidR="00617726" w:rsidRDefault="00000000">
      <w:pPr>
        <w:ind w:left="720" w:hanging="720"/>
      </w:pPr>
      <w:r w:rsidRPr="00EE4D44">
        <w:rPr>
          <w:lang w:val="fi-FI"/>
        </w:rPr>
        <w:t xml:space="preserve">Muthén, B., &amp; Muthén, L. K. (2000). </w:t>
      </w:r>
      <w:r>
        <w:t>Integrating person-centered and variable-centered analyses: Growth mixture modeling with latent trajectory classes. Alcoholism: Clinical and Experimental Research, 24(6), 882–891. https://doi.org/10.1111/j.1530-0277.2000.tb02070.x</w:t>
      </w:r>
    </w:p>
    <w:p w14:paraId="74015BEE" w14:textId="77777777" w:rsidR="00617726" w:rsidRDefault="00000000">
      <w:pPr>
        <w:ind w:left="720" w:hanging="720"/>
      </w:pPr>
      <w:r>
        <w:t>Norris, P. (2002). Democratic phoenix: Reinventing political activism. Cambridge University Press.</w:t>
      </w:r>
    </w:p>
    <w:p w14:paraId="7330A727" w14:textId="77777777" w:rsidR="00617726" w:rsidRDefault="00000000">
      <w:pPr>
        <w:ind w:left="720" w:hanging="720"/>
      </w:pPr>
      <w:r>
        <w:t>Office of the Surgeon General. (2023). Our epidemic of loneliness and isolation: The U.S. Surgeon General's advisory on the healing effects of social connection and community. U.S. Department of Health and Human Services. https://www.hhs.gov/sites/default/files/surgeon-general-social-connection-advisory.pdf</w:t>
      </w:r>
    </w:p>
    <w:p w14:paraId="2C898060" w14:textId="77777777" w:rsidR="00617726" w:rsidRDefault="00000000">
      <w:pPr>
        <w:ind w:left="720" w:hanging="720"/>
      </w:pPr>
      <w:r>
        <w:t>Putnam, R. D. (2000). Bowling alone: The collapse and revival of American community. Simon &amp; Schuster.</w:t>
      </w:r>
    </w:p>
    <w:p w14:paraId="320EAA6F" w14:textId="77777777" w:rsidR="00617726" w:rsidRDefault="00000000">
      <w:pPr>
        <w:ind w:left="720" w:hanging="720"/>
      </w:pPr>
      <w:r>
        <w:t>Rosenstone, S. J., &amp; Hansen, J. M. (1993). Mobilization, participation, and democracy in America. Macmillan.</w:t>
      </w:r>
    </w:p>
    <w:p w14:paraId="77AD29B4" w14:textId="77777777" w:rsidR="00617726" w:rsidRDefault="00000000">
      <w:pPr>
        <w:ind w:left="720" w:hanging="720"/>
      </w:pPr>
      <w:r>
        <w:t>Schlozman, K. L., Verba, S., &amp; Brady, H. E. (2012). The unheavenly chorus: Unequal political voice and the broken promise of American democracy. Princeton University Press.</w:t>
      </w:r>
    </w:p>
    <w:p w14:paraId="4925E63C" w14:textId="77777777" w:rsidR="00617726" w:rsidRDefault="00000000">
      <w:pPr>
        <w:ind w:left="720" w:hanging="720"/>
      </w:pPr>
      <w:r>
        <w:t>Shmueli, G. (2010). To explain or to predict? Statistical Science, 25(3), 289–310. https://doi.org/10.1214/10-STS330</w:t>
      </w:r>
    </w:p>
    <w:p w14:paraId="4DFE71C6" w14:textId="77777777" w:rsidR="00617726" w:rsidRDefault="00000000">
      <w:pPr>
        <w:ind w:left="720" w:hanging="720"/>
      </w:pPr>
      <w:r>
        <w:lastRenderedPageBreak/>
        <w:t>Skocpol, T. (2003). Diminished democracy: From membership to management in American civic life. University of Oklahoma Press.</w:t>
      </w:r>
    </w:p>
    <w:p w14:paraId="355F9AF0" w14:textId="77777777" w:rsidR="00617726" w:rsidRDefault="00000000">
      <w:pPr>
        <w:ind w:left="720" w:hanging="720"/>
      </w:pPr>
      <w:r>
        <w:t>Teorell, J., Torcal, M., &amp; Montero, J. R. (2007). Political participation: Mapping the terrain. In J. W. van Deth, J. R. Montero, &amp; A. Westholm (Eds.), Citizenship and involvement in European democracies: A comparative analysis (pp. 334–357). Routledge.</w:t>
      </w:r>
    </w:p>
    <w:p w14:paraId="2FC7B325" w14:textId="77777777" w:rsidR="00617726" w:rsidRDefault="00000000">
      <w:pPr>
        <w:ind w:left="720" w:hanging="720"/>
      </w:pPr>
      <w:r>
        <w:t>Twenge, J. M. (2017). iGen: Why today's super-connected kids are growing up less rebellious, more tolerant, less happy—and completely unprepared for adulthood. Atria Books.</w:t>
      </w:r>
    </w:p>
    <w:p w14:paraId="1B3050A2" w14:textId="77777777" w:rsidR="00617726" w:rsidRDefault="00000000">
      <w:pPr>
        <w:ind w:left="720" w:hanging="720"/>
      </w:pPr>
      <w:r>
        <w:t>Twenge, J. M., Spitzberg, B. H., &amp; Campbell, W. K. (2019). Less in-person social interaction with peers among U.S. adolescents in the 21st century and links to loneliness. Journal of Social and Personal Relationships, 36(6), 1892–1913. https://doi.org/10.1177/0265407519836170</w:t>
      </w:r>
    </w:p>
    <w:p w14:paraId="2792278D" w14:textId="77777777" w:rsidR="00617726" w:rsidRDefault="00000000">
      <w:pPr>
        <w:ind w:left="720" w:hanging="720"/>
      </w:pPr>
      <w:r>
        <w:t>U.S. Census Bureau. (2024). Civic engagement and volunteering supplement: 2023 data release. https://www.census.gov/newsroom/press-releases/2024/civic-engagement-volunteering-supplement.html</w:t>
      </w:r>
    </w:p>
    <w:p w14:paraId="2D0417C0" w14:textId="77777777" w:rsidR="00617726" w:rsidRDefault="00000000">
      <w:pPr>
        <w:ind w:left="720" w:hanging="720"/>
      </w:pPr>
      <w:r w:rsidRPr="00EE4D44">
        <w:rPr>
          <w:lang w:val="de-DE"/>
        </w:rPr>
        <w:t xml:space="preserve">Verba, S., Schlozman, K. L., &amp; Brady, H. E. (1995). </w:t>
      </w:r>
      <w:r>
        <w:t>Voice and equality: Civic voluntarism in American politics. Harvard University Press.</w:t>
      </w:r>
    </w:p>
    <w:p w14:paraId="110FFE30" w14:textId="77777777" w:rsidR="00617726" w:rsidRDefault="00000000">
      <w:pPr>
        <w:ind w:left="720" w:hanging="720"/>
      </w:pPr>
      <w:r>
        <w:t>Wilson, J. (2000). Volunteering. Annual Review of Sociology, 26(1), 215–240. https://doi.org/10.1146/annurev.soc.26.1.215</w:t>
      </w:r>
    </w:p>
    <w:p w14:paraId="2D973E52" w14:textId="77777777" w:rsidR="00617726" w:rsidRDefault="00000000">
      <w:pPr>
        <w:ind w:left="720" w:hanging="720"/>
      </w:pPr>
      <w:r>
        <w:t>Wilson, J. (2012). Volunteerism research: A review essay. Nonprofit and Voluntary Sector Quarterly, 41(2), 176–212. https://doi.org/10.1177/0899764011434558</w:t>
      </w:r>
    </w:p>
    <w:p w14:paraId="1E3EA330" w14:textId="77777777" w:rsidR="00617726" w:rsidRDefault="00000000">
      <w:pPr>
        <w:ind w:left="720" w:hanging="720"/>
      </w:pPr>
      <w:r>
        <w:t>Woolcock, M., &amp; Narayan, D. (2000). Social capital: Implications for development theory, research, and policy. World Bank Research Observer, 15(2), 225–249. https://doi.org/10.1093/wbro/15.2.225</w:t>
      </w:r>
    </w:p>
    <w:p w14:paraId="64072248" w14:textId="77777777" w:rsidR="00617726" w:rsidRDefault="00000000">
      <w:pPr>
        <w:ind w:left="720" w:hanging="720"/>
      </w:pPr>
      <w:r>
        <w:lastRenderedPageBreak/>
        <w:t>Wray-Lake, L., &amp; Hart, D. (2012). Growing social inequalities in youth civic engagement? Evidence from the National Election Study. PS: Political Science &amp; Politics, 45(3), 456–461. https://doi.org/10.1017/S1049096512000339</w:t>
      </w:r>
    </w:p>
    <w:p w14:paraId="00BB06B1" w14:textId="77777777" w:rsidR="00617726" w:rsidRDefault="00000000">
      <w:pPr>
        <w:ind w:left="720" w:hanging="720"/>
      </w:pPr>
      <w:r w:rsidRPr="00EE4D44">
        <w:rPr>
          <w:lang w:val="fi-FI"/>
        </w:rPr>
        <w:t xml:space="preserve">Zukin, C., Keeter, S., Andolina, M., Jenkins, K., &amp; Delli Carpini, M. X. (2006). </w:t>
      </w:r>
      <w:r>
        <w:t>A new engagement? Political participation, civic life, and the changing American citizen. Oxford University Press.</w:t>
      </w:r>
    </w:p>
    <w:p w14:paraId="21FC624F" w14:textId="77777777" w:rsidR="00617726" w:rsidRDefault="00000000">
      <w:pPr>
        <w:rPr>
          <w:lang w:eastAsia="ko-KR"/>
        </w:rPr>
      </w:pPr>
      <w:r>
        <w:br w:type="page"/>
      </w:r>
    </w:p>
    <w:sectPr w:rsidR="00617726"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ndon, Suzanna R." w:date="2026-03-11T09:01:00Z" w:initials="SW">
    <w:p w14:paraId="76D4984F" w14:textId="77777777" w:rsidR="00EE4D44" w:rsidRDefault="00EE4D44" w:rsidP="00EE4D44">
      <w:pPr>
        <w:pStyle w:val="CommentText"/>
      </w:pPr>
      <w:r>
        <w:rPr>
          <w:rStyle w:val="CommentReference"/>
        </w:rPr>
        <w:annotationRef/>
      </w:r>
      <w:r>
        <w:t>The abstract is overstated. Need to see the requirements of the journal toward the abstract</w:t>
      </w:r>
    </w:p>
  </w:comment>
  <w:comment w:id="1" w:author="Windon, Suzanna R." w:date="2026-03-11T09:04:00Z" w:initials="SW">
    <w:p w14:paraId="044BF985" w14:textId="77777777" w:rsidR="009642EB" w:rsidRDefault="00EE4D44" w:rsidP="009642EB">
      <w:pPr>
        <w:pStyle w:val="CommentText"/>
      </w:pPr>
      <w:r>
        <w:rPr>
          <w:rStyle w:val="CommentReference"/>
        </w:rPr>
        <w:annotationRef/>
      </w:r>
      <w:r w:rsidR="009642EB">
        <w:t xml:space="preserve">Intro is too long. I don’t think you need to state your research objectives; you need to explain, in the context of the loneliness epidemic or the issue in general, why this research is needed and why there is a lack of supporting literature. I always believe the intro is good for demonstrating the trend and issue, showing the gap, and the purpose of this study. </w:t>
      </w:r>
    </w:p>
    <w:p w14:paraId="71B00F26" w14:textId="77777777" w:rsidR="009642EB" w:rsidRDefault="009642EB" w:rsidP="009642EB">
      <w:pPr>
        <w:pStyle w:val="CommentText"/>
      </w:pPr>
    </w:p>
    <w:p w14:paraId="0A42089D" w14:textId="77777777" w:rsidR="009642EB" w:rsidRDefault="009642EB" w:rsidP="009642EB">
      <w:pPr>
        <w:pStyle w:val="CommentText"/>
        <w:numPr>
          <w:ilvl w:val="0"/>
          <w:numId w:val="11"/>
        </w:numPr>
      </w:pPr>
      <w:r>
        <w:t xml:space="preserve">Problem </w:t>
      </w:r>
    </w:p>
    <w:p w14:paraId="2251206A" w14:textId="77777777" w:rsidR="009642EB" w:rsidRDefault="009642EB" w:rsidP="009642EB">
      <w:pPr>
        <w:pStyle w:val="CommentText"/>
        <w:numPr>
          <w:ilvl w:val="0"/>
          <w:numId w:val="11"/>
        </w:numPr>
      </w:pPr>
      <w:r>
        <w:t>Gap</w:t>
      </w:r>
    </w:p>
    <w:p w14:paraId="1D5550E3" w14:textId="77777777" w:rsidR="009642EB" w:rsidRDefault="009642EB" w:rsidP="009642EB">
      <w:pPr>
        <w:pStyle w:val="CommentText"/>
        <w:numPr>
          <w:ilvl w:val="0"/>
          <w:numId w:val="11"/>
        </w:numPr>
      </w:pPr>
      <w:r>
        <w:t>The purpose of the study</w:t>
      </w:r>
    </w:p>
    <w:p w14:paraId="6D0CC7CA" w14:textId="77777777" w:rsidR="009642EB" w:rsidRDefault="009642EB" w:rsidP="009642EB">
      <w:pPr>
        <w:pStyle w:val="CommentText"/>
        <w:numPr>
          <w:ilvl w:val="0"/>
          <w:numId w:val="11"/>
        </w:numPr>
      </w:pPr>
      <w:r>
        <w:t xml:space="preserve">Contribution of this study/ Why do we need this research? What do we want to show? </w:t>
      </w:r>
    </w:p>
    <w:p w14:paraId="1E597A7C" w14:textId="77777777" w:rsidR="009642EB" w:rsidRDefault="009642EB" w:rsidP="009642EB">
      <w:pPr>
        <w:pStyle w:val="CommentText"/>
      </w:pPr>
    </w:p>
    <w:p w14:paraId="52AA3ACF" w14:textId="77777777" w:rsidR="009642EB" w:rsidRDefault="009642EB" w:rsidP="009642EB">
      <w:pPr>
        <w:pStyle w:val="CommentText"/>
      </w:pPr>
    </w:p>
  </w:comment>
  <w:comment w:id="2" w:author="Windon, Suzanna R." w:date="2026-03-11T09:16:00Z" w:initials="SW">
    <w:p w14:paraId="68371907" w14:textId="1D7967B9" w:rsidR="009642EB" w:rsidRDefault="009642EB" w:rsidP="009642EB">
      <w:pPr>
        <w:pStyle w:val="CommentText"/>
      </w:pPr>
      <w:r>
        <w:rPr>
          <w:rStyle w:val="CommentReference"/>
        </w:rPr>
        <w:annotationRef/>
      </w:r>
      <w:r>
        <w:t xml:space="preserve">Your lit review section should include all key words that you have in your research questions, with an explanation of why and what.  </w:t>
      </w:r>
    </w:p>
    <w:p w14:paraId="24C80965" w14:textId="77777777" w:rsidR="009642EB" w:rsidRDefault="009642EB" w:rsidP="009642EB">
      <w:pPr>
        <w:pStyle w:val="CommentText"/>
      </w:pPr>
    </w:p>
    <w:p w14:paraId="3DF78245" w14:textId="77777777" w:rsidR="009642EB" w:rsidRDefault="009642EB" w:rsidP="009642EB">
      <w:pPr>
        <w:pStyle w:val="CommentText"/>
      </w:pPr>
      <w:r>
        <w:t xml:space="preserve">In your lit review, you are using so many other words that don't align with your research questions most of the time. </w:t>
      </w:r>
    </w:p>
  </w:comment>
  <w:comment w:id="3" w:author="Windon, Suzanna R." w:date="2026-03-11T09:14:00Z" w:initials="SW">
    <w:p w14:paraId="01912259" w14:textId="77777777" w:rsidR="009642EB" w:rsidRDefault="009642EB" w:rsidP="009642EB">
      <w:pPr>
        <w:pStyle w:val="CommentText"/>
      </w:pPr>
      <w:r>
        <w:rPr>
          <w:rStyle w:val="CommentReference"/>
        </w:rPr>
        <w:annotationRef/>
      </w:r>
      <w:r>
        <w:t xml:space="preserve">The following should be the main focus of the Literature review section. </w:t>
      </w:r>
    </w:p>
    <w:p w14:paraId="37DF53EC" w14:textId="77777777" w:rsidR="009642EB" w:rsidRDefault="009642EB" w:rsidP="009642EB">
      <w:pPr>
        <w:pStyle w:val="CommentText"/>
      </w:pPr>
    </w:p>
    <w:p w14:paraId="0DA3694B" w14:textId="77777777" w:rsidR="009642EB" w:rsidRDefault="009642EB" w:rsidP="009642EB">
      <w:pPr>
        <w:pStyle w:val="CommentText"/>
        <w:numPr>
          <w:ilvl w:val="0"/>
          <w:numId w:val="12"/>
        </w:numPr>
      </w:pPr>
      <w:r>
        <w:t xml:space="preserve">In-person socialization </w:t>
      </w:r>
    </w:p>
    <w:p w14:paraId="510B180B" w14:textId="77777777" w:rsidR="009642EB" w:rsidRDefault="009642EB" w:rsidP="009642EB">
      <w:pPr>
        <w:pStyle w:val="CommentText"/>
      </w:pPr>
      <w:r>
        <w:t xml:space="preserve">2. Volunteering across generations OR why Generation Z? </w:t>
      </w:r>
    </w:p>
    <w:p w14:paraId="31A647DF" w14:textId="77777777" w:rsidR="009642EB" w:rsidRDefault="009642EB" w:rsidP="009642EB">
      <w:pPr>
        <w:pStyle w:val="CommentText"/>
      </w:pPr>
    </w:p>
    <w:p w14:paraId="532002BD" w14:textId="77777777" w:rsidR="009642EB" w:rsidRDefault="009642EB" w:rsidP="009642EB">
      <w:pPr>
        <w:pStyle w:val="CommentText"/>
      </w:pPr>
      <w:r>
        <w:t>3. Previous studies on the relationship between demographics (Education &amp; employment status) and volunteering and isolation/in-person socialization</w:t>
      </w:r>
    </w:p>
    <w:p w14:paraId="0E15E681" w14:textId="77777777" w:rsidR="009642EB" w:rsidRDefault="009642EB" w:rsidP="009642EB">
      <w:pPr>
        <w:pStyle w:val="CommentText"/>
      </w:pPr>
    </w:p>
    <w:p w14:paraId="79388E2B" w14:textId="77777777" w:rsidR="009642EB" w:rsidRDefault="009642EB" w:rsidP="009642EB">
      <w:pPr>
        <w:pStyle w:val="CommentText"/>
      </w:pPr>
      <w:r>
        <w:t xml:space="preserve">Social media is an extra variable - you should include it as a separate addition into the literature and explain why you are adding this factor. </w:t>
      </w:r>
    </w:p>
    <w:p w14:paraId="09B30761" w14:textId="77777777" w:rsidR="009642EB" w:rsidRDefault="009642EB" w:rsidP="009642EB">
      <w:pPr>
        <w:pStyle w:val="CommentText"/>
      </w:pPr>
    </w:p>
    <w:p w14:paraId="342EBC2D" w14:textId="77777777" w:rsidR="009642EB" w:rsidRDefault="009642EB" w:rsidP="009642EB">
      <w:pPr>
        <w:pStyle w:val="CommentText"/>
      </w:pPr>
      <w:r>
        <w:t xml:space="preserve">Why is a generation a moderating variable? </w:t>
      </w:r>
    </w:p>
    <w:p w14:paraId="7FF5DD11" w14:textId="77777777" w:rsidR="009642EB" w:rsidRDefault="009642EB" w:rsidP="009642EB">
      <w:pPr>
        <w:pStyle w:val="CommentText"/>
      </w:pPr>
    </w:p>
    <w:p w14:paraId="162EC366" w14:textId="77777777" w:rsidR="009642EB" w:rsidRDefault="009642EB" w:rsidP="009642EB">
      <w:pPr>
        <w:pStyle w:val="CommentText"/>
      </w:pPr>
      <w:r>
        <w:t xml:space="preserve"> You need to discuss Generational change, why Z? </w:t>
      </w:r>
    </w:p>
    <w:p w14:paraId="1B0ADB07" w14:textId="77777777" w:rsidR="009642EB" w:rsidRDefault="009642EB" w:rsidP="009642EB">
      <w:pPr>
        <w:pStyle w:val="CommentText"/>
      </w:pPr>
    </w:p>
    <w:p w14:paraId="5758F2FD" w14:textId="77777777" w:rsidR="009642EB" w:rsidRDefault="009642EB" w:rsidP="009642EB">
      <w:pPr>
        <w:pStyle w:val="CommentText"/>
      </w:pPr>
      <w:r>
        <w:t xml:space="preserve"> </w:t>
      </w:r>
    </w:p>
  </w:comment>
  <w:comment w:id="4" w:author="Windon, Suzanna R." w:date="2026-03-11T09:08:00Z" w:initials="SW">
    <w:p w14:paraId="4865938F" w14:textId="77777777" w:rsidR="00EE4D44" w:rsidRDefault="00EE4D44" w:rsidP="00EE4D44">
      <w:pPr>
        <w:pStyle w:val="CommentText"/>
      </w:pPr>
      <w:r>
        <w:rPr>
          <w:rStyle w:val="CommentReference"/>
        </w:rPr>
        <w:annotationRef/>
      </w:r>
      <w:r>
        <w:t xml:space="preserve">This could be as an intro part because it is an issue. </w:t>
      </w:r>
    </w:p>
  </w:comment>
  <w:comment w:id="5" w:author="Windon, Suzanna R." w:date="2026-03-11T09:07:00Z" w:initials="SW">
    <w:p w14:paraId="7DCB8A1E" w14:textId="77777777" w:rsidR="00EE4D44" w:rsidRDefault="00EE4D44" w:rsidP="00EE4D44">
      <w:pPr>
        <w:pStyle w:val="CommentText"/>
      </w:pPr>
      <w:r>
        <w:rPr>
          <w:rStyle w:val="CommentReference"/>
        </w:rPr>
        <w:annotationRef/>
      </w:r>
      <w:r>
        <w:t xml:space="preserve">What is a democratic health? </w:t>
      </w:r>
    </w:p>
  </w:comment>
  <w:comment w:id="8" w:author="Windon, Suzanna R." w:date="2026-03-11T09:06:00Z" w:initials="SW">
    <w:p w14:paraId="5E699BA9" w14:textId="04ABCAE8" w:rsidR="00EE4D44" w:rsidRDefault="00EE4D44" w:rsidP="00EE4D44">
      <w:pPr>
        <w:pStyle w:val="CommentText"/>
      </w:pPr>
      <w:r>
        <w:rPr>
          <w:rStyle w:val="CommentReference"/>
        </w:rPr>
        <w:annotationRef/>
      </w:r>
      <w:r>
        <w:t xml:space="preserve">Need to add a small section called "Purpose and Research Questions." between Lit Review and Method </w:t>
      </w:r>
    </w:p>
  </w:comment>
  <w:comment w:id="7" w:author="Windon, Suzanna R." w:date="2026-03-11T09:25:00Z" w:initials="SW">
    <w:p w14:paraId="203D43F1" w14:textId="77777777" w:rsidR="00424297" w:rsidRDefault="00424297" w:rsidP="00424297">
      <w:pPr>
        <w:pStyle w:val="CommentText"/>
      </w:pPr>
      <w:r>
        <w:rPr>
          <w:rStyle w:val="CommentReference"/>
        </w:rPr>
        <w:annotationRef/>
      </w:r>
      <w:r>
        <w:t xml:space="preserve">What are the main hypotheses of this study? </w:t>
      </w:r>
    </w:p>
    <w:p w14:paraId="69642D0B" w14:textId="77777777" w:rsidR="00424297" w:rsidRDefault="00424297" w:rsidP="00424297">
      <w:pPr>
        <w:pStyle w:val="CommentText"/>
      </w:pPr>
    </w:p>
    <w:p w14:paraId="4320FD8D" w14:textId="77777777" w:rsidR="00424297" w:rsidRDefault="00424297" w:rsidP="00424297">
      <w:pPr>
        <w:pStyle w:val="CommentText"/>
      </w:pPr>
      <w:r>
        <w:t xml:space="preserve">Maybe something like this? </w:t>
      </w:r>
    </w:p>
    <w:p w14:paraId="63ABDC0B" w14:textId="77777777" w:rsidR="00424297" w:rsidRDefault="00424297" w:rsidP="00424297">
      <w:pPr>
        <w:pStyle w:val="CommentText"/>
      </w:pPr>
      <w:r>
        <w:t>Hypothesis 1.</w:t>
      </w:r>
      <w:r>
        <w:rPr>
          <w:b/>
          <w:bCs/>
        </w:rPr>
        <w:t xml:space="preserve"> </w:t>
      </w:r>
      <w:r>
        <w:t xml:space="preserve">Higher levels of in-person socialization will be associated with a greater likelihood of volunteering. </w:t>
      </w:r>
    </w:p>
    <w:p w14:paraId="53257952" w14:textId="77777777" w:rsidR="00424297" w:rsidRDefault="00424297" w:rsidP="00424297">
      <w:pPr>
        <w:pStyle w:val="CommentText"/>
      </w:pPr>
    </w:p>
    <w:p w14:paraId="5FAC2B22" w14:textId="77777777" w:rsidR="00424297" w:rsidRDefault="00424297" w:rsidP="00424297">
      <w:pPr>
        <w:pStyle w:val="CommentText"/>
      </w:pPr>
      <w:r>
        <w:t xml:space="preserve">#2 Generation Z will demonstrate lower volunteering rates across levels of socialization compared with older cohorts (but you need to explain why Z again) </w:t>
      </w:r>
    </w:p>
    <w:p w14:paraId="6AFFAA37" w14:textId="77777777" w:rsidR="00424297" w:rsidRDefault="00424297" w:rsidP="00424297">
      <w:pPr>
        <w:pStyle w:val="CommentText"/>
      </w:pPr>
    </w:p>
    <w:p w14:paraId="19789BC9" w14:textId="77777777" w:rsidR="00424297" w:rsidRDefault="00424297" w:rsidP="00424297">
      <w:pPr>
        <w:pStyle w:val="CommentText"/>
      </w:pPr>
      <w:r>
        <w:t># 3 Education, employment, and civic social media use will moderate the relationship between socialization and volunteering.  (Here is needed more clarity based on your generation factor, Z)</w:t>
      </w:r>
    </w:p>
  </w:comment>
  <w:comment w:id="6" w:author="Windon, Suzanna R." w:date="2026-03-11T09:42:00Z" w:initials="SW">
    <w:p w14:paraId="65103421" w14:textId="38FD1367" w:rsidR="006F7D2E" w:rsidRDefault="006F7D2E" w:rsidP="006F7D2E">
      <w:pPr>
        <w:pStyle w:val="CommentText"/>
      </w:pPr>
      <w:r>
        <w:rPr>
          <w:rStyle w:val="CommentReference"/>
        </w:rPr>
        <w:annotationRef/>
      </w:r>
      <w:r>
        <w:t xml:space="preserve">Show the conceptual model, it is difficult to understand what your dependent variables are. </w:t>
      </w:r>
    </w:p>
  </w:comment>
  <w:comment w:id="9" w:author="Windon, Suzanna R." w:date="2026-03-11T09:38:00Z" w:initials="SW">
    <w:p w14:paraId="4C11FF6E" w14:textId="77777777" w:rsidR="008F5598" w:rsidRDefault="006F7D2E" w:rsidP="008F5598">
      <w:pPr>
        <w:pStyle w:val="CommentText"/>
      </w:pPr>
      <w:r>
        <w:rPr>
          <w:rStyle w:val="CommentReference"/>
        </w:rPr>
        <w:annotationRef/>
      </w:r>
      <w:r w:rsidR="008F5598">
        <w:t xml:space="preserve">Method Section: </w:t>
      </w:r>
    </w:p>
    <w:p w14:paraId="6980FE91" w14:textId="77777777" w:rsidR="008F5598" w:rsidRDefault="008F5598" w:rsidP="008F5598">
      <w:pPr>
        <w:pStyle w:val="CommentText"/>
      </w:pPr>
    </w:p>
    <w:p w14:paraId="14B2F830" w14:textId="77777777" w:rsidR="008F5598" w:rsidRDefault="008F5598" w:rsidP="008F5598">
      <w:pPr>
        <w:pStyle w:val="CommentText"/>
      </w:pPr>
      <w:r>
        <w:t>dataset name</w:t>
      </w:r>
    </w:p>
    <w:p w14:paraId="30E8186A" w14:textId="77777777" w:rsidR="008F5598" w:rsidRDefault="008F5598" w:rsidP="008F5598">
      <w:pPr>
        <w:pStyle w:val="CommentText"/>
      </w:pPr>
      <w:r>
        <w:t>organization collecting it</w:t>
      </w:r>
    </w:p>
    <w:p w14:paraId="52FD5F37" w14:textId="77777777" w:rsidR="008F5598" w:rsidRDefault="008F5598" w:rsidP="008F5598">
      <w:pPr>
        <w:pStyle w:val="CommentText"/>
      </w:pPr>
      <w:r>
        <w:t>sampling design</w:t>
      </w:r>
    </w:p>
    <w:p w14:paraId="5D3AB079" w14:textId="77777777" w:rsidR="008F5598" w:rsidRDefault="008F5598" w:rsidP="008F5598">
      <w:pPr>
        <w:pStyle w:val="CommentText"/>
      </w:pPr>
      <w:r>
        <w:t>population covered</w:t>
      </w:r>
    </w:p>
    <w:p w14:paraId="2F90F696" w14:textId="77777777" w:rsidR="008F5598" w:rsidRDefault="008F5598" w:rsidP="008F5598">
      <w:pPr>
        <w:pStyle w:val="CommentText"/>
      </w:pPr>
      <w:r>
        <w:t>years used</w:t>
      </w:r>
    </w:p>
    <w:p w14:paraId="6750B028" w14:textId="77777777" w:rsidR="008F5598" w:rsidRDefault="008F5598" w:rsidP="008F5598">
      <w:pPr>
        <w:pStyle w:val="CommentText"/>
      </w:pPr>
      <w:r>
        <w:rPr>
          <w:i/>
          <w:iCs/>
        </w:rPr>
        <w:t>Why does it fit your study?</w:t>
      </w:r>
    </w:p>
    <w:p w14:paraId="1D82DC4E" w14:textId="77777777" w:rsidR="008F5598" w:rsidRDefault="008F5598" w:rsidP="008F5598">
      <w:pPr>
        <w:pStyle w:val="CommentText"/>
      </w:pPr>
    </w:p>
    <w:p w14:paraId="404A53C8" w14:textId="77777777" w:rsidR="008F5598" w:rsidRDefault="008F5598" w:rsidP="008F5598">
      <w:pPr>
        <w:pStyle w:val="CommentText"/>
      </w:pPr>
      <w:r>
        <w:t>Which years/waves were used</w:t>
      </w:r>
    </w:p>
    <w:p w14:paraId="7E7D0960" w14:textId="77777777" w:rsidR="008F5598" w:rsidRDefault="008F5598" w:rsidP="008F5598">
      <w:pPr>
        <w:pStyle w:val="CommentText"/>
      </w:pPr>
      <w:r>
        <w:t>inclusion criteria</w:t>
      </w:r>
    </w:p>
    <w:p w14:paraId="1DDDB365" w14:textId="77777777" w:rsidR="008F5598" w:rsidRDefault="008F5598" w:rsidP="008F5598">
      <w:pPr>
        <w:pStyle w:val="CommentText"/>
      </w:pPr>
      <w:r>
        <w:t>sample size</w:t>
      </w:r>
    </w:p>
    <w:p w14:paraId="5D37E58F" w14:textId="77777777" w:rsidR="008F5598" w:rsidRDefault="008F5598" w:rsidP="008F5598">
      <w:pPr>
        <w:pStyle w:val="CommentText"/>
      </w:pPr>
      <w:r>
        <w:t xml:space="preserve">weighting procedures, if applicable, and I see you have mentioned some of that. </w:t>
      </w:r>
    </w:p>
    <w:p w14:paraId="446E7DCF" w14:textId="77777777" w:rsidR="008F5598" w:rsidRDefault="008F5598" w:rsidP="008F5598">
      <w:pPr>
        <w:pStyle w:val="CommentText"/>
      </w:pPr>
    </w:p>
    <w:p w14:paraId="5DDD4663" w14:textId="77777777" w:rsidR="008F5598" w:rsidRDefault="008F5598" w:rsidP="008F5598">
      <w:pPr>
        <w:pStyle w:val="CommentText"/>
      </w:pPr>
      <w:r>
        <w:rPr>
          <w:i/>
          <w:iCs/>
        </w:rPr>
        <w:t>Variables:</w:t>
      </w:r>
    </w:p>
    <w:p w14:paraId="0CE23C27" w14:textId="77777777" w:rsidR="008F5598" w:rsidRDefault="008F5598" w:rsidP="008F5598">
      <w:pPr>
        <w:pStyle w:val="CommentText"/>
      </w:pPr>
    </w:p>
    <w:p w14:paraId="5E2A6521" w14:textId="77777777" w:rsidR="008F5598" w:rsidRDefault="008F5598" w:rsidP="008F5598">
      <w:pPr>
        <w:pStyle w:val="CommentText"/>
      </w:pPr>
      <w:r>
        <w:t>Dependent variable</w:t>
      </w:r>
    </w:p>
    <w:p w14:paraId="1B768F56" w14:textId="77777777" w:rsidR="008F5598" w:rsidRDefault="008F5598" w:rsidP="008F5598">
      <w:pPr>
        <w:pStyle w:val="CommentText"/>
      </w:pPr>
      <w:r>
        <w:t>Independent variable</w:t>
      </w:r>
    </w:p>
    <w:p w14:paraId="2E65A2BF" w14:textId="77777777" w:rsidR="008F5598" w:rsidRDefault="008F5598" w:rsidP="008F5598">
      <w:pPr>
        <w:pStyle w:val="CommentText"/>
      </w:pPr>
      <w:r>
        <w:t>Moderators</w:t>
      </w:r>
    </w:p>
    <w:p w14:paraId="0C213E53" w14:textId="77777777" w:rsidR="008F5598" w:rsidRDefault="008F5598" w:rsidP="008F5598">
      <w:pPr>
        <w:pStyle w:val="CommentText"/>
      </w:pPr>
      <w:r>
        <w:t>Control variables</w:t>
      </w:r>
    </w:p>
    <w:p w14:paraId="7260ADD2" w14:textId="77777777" w:rsidR="008F5598" w:rsidRDefault="008F5598" w:rsidP="008F5598">
      <w:pPr>
        <w:pStyle w:val="CommentText"/>
      </w:pPr>
    </w:p>
    <w:p w14:paraId="01F94FEC" w14:textId="77777777" w:rsidR="008F5598" w:rsidRDefault="008F5598" w:rsidP="008F5598">
      <w:pPr>
        <w:pStyle w:val="CommentText"/>
      </w:pPr>
      <w:r>
        <w:t>Three variables were examined as moderators of the relationship between social interaction and volunteering: Education, Employment status, Civic social media use (also explain how it was measured)</w:t>
      </w:r>
    </w:p>
    <w:p w14:paraId="547BC34F" w14:textId="77777777" w:rsidR="008F5598" w:rsidRDefault="008F5598" w:rsidP="008F5598">
      <w:pPr>
        <w:pStyle w:val="CommentText"/>
      </w:pPr>
    </w:p>
    <w:p w14:paraId="2B009ED8" w14:textId="77777777" w:rsidR="008F5598" w:rsidRDefault="008F5598" w:rsidP="008F5598">
      <w:pPr>
        <w:pStyle w:val="CommentText"/>
      </w:pPr>
      <w:r>
        <w:t xml:space="preserve">Are there control variables? Like gender, region, age, etc. </w:t>
      </w:r>
    </w:p>
    <w:p w14:paraId="51DA9996" w14:textId="77777777" w:rsidR="008F5598" w:rsidRDefault="008F5598" w:rsidP="008F5598">
      <w:pPr>
        <w:pStyle w:val="CommentText"/>
      </w:pPr>
    </w:p>
    <w:p w14:paraId="4A42F685" w14:textId="77777777" w:rsidR="008F5598" w:rsidRDefault="008F5598" w:rsidP="008F5598">
      <w:pPr>
        <w:pStyle w:val="CommentText"/>
      </w:pPr>
      <w:r>
        <w:t xml:space="preserve">Data analysis subsection: - explain what software you are using and the analysis to answer each research question. </w:t>
      </w:r>
    </w:p>
    <w:p w14:paraId="05F81CCB" w14:textId="77777777" w:rsidR="008F5598" w:rsidRDefault="008F5598" w:rsidP="008F5598">
      <w:pPr>
        <w:pStyle w:val="CommentText"/>
      </w:pPr>
    </w:p>
    <w:p w14:paraId="1A754E5F" w14:textId="77777777" w:rsidR="008F5598" w:rsidRDefault="008F5598" w:rsidP="008F5598">
      <w:pPr>
        <w:pStyle w:val="CommentText"/>
      </w:pPr>
      <w:r>
        <w:t xml:space="preserve">When you write the method section, even if you are using the secondary data set, you must ask the following questions: </w:t>
      </w:r>
    </w:p>
    <w:p w14:paraId="214C55F3" w14:textId="77777777" w:rsidR="008F5598" w:rsidRDefault="008F5598" w:rsidP="008F5598">
      <w:pPr>
        <w:pStyle w:val="CommentText"/>
      </w:pPr>
    </w:p>
    <w:p w14:paraId="088A110A" w14:textId="77777777" w:rsidR="008F5598" w:rsidRDefault="008F5598" w:rsidP="008F5598">
      <w:pPr>
        <w:pStyle w:val="CommentText"/>
      </w:pPr>
      <w:r>
        <w:t>Where did the data come from?</w:t>
      </w:r>
    </w:p>
    <w:p w14:paraId="33BC643B" w14:textId="77777777" w:rsidR="008F5598" w:rsidRDefault="008F5598" w:rsidP="008F5598">
      <w:pPr>
        <w:pStyle w:val="CommentText"/>
      </w:pPr>
      <w:r>
        <w:t>Is the dataset credible and nationally representative?</w:t>
      </w:r>
    </w:p>
    <w:p w14:paraId="5D5DFCBB" w14:textId="77777777" w:rsidR="008F5598" w:rsidRDefault="008F5598" w:rsidP="008F5598">
      <w:pPr>
        <w:pStyle w:val="CommentText"/>
      </w:pPr>
      <w:r>
        <w:t>How was the sample constructed?</w:t>
      </w:r>
    </w:p>
    <w:p w14:paraId="79B56ED7" w14:textId="77777777" w:rsidR="008F5598" w:rsidRDefault="008F5598" w:rsidP="008F5598">
      <w:pPr>
        <w:pStyle w:val="CommentText"/>
      </w:pPr>
      <w:r>
        <w:t>How were variables defined or recoded?</w:t>
      </w:r>
    </w:p>
    <w:p w14:paraId="406A374D" w14:textId="77777777" w:rsidR="008F5598" w:rsidRDefault="008F5598" w:rsidP="008F5598">
      <w:pPr>
        <w:pStyle w:val="CommentText"/>
      </w:pPr>
      <w:r>
        <w:t>What statistical methods were used?</w:t>
      </w:r>
    </w:p>
    <w:p w14:paraId="45D84EED" w14:textId="77777777" w:rsidR="008F5598" w:rsidRDefault="008F5598" w:rsidP="008F5598">
      <w:pPr>
        <w:pStyle w:val="CommentText"/>
      </w:pPr>
      <w:r>
        <w:t>Were survey weights used?</w:t>
      </w:r>
    </w:p>
    <w:p w14:paraId="1658BEA7" w14:textId="77777777" w:rsidR="008F5598" w:rsidRDefault="008F5598" w:rsidP="008F5598">
      <w:pPr>
        <w:pStyle w:val="CommentText"/>
      </w:pPr>
    </w:p>
    <w:p w14:paraId="6596DD5D" w14:textId="77777777" w:rsidR="008F5598" w:rsidRDefault="008F5598" w:rsidP="008F5598">
      <w:pPr>
        <w:pStyle w:val="CommentText"/>
      </w:pPr>
      <w:r>
        <w:t xml:space="preserve">Also: </w:t>
      </w:r>
    </w:p>
    <w:p w14:paraId="67B72AAD" w14:textId="77777777" w:rsidR="008F5598" w:rsidRDefault="008F5598" w:rsidP="008F5598">
      <w:pPr>
        <w:pStyle w:val="CommentText"/>
      </w:pPr>
    </w:p>
    <w:p w14:paraId="11717372" w14:textId="77777777" w:rsidR="008F5598" w:rsidRDefault="008F5598" w:rsidP="008F5598">
      <w:pPr>
        <w:pStyle w:val="CommentText"/>
      </w:pPr>
      <w:r>
        <w:t>Add explanation of the inclusion criteria</w:t>
      </w:r>
      <w:r>
        <w:br/>
        <w:t xml:space="preserve">and missing data. </w:t>
      </w:r>
    </w:p>
  </w:comment>
  <w:comment w:id="10" w:author="Windon, Suzanna R." w:date="2026-03-11T09:50:00Z" w:initials="SW">
    <w:p w14:paraId="156094D7" w14:textId="77777777" w:rsidR="008F5598" w:rsidRDefault="008F5598" w:rsidP="008F5598">
      <w:pPr>
        <w:pStyle w:val="CommentText"/>
      </w:pPr>
      <w:r>
        <w:rPr>
          <w:rStyle w:val="CommentReference"/>
        </w:rPr>
        <w:annotationRef/>
      </w:r>
      <w:r>
        <w:t>For the Method section, additional suggestions:</w:t>
      </w:r>
    </w:p>
    <w:p w14:paraId="353AAFE2" w14:textId="77777777" w:rsidR="008F5598" w:rsidRDefault="008F5598" w:rsidP="008F5598">
      <w:pPr>
        <w:pStyle w:val="CommentText"/>
      </w:pPr>
    </w:p>
    <w:p w14:paraId="277A3849" w14:textId="77777777" w:rsidR="008F5598" w:rsidRDefault="008F5598" w:rsidP="008F5598">
      <w:pPr>
        <w:pStyle w:val="CommentText"/>
      </w:pPr>
      <w:r>
        <w:t>You can shorten the coding explanation</w:t>
      </w:r>
    </w:p>
    <w:p w14:paraId="16CE116D" w14:textId="77777777" w:rsidR="008F5598" w:rsidRDefault="008F5598" w:rsidP="008F5598">
      <w:pPr>
        <w:pStyle w:val="CommentText"/>
      </w:pPr>
      <w:r>
        <w:t>Make Measures as a few small sub-sections</w:t>
      </w:r>
    </w:p>
    <w:p w14:paraId="5FDE29F6" w14:textId="77777777" w:rsidR="008F5598" w:rsidRDefault="008F5598" w:rsidP="008F5598">
      <w:pPr>
        <w:pStyle w:val="CommentText"/>
      </w:pPr>
      <w:r>
        <w:t>Remove/reduce technical terms like GBMs, MLL, etc., because they are very overwhelming, and many people are not into that, it is difficult to read.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D4984F" w15:done="0"/>
  <w15:commentEx w15:paraId="52AA3ACF" w15:done="0"/>
  <w15:commentEx w15:paraId="3DF78245" w15:done="0"/>
  <w15:commentEx w15:paraId="5758F2FD" w15:done="0"/>
  <w15:commentEx w15:paraId="4865938F" w15:done="0"/>
  <w15:commentEx w15:paraId="7DCB8A1E" w15:done="0"/>
  <w15:commentEx w15:paraId="5E699BA9" w15:done="0"/>
  <w15:commentEx w15:paraId="19789BC9" w15:done="0"/>
  <w15:commentEx w15:paraId="65103421" w15:done="0"/>
  <w15:commentEx w15:paraId="11717372" w15:done="0"/>
  <w15:commentEx w15:paraId="5FDE29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79FEE8" w16cex:dateUtc="2026-03-11T13:01:00Z"/>
  <w16cex:commentExtensible w16cex:durableId="03796167" w16cex:dateUtc="2026-03-11T13:04:00Z"/>
  <w16cex:commentExtensible w16cex:durableId="58845108" w16cex:dateUtc="2026-03-11T13:16:00Z"/>
  <w16cex:commentExtensible w16cex:durableId="667C3602" w16cex:dateUtc="2026-03-11T13:14:00Z"/>
  <w16cex:commentExtensible w16cex:durableId="14A6AF6A" w16cex:dateUtc="2026-03-11T13:08:00Z"/>
  <w16cex:commentExtensible w16cex:durableId="07C92A91" w16cex:dateUtc="2026-03-11T13:07:00Z"/>
  <w16cex:commentExtensible w16cex:durableId="5C7C61CE" w16cex:dateUtc="2026-03-11T13:06:00Z"/>
  <w16cex:commentExtensible w16cex:durableId="625B5EFE" w16cex:dateUtc="2026-03-11T13:25:00Z"/>
  <w16cex:commentExtensible w16cex:durableId="2C240112" w16cex:dateUtc="2026-03-11T13:42:00Z"/>
  <w16cex:commentExtensible w16cex:durableId="67EF9A48" w16cex:dateUtc="2026-03-11T13:38:00Z"/>
  <w16cex:commentExtensible w16cex:durableId="0D49727A" w16cex:dateUtc="2026-03-11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D4984F" w16cid:durableId="6B79FEE8"/>
  <w16cid:commentId w16cid:paraId="52AA3ACF" w16cid:durableId="03796167"/>
  <w16cid:commentId w16cid:paraId="3DF78245" w16cid:durableId="58845108"/>
  <w16cid:commentId w16cid:paraId="5758F2FD" w16cid:durableId="667C3602"/>
  <w16cid:commentId w16cid:paraId="4865938F" w16cid:durableId="14A6AF6A"/>
  <w16cid:commentId w16cid:paraId="7DCB8A1E" w16cid:durableId="07C92A91"/>
  <w16cid:commentId w16cid:paraId="5E699BA9" w16cid:durableId="5C7C61CE"/>
  <w16cid:commentId w16cid:paraId="19789BC9" w16cid:durableId="625B5EFE"/>
  <w16cid:commentId w16cid:paraId="65103421" w16cid:durableId="2C240112"/>
  <w16cid:commentId w16cid:paraId="11717372" w16cid:durableId="67EF9A48"/>
  <w16cid:commentId w16cid:paraId="5FDE29F6" w16cid:durableId="0D4972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7260D"/>
    <w:multiLevelType w:val="hybridMultilevel"/>
    <w:tmpl w:val="FF90C48E"/>
    <w:lvl w:ilvl="0" w:tplc="F8DA639A">
      <w:start w:val="1"/>
      <w:numFmt w:val="bullet"/>
      <w:lvlText w:val=""/>
      <w:lvlJc w:val="left"/>
      <w:pPr>
        <w:ind w:left="720" w:hanging="360"/>
      </w:pPr>
      <w:rPr>
        <w:rFonts w:ascii="Symbol" w:hAnsi="Symbol"/>
      </w:rPr>
    </w:lvl>
    <w:lvl w:ilvl="1" w:tplc="97BEBD82">
      <w:start w:val="1"/>
      <w:numFmt w:val="bullet"/>
      <w:lvlText w:val=""/>
      <w:lvlJc w:val="left"/>
      <w:pPr>
        <w:ind w:left="720" w:hanging="360"/>
      </w:pPr>
      <w:rPr>
        <w:rFonts w:ascii="Symbol" w:hAnsi="Symbol"/>
      </w:rPr>
    </w:lvl>
    <w:lvl w:ilvl="2" w:tplc="D410F674">
      <w:start w:val="1"/>
      <w:numFmt w:val="bullet"/>
      <w:lvlText w:val=""/>
      <w:lvlJc w:val="left"/>
      <w:pPr>
        <w:ind w:left="720" w:hanging="360"/>
      </w:pPr>
      <w:rPr>
        <w:rFonts w:ascii="Symbol" w:hAnsi="Symbol"/>
      </w:rPr>
    </w:lvl>
    <w:lvl w:ilvl="3" w:tplc="660433BA">
      <w:start w:val="1"/>
      <w:numFmt w:val="bullet"/>
      <w:lvlText w:val=""/>
      <w:lvlJc w:val="left"/>
      <w:pPr>
        <w:ind w:left="720" w:hanging="360"/>
      </w:pPr>
      <w:rPr>
        <w:rFonts w:ascii="Symbol" w:hAnsi="Symbol"/>
      </w:rPr>
    </w:lvl>
    <w:lvl w:ilvl="4" w:tplc="DE9ECE9E">
      <w:start w:val="1"/>
      <w:numFmt w:val="bullet"/>
      <w:lvlText w:val=""/>
      <w:lvlJc w:val="left"/>
      <w:pPr>
        <w:ind w:left="720" w:hanging="360"/>
      </w:pPr>
      <w:rPr>
        <w:rFonts w:ascii="Symbol" w:hAnsi="Symbol"/>
      </w:rPr>
    </w:lvl>
    <w:lvl w:ilvl="5" w:tplc="0A8E2BE6">
      <w:start w:val="1"/>
      <w:numFmt w:val="bullet"/>
      <w:lvlText w:val=""/>
      <w:lvlJc w:val="left"/>
      <w:pPr>
        <w:ind w:left="720" w:hanging="360"/>
      </w:pPr>
      <w:rPr>
        <w:rFonts w:ascii="Symbol" w:hAnsi="Symbol"/>
      </w:rPr>
    </w:lvl>
    <w:lvl w:ilvl="6" w:tplc="90AED112">
      <w:start w:val="1"/>
      <w:numFmt w:val="bullet"/>
      <w:lvlText w:val=""/>
      <w:lvlJc w:val="left"/>
      <w:pPr>
        <w:ind w:left="720" w:hanging="360"/>
      </w:pPr>
      <w:rPr>
        <w:rFonts w:ascii="Symbol" w:hAnsi="Symbol"/>
      </w:rPr>
    </w:lvl>
    <w:lvl w:ilvl="7" w:tplc="51B610FA">
      <w:start w:val="1"/>
      <w:numFmt w:val="bullet"/>
      <w:lvlText w:val=""/>
      <w:lvlJc w:val="left"/>
      <w:pPr>
        <w:ind w:left="720" w:hanging="360"/>
      </w:pPr>
      <w:rPr>
        <w:rFonts w:ascii="Symbol" w:hAnsi="Symbol"/>
      </w:rPr>
    </w:lvl>
    <w:lvl w:ilvl="8" w:tplc="9E6E6FD0">
      <w:start w:val="1"/>
      <w:numFmt w:val="bullet"/>
      <w:lvlText w:val=""/>
      <w:lvlJc w:val="left"/>
      <w:pPr>
        <w:ind w:left="720" w:hanging="360"/>
      </w:pPr>
      <w:rPr>
        <w:rFonts w:ascii="Symbol" w:hAnsi="Symbol"/>
      </w:rPr>
    </w:lvl>
  </w:abstractNum>
  <w:abstractNum w:abstractNumId="10" w15:restartNumberingAfterBreak="0">
    <w:nsid w:val="18732094"/>
    <w:multiLevelType w:val="hybridMultilevel"/>
    <w:tmpl w:val="0BC49E76"/>
    <w:lvl w:ilvl="0" w:tplc="7B28425E">
      <w:start w:val="1"/>
      <w:numFmt w:val="decimal"/>
      <w:lvlText w:val="%1."/>
      <w:lvlJc w:val="left"/>
      <w:pPr>
        <w:ind w:left="1020" w:hanging="360"/>
      </w:pPr>
    </w:lvl>
    <w:lvl w:ilvl="1" w:tplc="79763D0E">
      <w:start w:val="1"/>
      <w:numFmt w:val="decimal"/>
      <w:lvlText w:val="%2."/>
      <w:lvlJc w:val="left"/>
      <w:pPr>
        <w:ind w:left="1020" w:hanging="360"/>
      </w:pPr>
    </w:lvl>
    <w:lvl w:ilvl="2" w:tplc="93C457E4">
      <w:start w:val="1"/>
      <w:numFmt w:val="decimal"/>
      <w:lvlText w:val="%3."/>
      <w:lvlJc w:val="left"/>
      <w:pPr>
        <w:ind w:left="1020" w:hanging="360"/>
      </w:pPr>
    </w:lvl>
    <w:lvl w:ilvl="3" w:tplc="1BB2EF86">
      <w:start w:val="1"/>
      <w:numFmt w:val="decimal"/>
      <w:lvlText w:val="%4."/>
      <w:lvlJc w:val="left"/>
      <w:pPr>
        <w:ind w:left="1020" w:hanging="360"/>
      </w:pPr>
    </w:lvl>
    <w:lvl w:ilvl="4" w:tplc="A050ADF4">
      <w:start w:val="1"/>
      <w:numFmt w:val="decimal"/>
      <w:lvlText w:val="%5."/>
      <w:lvlJc w:val="left"/>
      <w:pPr>
        <w:ind w:left="1020" w:hanging="360"/>
      </w:pPr>
    </w:lvl>
    <w:lvl w:ilvl="5" w:tplc="DA86EFC4">
      <w:start w:val="1"/>
      <w:numFmt w:val="decimal"/>
      <w:lvlText w:val="%6."/>
      <w:lvlJc w:val="left"/>
      <w:pPr>
        <w:ind w:left="1020" w:hanging="360"/>
      </w:pPr>
    </w:lvl>
    <w:lvl w:ilvl="6" w:tplc="C9263882">
      <w:start w:val="1"/>
      <w:numFmt w:val="decimal"/>
      <w:lvlText w:val="%7."/>
      <w:lvlJc w:val="left"/>
      <w:pPr>
        <w:ind w:left="1020" w:hanging="360"/>
      </w:pPr>
    </w:lvl>
    <w:lvl w:ilvl="7" w:tplc="40E86CB2">
      <w:start w:val="1"/>
      <w:numFmt w:val="decimal"/>
      <w:lvlText w:val="%8."/>
      <w:lvlJc w:val="left"/>
      <w:pPr>
        <w:ind w:left="1020" w:hanging="360"/>
      </w:pPr>
    </w:lvl>
    <w:lvl w:ilvl="8" w:tplc="75188A32">
      <w:start w:val="1"/>
      <w:numFmt w:val="decimal"/>
      <w:lvlText w:val="%9."/>
      <w:lvlJc w:val="left"/>
      <w:pPr>
        <w:ind w:left="1020" w:hanging="360"/>
      </w:pPr>
    </w:lvl>
  </w:abstractNum>
  <w:abstractNum w:abstractNumId="11" w15:restartNumberingAfterBreak="0">
    <w:nsid w:val="4AF97F1D"/>
    <w:multiLevelType w:val="hybridMultilevel"/>
    <w:tmpl w:val="AA1C8B24"/>
    <w:lvl w:ilvl="0" w:tplc="7F3481EA">
      <w:start w:val="1"/>
      <w:numFmt w:val="decimal"/>
      <w:lvlText w:val="%1."/>
      <w:lvlJc w:val="left"/>
      <w:pPr>
        <w:ind w:left="1020" w:hanging="360"/>
      </w:pPr>
    </w:lvl>
    <w:lvl w:ilvl="1" w:tplc="5FEAF844">
      <w:start w:val="1"/>
      <w:numFmt w:val="decimal"/>
      <w:lvlText w:val="%2."/>
      <w:lvlJc w:val="left"/>
      <w:pPr>
        <w:ind w:left="1020" w:hanging="360"/>
      </w:pPr>
    </w:lvl>
    <w:lvl w:ilvl="2" w:tplc="14CEAA1C">
      <w:start w:val="1"/>
      <w:numFmt w:val="decimal"/>
      <w:lvlText w:val="%3."/>
      <w:lvlJc w:val="left"/>
      <w:pPr>
        <w:ind w:left="1020" w:hanging="360"/>
      </w:pPr>
    </w:lvl>
    <w:lvl w:ilvl="3" w:tplc="8E2EEC30">
      <w:start w:val="1"/>
      <w:numFmt w:val="decimal"/>
      <w:lvlText w:val="%4."/>
      <w:lvlJc w:val="left"/>
      <w:pPr>
        <w:ind w:left="1020" w:hanging="360"/>
      </w:pPr>
    </w:lvl>
    <w:lvl w:ilvl="4" w:tplc="8CF29D26">
      <w:start w:val="1"/>
      <w:numFmt w:val="decimal"/>
      <w:lvlText w:val="%5."/>
      <w:lvlJc w:val="left"/>
      <w:pPr>
        <w:ind w:left="1020" w:hanging="360"/>
      </w:pPr>
    </w:lvl>
    <w:lvl w:ilvl="5" w:tplc="2B1EA99C">
      <w:start w:val="1"/>
      <w:numFmt w:val="decimal"/>
      <w:lvlText w:val="%6."/>
      <w:lvlJc w:val="left"/>
      <w:pPr>
        <w:ind w:left="1020" w:hanging="360"/>
      </w:pPr>
    </w:lvl>
    <w:lvl w:ilvl="6" w:tplc="426C77A4">
      <w:start w:val="1"/>
      <w:numFmt w:val="decimal"/>
      <w:lvlText w:val="%7."/>
      <w:lvlJc w:val="left"/>
      <w:pPr>
        <w:ind w:left="1020" w:hanging="360"/>
      </w:pPr>
    </w:lvl>
    <w:lvl w:ilvl="7" w:tplc="65C01502">
      <w:start w:val="1"/>
      <w:numFmt w:val="decimal"/>
      <w:lvlText w:val="%8."/>
      <w:lvlJc w:val="left"/>
      <w:pPr>
        <w:ind w:left="1020" w:hanging="360"/>
      </w:pPr>
    </w:lvl>
    <w:lvl w:ilvl="8" w:tplc="69185A3E">
      <w:start w:val="1"/>
      <w:numFmt w:val="decimal"/>
      <w:lvlText w:val="%9."/>
      <w:lvlJc w:val="left"/>
      <w:pPr>
        <w:ind w:left="1020" w:hanging="360"/>
      </w:pPr>
    </w:lvl>
  </w:abstractNum>
  <w:num w:numId="1" w16cid:durableId="2139059479">
    <w:abstractNumId w:val="8"/>
  </w:num>
  <w:num w:numId="2" w16cid:durableId="1114204717">
    <w:abstractNumId w:val="6"/>
  </w:num>
  <w:num w:numId="3" w16cid:durableId="1828740036">
    <w:abstractNumId w:val="5"/>
  </w:num>
  <w:num w:numId="4" w16cid:durableId="1411610970">
    <w:abstractNumId w:val="4"/>
  </w:num>
  <w:num w:numId="5" w16cid:durableId="482621899">
    <w:abstractNumId w:val="7"/>
  </w:num>
  <w:num w:numId="6" w16cid:durableId="2023243339">
    <w:abstractNumId w:val="3"/>
  </w:num>
  <w:num w:numId="7" w16cid:durableId="2109304537">
    <w:abstractNumId w:val="2"/>
  </w:num>
  <w:num w:numId="8" w16cid:durableId="865019305">
    <w:abstractNumId w:val="1"/>
  </w:num>
  <w:num w:numId="9" w16cid:durableId="1722902731">
    <w:abstractNumId w:val="0"/>
  </w:num>
  <w:num w:numId="10" w16cid:durableId="752435138">
    <w:abstractNumId w:val="11"/>
  </w:num>
  <w:num w:numId="11" w16cid:durableId="2059236717">
    <w:abstractNumId w:val="9"/>
  </w:num>
  <w:num w:numId="12" w16cid:durableId="40699456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don, Suzanna R.">
    <w15:presenceInfo w15:providerId="AD" w15:userId="S::sxk75@psu.edu::eba2b3fe-bb38-470f-99f4-4dc3697fe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B6A"/>
    <w:rsid w:val="00034616"/>
    <w:rsid w:val="0006063C"/>
    <w:rsid w:val="00077A63"/>
    <w:rsid w:val="000F2FCD"/>
    <w:rsid w:val="0015074B"/>
    <w:rsid w:val="002914EC"/>
    <w:rsid w:val="0029639D"/>
    <w:rsid w:val="00326F90"/>
    <w:rsid w:val="003C3F17"/>
    <w:rsid w:val="00424297"/>
    <w:rsid w:val="004268D4"/>
    <w:rsid w:val="00556631"/>
    <w:rsid w:val="00617726"/>
    <w:rsid w:val="006E0671"/>
    <w:rsid w:val="006F7D2E"/>
    <w:rsid w:val="00891173"/>
    <w:rsid w:val="008F5598"/>
    <w:rsid w:val="009642EB"/>
    <w:rsid w:val="00970633"/>
    <w:rsid w:val="00A87E94"/>
    <w:rsid w:val="00AA1D8D"/>
    <w:rsid w:val="00AF2026"/>
    <w:rsid w:val="00B47730"/>
    <w:rsid w:val="00CB0664"/>
    <w:rsid w:val="00EE4D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00B94"/>
  <w14:defaultImageDpi w14:val="300"/>
  <w15:docId w15:val="{12C506B8-C285-A940-8CBC-2DD5C8908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E4D44"/>
    <w:rPr>
      <w:sz w:val="16"/>
      <w:szCs w:val="16"/>
    </w:rPr>
  </w:style>
  <w:style w:type="paragraph" w:styleId="CommentText">
    <w:name w:val="annotation text"/>
    <w:basedOn w:val="Normal"/>
    <w:link w:val="CommentTextChar"/>
    <w:uiPriority w:val="99"/>
    <w:unhideWhenUsed/>
    <w:rsid w:val="00EE4D44"/>
    <w:pPr>
      <w:spacing w:line="240" w:lineRule="auto"/>
    </w:pPr>
    <w:rPr>
      <w:sz w:val="20"/>
      <w:szCs w:val="20"/>
    </w:rPr>
  </w:style>
  <w:style w:type="character" w:customStyle="1" w:styleId="CommentTextChar">
    <w:name w:val="Comment Text Char"/>
    <w:basedOn w:val="DefaultParagraphFont"/>
    <w:link w:val="CommentText"/>
    <w:uiPriority w:val="99"/>
    <w:rsid w:val="00EE4D4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E4D44"/>
    <w:rPr>
      <w:b/>
      <w:bCs/>
    </w:rPr>
  </w:style>
  <w:style w:type="character" w:customStyle="1" w:styleId="CommentSubjectChar">
    <w:name w:val="Comment Subject Char"/>
    <w:basedOn w:val="CommentTextChar"/>
    <w:link w:val="CommentSubject"/>
    <w:uiPriority w:val="99"/>
    <w:semiHidden/>
    <w:rsid w:val="00EE4D44"/>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3490</Words>
  <Characters>23178</Characters>
  <Application>Microsoft Office Word</Application>
  <DocSecurity>0</DocSecurity>
  <Lines>362</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 Hosung</cp:lastModifiedBy>
  <cp:revision>2</cp:revision>
  <dcterms:created xsi:type="dcterms:W3CDTF">2026-03-21T18:26:00Z</dcterms:created>
  <dcterms:modified xsi:type="dcterms:W3CDTF">2026-03-21T18:26:00Z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0c3412e3-4af3-488c-818e-2d1917bf49e6</vt:lpwstr>
  </property>
</Properties>
</file>