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480"/>
      </w:pPr>
    </w:p>
    <w:p>
      <w:pPr>
        <w:spacing w:before="0" w:after="0" w:lineRule="auto" w:line="480"/>
      </w:pPr>
    </w:p>
    <w:p>
      <w:pPr>
        <w:spacing w:before="0" w:after="0" w:lineRule="auto" w:line="480"/>
      </w:pPr>
    </w:p>
    <w:p>
      <w:pPr>
        <w:spacing w:before="0" w:after="0" w:lineRule="auto" w:line="480"/>
        <w:jc w:val="center"/>
      </w:pPr>
      <w:r>
        <w:rPr>
          <w:rFonts w:ascii="Times New Roman" w:hAnsi="Times New Roman" w:cs="Times New Roman"/>
          <w:b/>
          <w:i w:val="0"/>
          <w:sz w:val="24"/>
        </w:rPr>
        <w:t>Bowling Alone, Scrolling Together:</w:t>
      </w:r>
    </w:p>
    <w:p>
      <w:pPr>
        <w:spacing w:before="0" w:after="0" w:lineRule="auto" w:line="480"/>
        <w:jc w:val="center"/>
      </w:pPr>
      <w:r>
        <w:rPr>
          <w:rFonts w:ascii="Times New Roman" w:hAnsi="Times New Roman" w:cs="Times New Roman"/>
          <w:b/>
          <w:i w:val="0"/>
          <w:sz w:val="24"/>
        </w:rPr>
        <w:t>In-Person Socialization, Social Isolation, and Volunteering</w:t>
      </w:r>
    </w:p>
    <w:p>
      <w:pPr>
        <w:spacing w:before="0" w:after="0" w:lineRule="auto" w:line="480"/>
        <w:jc w:val="center"/>
      </w:pPr>
      <w:r>
        <w:rPr>
          <w:rFonts w:ascii="Times New Roman" w:hAnsi="Times New Roman" w:cs="Times New Roman"/>
          <w:b/>
          <w:i w:val="0"/>
          <w:sz w:val="24"/>
        </w:rPr>
        <w:t>Across Five Generational Cohorts</w:t>
      </w:r>
    </w:p>
    <w:p>
      <w:pPr>
        <w:spacing w:before="0" w:after="0" w:lineRule="auto" w:line="480"/>
      </w:pPr>
    </w:p>
    <w:p>
      <w:pPr>
        <w:spacing w:before="0" w:after="0" w:lineRule="auto" w:line="480"/>
        <w:jc w:val="center"/>
      </w:pPr>
      <w:r>
        <w:rPr>
          <w:rFonts w:ascii="Times New Roman" w:hAnsi="Times New Roman" w:cs="Times New Roman"/>
          <w:b w:val="0"/>
          <w:i w:val="0"/>
          <w:sz w:val="24"/>
        </w:rPr>
        <w:t>Hosung You &amp; Suzanna R. Windon</w:t>
      </w:r>
    </w:p>
    <w:p>
      <w:pPr>
        <w:spacing w:before="0" w:after="0" w:lineRule="auto" w:line="480"/>
        <w:jc w:val="center"/>
      </w:pPr>
      <w:r>
        <w:rPr>
          <w:rFonts w:ascii="Times New Roman" w:hAnsi="Times New Roman" w:cs="Times New Roman"/>
          <w:b w:val="0"/>
          <w:i w:val="0"/>
          <w:sz w:val="24"/>
        </w:rPr>
        <w:t>The Pennsylvania State University</w:t>
      </w:r>
    </w:p>
    <w:p>
      <w:pPr/>
      <w:r>
        <w:br w:type="page"/>
      </w:r>
    </w:p>
    <w:p>
      <w:pPr>
        <w:spacing w:before="0" w:after="0" w:lineRule="auto" w:line="480"/>
        <w:jc w:val="center"/>
      </w:pPr>
      <w:r>
        <w:rPr>
          <w:rFonts w:ascii="Times New Roman" w:hAnsi="Times New Roman" w:cs="Times New Roman"/>
          <w:b/>
          <w:i w:val="0"/>
          <w:sz w:val="24"/>
        </w:rPr>
        <w:t>Abstract</w:t>
      </w:r>
    </w:p>
    <w:p>
      <w:pPr>
        <w:spacing w:before="0" w:after="0" w:lineRule="auto" w:line="480"/>
        <w:jc w:val="left"/>
      </w:pPr>
      <w:r>
        <w:rPr>
          <w:rFonts w:ascii="Times New Roman" w:hAnsi="Times New Roman" w:cs="Times New Roman"/>
          <w:b w:val="0"/>
          <w:i w:val="0"/>
          <w:sz w:val="24"/>
        </w:rPr>
        <w:t xml:space="preserve">Social isolation has been declared a public health epidemic, yet its civic consequences remain underexamined. Using four waves of the Current Population Survey Civic Engagement and Volunteering Supplement (2017–2023; </w:t>
      </w:r>
      <w:r>
        <w:rPr>
          <w:rFonts w:ascii="Times New Roman" w:hAnsi="Times New Roman" w:cs="Times New Roman"/>
          <w:b w:val="0"/>
          <w:i/>
          <w:sz w:val="24"/>
        </w:rPr>
        <w:t>N</w:t>
      </w:r>
      <w:r>
        <w:rPr>
          <w:rFonts w:ascii="Times New Roman" w:hAnsi="Times New Roman" w:cs="Times New Roman"/>
          <w:b w:val="0"/>
          <w:i w:val="0"/>
          <w:sz w:val="24"/>
        </w:rPr>
        <w:t xml:space="preserve"> = 201,168), this study combines survey-weighted logistic regression and latent profile analysis to examine whether in-person socialization predicts volunteering differently across five generational cohorts. Across all generations, the transition from no socialization to even occasional contact is associated with the largest marginal gain in volunteering probability (7–10 percentage points), a "First Step Effect" comparable in magnitude to the education gradient. Gen Z exhibits a paradox: the highest baseline volunteering probability at zero socialization yet a plateau beyond moderate socialization levels, a ceiling absent in older cohorts. These patterns predate COVID-19 and persist unchanged, establishing them as cohort characteristics. Education amplifies the socialization–volunteering gradient, but neither employment nor civic social media use alters the generational pattern. Over half of Gen Z occupies civic engagement profiles defined by social isolation. Findings suggest that declining youth volunteering reflects social disconnection rather than weakened civic motivation, with implications for low-threshold volunteer recruitment.</w:t>
      </w:r>
    </w:p>
    <w:p>
      <w:pPr>
        <w:spacing w:before="0" w:after="0" w:lineRule="auto" w:line="480"/>
        <w:ind w:firstLine="720"/>
      </w:pPr>
      <w:r>
        <w:rPr>
          <w:rFonts w:ascii="Times New Roman" w:hAnsi="Times New Roman" w:cs="Times New Roman"/>
          <w:b w:val="0"/>
          <w:i/>
          <w:sz w:val="24"/>
        </w:rPr>
        <w:t xml:space="preserve">Keywords: </w:t>
      </w:r>
      <w:r>
        <w:rPr>
          <w:rFonts w:ascii="Times New Roman" w:hAnsi="Times New Roman" w:cs="Times New Roman"/>
          <w:b w:val="0"/>
          <w:i w:val="0"/>
          <w:sz w:val="24"/>
        </w:rPr>
        <w:t>volunteering, social isolation, civic engagement, generational differences, COVID-19, latent profile analysis, Current Population Survey</w:t>
      </w:r>
    </w:p>
    <w:p>
      <w:pPr/>
      <w:r>
        <w:br w:type="page"/>
      </w:r>
    </w:p>
    <w:p>
      <w:pPr>
        <w:spacing w:before="0" w:after="0" w:lineRule="auto" w:line="480"/>
        <w:jc w:val="center"/>
      </w:pPr>
      <w:r>
        <w:rPr>
          <w:rFonts w:ascii="Times New Roman" w:hAnsi="Times New Roman" w:cs="Times New Roman"/>
          <w:b/>
          <w:i w:val="0"/>
          <w:sz w:val="24"/>
        </w:rPr>
        <w:t>Introduction</w:t>
      </w:r>
    </w:p>
    <w:p>
      <w:pPr>
        <w:spacing w:before="0" w:after="0" w:lineRule="auto" w:line="480"/>
        <w:ind w:firstLine="720"/>
        <w:jc w:val="left"/>
      </w:pPr>
      <w:r>
        <w:rPr>
          <w:rFonts w:ascii="Times New Roman" w:hAnsi="Times New Roman" w:cs="Times New Roman"/>
          <w:b w:val="0"/>
          <w:i w:val="0"/>
          <w:sz w:val="24"/>
        </w:rPr>
        <w:t xml:space="preserve">In May 2023, the U.S. Surgeon General declared loneliness and social isolation a public health epidemic, documenting extensive consequences for mental health, physical well-being, and mortality (Office of the Surgeon General, 2023). Yet while the health effects of social disconnection have received considerable empirical attention, one domain remains underexamined: the civic consequences of social disconnection, and its effects on volunteering in specific. That omission is consequential. A quarter century after Putnam (2000) documented the broad decline of associational life in </w:t>
      </w:r>
      <w:r>
        <w:rPr>
          <w:rFonts w:ascii="Times New Roman" w:hAnsi="Times New Roman" w:cs="Times New Roman"/>
          <w:b w:val="0"/>
          <w:i/>
          <w:sz w:val="24"/>
        </w:rPr>
        <w:t>Bowling Alone</w:t>
      </w:r>
      <w:r>
        <w:rPr>
          <w:rFonts w:ascii="Times New Roman" w:hAnsi="Times New Roman" w:cs="Times New Roman"/>
          <w:b w:val="0"/>
          <w:i w:val="0"/>
          <w:sz w:val="24"/>
        </w:rPr>
        <w:t>, emerging evidence suggests that the decline in social connection has continued, and accelerated among younger cohorts, with potential implications for the civic infrastructure that depends on volunteerism.</w:t>
      </w:r>
    </w:p>
    <w:p>
      <w:pPr>
        <w:spacing w:before="0" w:after="0" w:lineRule="auto" w:line="480"/>
        <w:ind w:firstLine="720"/>
        <w:jc w:val="left"/>
      </w:pPr>
      <w:r>
        <w:rPr>
          <w:rFonts w:ascii="Times New Roman" w:hAnsi="Times New Roman" w:cs="Times New Roman"/>
          <w:b w:val="0"/>
          <w:i w:val="0"/>
          <w:sz w:val="24"/>
        </w:rPr>
        <w:t>The scale of the volunteering decline is substantial. Between 2005 and 2021, the U.S. formal volunteering rate fell from 28.8% to 23.2%, the lowest rate recorded since the Bureau of Labor Statistics began tracking the measure (AmeriCorps, 2022). Among 16-to-24-year-olds, the decline has been even steeper, falling by nearly a third from 26.4% to 17.4%. These declines have occurred despite expansions in national service programs, campus volunteer centers, and corporate volunteer initiatives. If supply-side interventions were sufficient, rates should have stabilized or increased. They did not. The barrier lies not in the availability of opportunities but in the social pathways through which individuals are recruited into them.</w:t>
      </w:r>
    </w:p>
    <w:p>
      <w:pPr>
        <w:spacing w:before="0" w:after="0" w:lineRule="auto" w:line="480"/>
        <w:ind w:firstLine="720"/>
        <w:jc w:val="left"/>
      </w:pPr>
      <w:r>
        <w:rPr>
          <w:rFonts w:ascii="Times New Roman" w:hAnsi="Times New Roman" w:cs="Times New Roman"/>
          <w:b w:val="0"/>
          <w:i w:val="0"/>
          <w:sz w:val="24"/>
        </w:rPr>
        <w:t>Twenge et al. (2019) documented that in-person social interaction among U.S. adolescents declined substantially between 2003 and 2017, a trend that predates the COVID-19 pandemic and thus cannot be attributed solely to lockdown-era disruptions. If social interaction drives civic recruitment, as both social capital theory (Putnam, 2000) and the civic voluntarism model (Verba et al., 1995) suggest, then generational declines in face-to-face socialization may be associated with lower volunteering rates in ways that existing interventions fail to address. The pathway from socialization to volunteering is not abstract: an acquaintance at a community event mentions that a local food bank needs Saturday morning help; a coworker invites a colleague to a park cleanup; a neighbor asks for company at a fundraising walk. These are the mundane, low-threshold encounters through which civic recruitment historically occurs, and they require physical co-presence.</w:t>
      </w:r>
    </w:p>
    <w:p>
      <w:pPr>
        <w:spacing w:before="0" w:after="0" w:lineRule="auto" w:line="480"/>
        <w:ind w:firstLine="720"/>
        <w:jc w:val="left"/>
      </w:pPr>
      <w:r>
        <w:rPr>
          <w:rFonts w:ascii="Times New Roman" w:hAnsi="Times New Roman" w:cs="Times New Roman"/>
          <w:b w:val="0"/>
          <w:i w:val="0"/>
          <w:sz w:val="24"/>
        </w:rPr>
        <w:t xml:space="preserve">Understanding the civic consequences of social isolation is particularly urgent for the volunteering sector. Unlike voting or charitable giving, organized volunteering requires sustained investment of time and coordination with others, making it especially dependent on social networks and in-person contact (Cacioppo &amp; Cacioppo, 2014; Holt-Lunstad et al., 2010). Social connections reduce entry barriers by providing practical information and the social accompaniment that lowers the threshold for initial participation. Yet the empirical literature has treated social isolation primarily as a control variable rather than a central mechanism, and existing research on generational differences tends to rely on simple cohort comparisons without examining how the </w:t>
      </w:r>
      <w:r>
        <w:rPr>
          <w:rFonts w:ascii="Times New Roman" w:hAnsi="Times New Roman" w:cs="Times New Roman"/>
          <w:b w:val="0"/>
          <w:i/>
          <w:sz w:val="24"/>
        </w:rPr>
        <w:t>mechanisms</w:t>
      </w:r>
      <w:r>
        <w:rPr>
          <w:rFonts w:ascii="Times New Roman" w:hAnsi="Times New Roman" w:cs="Times New Roman"/>
          <w:b w:val="0"/>
          <w:i w:val="0"/>
          <w:sz w:val="24"/>
        </w:rPr>
        <w:t xml:space="preserve"> driving volunteering may differ across generations. Wilson (2012) identified social networks as a consistent predictor of volunteering but noted that the field lacks a clear account of how network effects vary across demographic subgroups. The question is whether declining youth volunteering is better explained by changing values or by the weakening of the social connections that facilitate volunteering.</w:t>
      </w:r>
    </w:p>
    <w:p>
      <w:pPr>
        <w:spacing w:before="0" w:after="0" w:lineRule="auto" w:line="480"/>
        <w:ind w:firstLine="720"/>
        <w:jc w:val="left"/>
      </w:pPr>
      <w:r>
        <w:rPr>
          <w:rFonts w:ascii="Times New Roman" w:hAnsi="Times New Roman" w:cs="Times New Roman"/>
          <w:b w:val="0"/>
          <w:i w:val="0"/>
          <w:sz w:val="24"/>
        </w:rPr>
        <w:t xml:space="preserve">We address this gap using four waves of nationally representative CPS-CEV data (2017, 2019, 2021, 2023; </w:t>
      </w:r>
      <w:r>
        <w:rPr>
          <w:rFonts w:ascii="Times New Roman" w:hAnsi="Times New Roman" w:cs="Times New Roman"/>
          <w:b w:val="0"/>
          <w:i/>
          <w:sz w:val="24"/>
        </w:rPr>
        <w:t>N</w:t>
      </w:r>
      <w:r>
        <w:rPr>
          <w:rFonts w:ascii="Times New Roman" w:hAnsi="Times New Roman" w:cs="Times New Roman"/>
          <w:b w:val="0"/>
          <w:i w:val="0"/>
          <w:sz w:val="24"/>
        </w:rPr>
        <w:t xml:space="preserve"> ≈ 201,000) to examine the association between in-person socialization frequency and volunteering across five generational cohorts. Two research questions guide the analysis, spanning variable-centered and person-centered approaches (see Purpose and Research Questions). By bracketing the COVID-19 pandemic, the four-wave design distinguishes stable cohort effects from pandemic-specific disruptions. The integrated approach, combining survey-weighted logistic regression and Latent Profile Analysis, extends the Surgeon General's health-focused framing to a civic engagement context, testing whether social isolation functions as a barrier to civic participation and whether this relationship operates differently across generations.</w:t>
      </w:r>
    </w:p>
    <w:p>
      <w:pPr>
        <w:spacing w:before="0" w:after="0" w:lineRule="auto" w:line="480"/>
        <w:jc w:val="center"/>
      </w:pPr>
      <w:r>
        <w:rPr>
          <w:rFonts w:ascii="Times New Roman" w:hAnsi="Times New Roman" w:cs="Times New Roman"/>
          <w:b/>
          <w:i w:val="0"/>
          <w:sz w:val="24"/>
        </w:rPr>
        <w:t>Literature Review</w:t>
      </w:r>
    </w:p>
    <w:p>
      <w:pPr>
        <w:spacing w:before="0" w:after="0" w:lineRule="auto" w:line="480"/>
        <w:jc w:val="left"/>
      </w:pPr>
      <w:r>
        <w:rPr>
          <w:rFonts w:ascii="Times New Roman" w:hAnsi="Times New Roman" w:cs="Times New Roman"/>
          <w:b/>
          <w:i w:val="0"/>
          <w:sz w:val="24"/>
        </w:rPr>
        <w:t>Social Capital and Civic Recruitment</w:t>
      </w:r>
    </w:p>
    <w:p>
      <w:pPr>
        <w:spacing w:before="0" w:after="0" w:lineRule="auto" w:line="480"/>
        <w:ind w:firstLine="720"/>
        <w:jc w:val="left"/>
      </w:pPr>
      <w:r>
        <w:rPr>
          <w:rFonts w:ascii="Times New Roman" w:hAnsi="Times New Roman" w:cs="Times New Roman"/>
          <w:b w:val="0"/>
          <w:i w:val="0"/>
          <w:sz w:val="24"/>
        </w:rPr>
        <w:t>Why does face-to-face contact predict civic participation? Social capital theory and the civic voluntarism model offer complementary answers. Putnam (2000) defined social capital as the networks, norms, and trust that enable coordination and cooperation among individuals. In his framework, face-to-face social interaction is more than a correlate of civic engagement; it is a generative mechanism. Repeated contact builds the trust and reciprocity norms that lower the costs of collective action. Granovetter's (1973) weak ties theory extends this insight by arguing that peripheral social contacts (acquaintances encountered through occasional socialization) serve as bridges to new information and opportunities, including awareness of volunteer organizations and direct recruitment appeals. The mechanism is as much motivational as informational: a personal request to volunteer from someone known face-to-face carries social weight that an impersonal announcement, whether posted on a bulletin board or shared on social media, does not. The CVM identifies such direct requests as the most proximate predictor of volunteering participation (Brady et al., 1995).</w:t>
      </w:r>
    </w:p>
    <w:p>
      <w:pPr>
        <w:spacing w:before="0" w:after="0" w:lineRule="auto" w:line="480"/>
        <w:ind w:firstLine="720"/>
        <w:jc w:val="left"/>
      </w:pPr>
      <w:r>
        <w:rPr>
          <w:rFonts w:ascii="Times New Roman" w:hAnsi="Times New Roman" w:cs="Times New Roman"/>
          <w:b w:val="0"/>
          <w:i w:val="0"/>
          <w:sz w:val="24"/>
        </w:rPr>
        <w:t>Verba et al.'s (1995) civic voluntarism model (CVM) identifies three categories of factors predicting civic participation: resources (time, money, civic skills), engagement (political interest, civic duty), and recruitment networks (Brady et al., 1995). Of these, the recruitment pathway matters most here: individuals who socialize more frequently are more likely to encounter direct requests to volunteer, which the CVM identifies as the most proximate predictor of participation. Coleman (1988) further emphasized that social capital is embedded in the structure of relationships: closed social networks with dense interconnections give rise to norms and sanctions that encourage prosocial behavior, including volunteering. Beyerlein and Hipp (2006) demonstrated empirically that organizational membership mediates much of the socialization–volunteering pathway, evidence that social contact promotes volunteering partly through institutional embeddedness rather than through social influence alone. The implication is that socialization may be a necessary but not sufficient condition for civic participation: frequent social contact that occurs outside institutionally anchored contexts may not generate the recruitment exposures that translate contact into voluntarism.</w:t>
      </w:r>
    </w:p>
    <w:p>
      <w:pPr>
        <w:spacing w:before="0" w:after="0" w:lineRule="auto" w:line="480"/>
        <w:jc w:val="left"/>
      </w:pPr>
      <w:r>
        <w:rPr>
          <w:rFonts w:ascii="Times New Roman" w:hAnsi="Times New Roman" w:cs="Times New Roman"/>
          <w:b/>
          <w:i w:val="0"/>
          <w:sz w:val="24"/>
        </w:rPr>
        <w:t>Generational Shifts in Socialization and Civic Participation</w:t>
      </w:r>
    </w:p>
    <w:p>
      <w:pPr>
        <w:spacing w:before="0" w:after="0" w:lineRule="auto" w:line="480"/>
        <w:ind w:firstLine="720"/>
        <w:jc w:val="left"/>
      </w:pPr>
      <w:r>
        <w:rPr>
          <w:rFonts w:ascii="Times New Roman" w:hAnsi="Times New Roman" w:cs="Times New Roman"/>
          <w:b w:val="0"/>
          <w:i w:val="0"/>
          <w:sz w:val="24"/>
        </w:rPr>
        <w:t>Situating these expectations against empirical reality requires confronting dramatic generational shifts in socialization patterns. Twenge et al. (2019) documented that in-person social interaction among U.S. adolescents declined by approximately 30% between 2003 and 2017, a trend driven primarily by the displacement of face-to-face contact by digital communication. By 2017, the average American teenager spent more than six hours per day on screen-based media; time spent with friends in person dropped to its lowest level since measurement began (Twenge, 2017). Twenge termed the post-1995 birth cohort "iGen" and documented widespread increases in loneliness, social isolation, and mental health challenges that emerged before, not as a consequence of, the COVID-19 pandemic. The result is a generation that came of age in an environment where social connection increasingly occurs through screens rather than in the shared physical spaces (Oldenburg's [1999] "third places") that historically served as incubators for civic recruitment.</w:t>
      </w:r>
    </w:p>
    <w:p>
      <w:pPr>
        <w:spacing w:before="0" w:after="0" w:lineRule="auto" w:line="480"/>
        <w:ind w:firstLine="720"/>
        <w:jc w:val="left"/>
      </w:pPr>
      <w:r>
        <w:rPr>
          <w:rFonts w:ascii="Times New Roman" w:hAnsi="Times New Roman" w:cs="Times New Roman"/>
          <w:b w:val="0"/>
          <w:i w:val="0"/>
          <w:sz w:val="24"/>
        </w:rPr>
        <w:t>Socialization shifts of this magnitude intersect with broader transformations in civic engagement documented by scholars of political participation. Zukin et al. (2006) identified generational differences in civic participation, with younger Americans more likely to engage in individualized political consumption (boycotting, "buycotting") and less likely to participate in traditional institutional forms such as voting and formal volunteerism. Dalton (2008) proposed that this represents not disengagement but a shift from "duty-based" to "engaged" citizenship, where younger cohorts pursue civic goals through informal, often digital, channels. However, Flanagan and Levine (2010) and Wray-Lake and Hart (2012) documented that these alternative forms of engagement have not compensated for declines in traditional civic participation, above all volunteering, among younger cohorts. If Dalton's "engaged citizenship" thesis were correct, if young people were simply channeling civic energy into new forms, aggregate civic participation should remain stable or rise even as traditional forms decline. It has not. The decline in formal volunteering among young adults has proceeded without a corresponding increase in measurable alternative engagement, which points to eroding civic infrastructure rather than shifting civic preferences as the more likely explanation.</w:t>
      </w:r>
    </w:p>
    <w:p>
      <w:pPr>
        <w:spacing w:before="0" w:after="0" w:lineRule="auto" w:line="480"/>
        <w:ind w:firstLine="720"/>
        <w:jc w:val="left"/>
      </w:pPr>
      <w:r>
        <w:rPr>
          <w:rFonts w:ascii="Times New Roman" w:hAnsi="Times New Roman" w:cs="Times New Roman"/>
          <w:b w:val="0"/>
          <w:i w:val="0"/>
          <w:sz w:val="24"/>
        </w:rPr>
        <w:t>Together, these perspectives generate competing predictions about the relationship between social isolation and volunteering across generations. If social capital theory is correct that face-to-face interaction is the primary mechanism through which civic recruitment occurs, then the dramatic decline in in-person socialization among Gen Z should produce a correspondingly large decline in volunteering, even after controlling for the traditional predictors emphasized by the CVM (education, income, civic skills). Alternatively, if digital communication has functionally replaced face-to-face contact as a recruitment channel, then the socialization–volunteering link should be weaker for digitally native cohorts.</w:t>
      </w:r>
    </w:p>
    <w:p>
      <w:pPr>
        <w:spacing w:before="0" w:after="0" w:lineRule="auto" w:line="480"/>
        <w:jc w:val="left"/>
      </w:pPr>
      <w:r>
        <w:rPr>
          <w:rFonts w:ascii="Times New Roman" w:hAnsi="Times New Roman" w:cs="Times New Roman"/>
          <w:b/>
          <w:i/>
          <w:sz w:val="24"/>
        </w:rPr>
        <w:t>Why Generation Z?</w:t>
      </w:r>
    </w:p>
    <w:p>
      <w:pPr>
        <w:spacing w:before="0" w:after="0" w:lineRule="auto" w:line="480"/>
        <w:ind w:firstLine="720"/>
        <w:jc w:val="left"/>
      </w:pPr>
      <w:r>
        <w:rPr>
          <w:rFonts w:ascii="Times New Roman" w:hAnsi="Times New Roman" w:cs="Times New Roman"/>
          <w:b w:val="0"/>
          <w:i w:val="0"/>
          <w:sz w:val="24"/>
        </w:rPr>
        <w:t>We focus on Gen Z (born after 1997) because it is the first generation to have entered adulthood entirely within a digitally mediated social environment, where the in-person settings that historically exposed young people to civic recruitment (after-school hangouts, religious youth groups, community events) have been partially displaced by screen-based interaction (Pew Research Center, 2018). CPS-CEV data consistently show that Gen Z reports the highest rates of minimal socialization, making this cohort a critical test case for whether online interaction can substitute for face-to-face contact in generating civic participation. Generation is operationalized as a moderating variable because generational membership captures shared formative experiences that shape how individuals relate to civic institutions (Hooghe, 2012; Kelle et al., 2025).</w:t>
      </w:r>
    </w:p>
    <w:p>
      <w:pPr>
        <w:spacing w:before="0" w:after="0" w:lineRule="auto" w:line="480"/>
        <w:jc w:val="left"/>
      </w:pPr>
      <w:r>
        <w:rPr>
          <w:rFonts w:ascii="Times New Roman" w:hAnsi="Times New Roman" w:cs="Times New Roman"/>
          <w:b/>
          <w:i w:val="0"/>
          <w:sz w:val="24"/>
        </w:rPr>
        <w:t>Education, Employment, and Civic Social Media</w:t>
      </w:r>
    </w:p>
    <w:p>
      <w:pPr>
        <w:spacing w:before="0" w:after="0" w:lineRule="auto" w:line="480"/>
        <w:ind w:firstLine="720"/>
        <w:jc w:val="left"/>
      </w:pPr>
      <w:r>
        <w:rPr>
          <w:rFonts w:ascii="Times New Roman" w:hAnsi="Times New Roman" w:cs="Times New Roman"/>
          <w:b w:val="0"/>
          <w:i w:val="0"/>
          <w:sz w:val="24"/>
        </w:rPr>
        <w:t>Education and employment are primary resource predictors of civic participation in the CVM framework (Verba et al., 1995; Wilson, 2012). However, whether these pathways operate with equal strength across generational cohorts has received limited attention. The resource model implicitly assumes that education and employment generate social contacts that serve as recruitment channels, an assumption that may be less reliable for Gen Z, whose social connections increasingly occur through digital rather than institutional channels (Schlozman et al., 2012; Musick &amp; Wilson, 2008).</w:t>
      </w:r>
    </w:p>
    <w:p>
      <w:pPr>
        <w:spacing w:before="0" w:after="0" w:lineRule="auto" w:line="480"/>
        <w:ind w:firstLine="720"/>
        <w:jc w:val="left"/>
      </w:pPr>
      <w:r>
        <w:rPr>
          <w:rFonts w:ascii="Times New Roman" w:hAnsi="Times New Roman" w:cs="Times New Roman"/>
          <w:b w:val="0"/>
          <w:i w:val="0"/>
          <w:sz w:val="24"/>
        </w:rPr>
        <w:t>We also examine civic social media use as a potential moderator. Bennett and Segerberg's (2012) "connective action" framework and the "digital compensation" hypothesis (Norris, 2002) raise the possibility that online civic engagement could partially offset the volunteering deficit associated with social isolation, among digitally native cohorts especially.</w:t>
      </w:r>
    </w:p>
    <w:p>
      <w:pPr>
        <w:spacing w:before="0" w:after="0" w:lineRule="auto" w:line="480"/>
        <w:jc w:val="left"/>
      </w:pPr>
      <w:r>
        <w:rPr>
          <w:rFonts w:ascii="Times New Roman" w:hAnsi="Times New Roman" w:cs="Times New Roman"/>
          <w:b/>
          <w:i w:val="0"/>
          <w:sz w:val="24"/>
        </w:rPr>
        <w:t>Social Disconnection and Civic Consequences</w:t>
      </w:r>
    </w:p>
    <w:p>
      <w:pPr>
        <w:spacing w:before="0" w:after="0" w:lineRule="auto" w:line="480"/>
        <w:ind w:firstLine="720"/>
        <w:jc w:val="left"/>
      </w:pPr>
      <w:r>
        <w:rPr>
          <w:rFonts w:ascii="Times New Roman" w:hAnsi="Times New Roman" w:cs="Times New Roman"/>
          <w:b w:val="0"/>
          <w:i w:val="0"/>
          <w:sz w:val="24"/>
        </w:rPr>
        <w:t>In 2023, the Surgeon General's advisory noted that social isolation "undermines the social infrastructure on which democratic participation depends" (Office of the Surgeon General, 2023), a claim that has received limited empirical testing in the volunteering context. Cacioppo and Cacioppo (2014) provided a theoretical bridge: their model argues that perceived social isolation triggers a self-reinforcing cycle of social withdrawal, hypervigilance to social threat, and reduced interpersonal trust. In civic terms, the most isolated individuals are the least likely to encounter the recruitment appeals that social capital theory identifies as the primary mechanism for volunteering initiation. The prediction is nonlinear. Even small reductions in isolation may break the withdrawal cycle and yield disproportionate gains in civic participation, the "First Step Effect" hypothesis tested in this study.</w:t>
      </w:r>
    </w:p>
    <w:p>
      <w:pPr>
        <w:spacing w:before="0" w:after="0" w:lineRule="auto" w:line="480"/>
        <w:jc w:val="center"/>
      </w:pPr>
      <w:r>
        <w:rPr>
          <w:rFonts w:ascii="Times New Roman" w:hAnsi="Times New Roman" w:cs="Times New Roman"/>
          <w:b/>
          <w:i w:val="0"/>
          <w:sz w:val="24"/>
        </w:rPr>
        <w:t>Purpose and Research Questions</w:t>
      </w:r>
    </w:p>
    <w:p>
      <w:pPr>
        <w:spacing w:before="0" w:after="0" w:lineRule="auto" w:line="480"/>
        <w:ind w:firstLine="720"/>
        <w:jc w:val="left"/>
      </w:pPr>
      <w:r>
        <w:rPr>
          <w:rFonts w:ascii="Times New Roman" w:hAnsi="Times New Roman" w:cs="Times New Roman"/>
          <w:b w:val="0"/>
          <w:i w:val="0"/>
          <w:sz w:val="24"/>
        </w:rPr>
        <w:t>This study examines the association between in-person socialization frequency and volunteering across generational cohorts using four waves of nationally representative data from the Current Population Survey Civic Engagement and Volunteering Supplement (2017, 2019, 2021, 2023). We employ an integrated design that combines variable-centered regression and person-centered profiling to provide methodological triangulation. By spanning four waves that bracket the COVID-19 pandemic, this design allows us to distinguish structural cohort effects from pandemic-specific disruptions.</w:t>
      </w:r>
    </w:p>
    <w:p>
      <w:pPr>
        <w:spacing w:before="120" w:after="0" w:lineRule="auto" w:line="240"/>
      </w:pPr>
    </w:p>
    <w:p>
      <w:pPr>
        <w:spacing w:before="0" w:after="80" w:lineRule="auto" w:line="240"/>
        <w:jc w:val="center"/>
      </w:pPr>
      <w:r>
        <w:drawing>
          <wp:inline xmlns:a="http://schemas.openxmlformats.org/drawingml/2006/main" xmlns:pic="http://schemas.openxmlformats.org/drawingml/2006/picture">
            <wp:extent cx="5029200" cy="3819049"/>
            <wp:docPr id="1" name="Picture 1"/>
            <wp:cNvGraphicFramePr>
              <a:graphicFrameLocks noChangeAspect="1"/>
            </wp:cNvGraphicFramePr>
            <a:graphic>
              <a:graphicData uri="http://schemas.openxmlformats.org/drawingml/2006/picture">
                <pic:pic>
                  <pic:nvPicPr>
                    <pic:cNvPr id="0" name="conceptual_framework.png"/>
                    <pic:cNvPicPr/>
                  </pic:nvPicPr>
                  <pic:blipFill>
                    <a:blip r:embed="rId9"/>
                    <a:stretch>
                      <a:fillRect/>
                    </a:stretch>
                  </pic:blipFill>
                  <pic:spPr>
                    <a:xfrm>
                      <a:off x="0" y="0"/>
                      <a:ext cx="5029200" cy="3819049"/>
                    </a:xfrm>
                    <a:prstGeom prst="rect"/>
                  </pic:spPr>
                </pic:pic>
              </a:graphicData>
            </a:graphic>
          </wp:inline>
        </w:drawing>
      </w:r>
    </w:p>
    <w:p>
      <w:pPr>
        <w:spacing w:before="80" w:after="240" w:lineRule="auto" w:line="480"/>
        <w:jc w:val="left"/>
      </w:pPr>
      <w:r>
        <w:rPr>
          <w:rFonts w:ascii="Times New Roman" w:hAnsi="Times New Roman" w:cs="Times New Roman"/>
          <w:b w:val="0"/>
          <w:i/>
          <w:sz w:val="24"/>
        </w:rPr>
        <w:t xml:space="preserve">Figure 1. </w:t>
      </w:r>
      <w:r>
        <w:rPr>
          <w:rFonts w:ascii="Times New Roman" w:hAnsi="Times New Roman" w:cs="Times New Roman"/>
          <w:b w:val="0"/>
          <w:i w:val="0"/>
          <w:sz w:val="24"/>
        </w:rPr>
        <w:t>Conceptual framework. The primary relationship between in-person socialization (IV) and volunteering (DV) is moderated by generational cohort. Three-way interactions test whether education, employment, civic social media use, and the COVID-19 period further condition this relationship. Three analytic stages provide methodological triangulation.</w:t>
      </w:r>
    </w:p>
    <w:p>
      <w:pPr>
        <w:spacing w:before="0" w:after="0" w:lineRule="auto" w:line="480"/>
        <w:ind w:firstLine="720"/>
        <w:jc w:val="left"/>
      </w:pPr>
      <w:r>
        <w:rPr>
          <w:rFonts w:ascii="Times New Roman" w:hAnsi="Times New Roman" w:cs="Times New Roman"/>
          <w:b w:val="0"/>
          <w:i w:val="0"/>
          <w:sz w:val="24"/>
        </w:rPr>
        <w:t>The primary relationship of interest is the association between in-person socialization frequency (independent variable) and volunteering status (dependent variable), moderated by generational cohort (see Figure 1). Secondary moderation pathways examine whether education, employment status, civic social media use, and the COVID-19 pandemic condition the socialization–volunteering relationship, and whether these moderating effects differ by generation (three-way interactions). The person-centered component identifies distinct typologies of civic engagement.</w:t>
      </w:r>
    </w:p>
    <w:p>
      <w:pPr>
        <w:spacing w:before="0" w:after="0" w:lineRule="auto" w:line="480"/>
        <w:ind w:firstLine="720"/>
        <w:jc w:val="left"/>
      </w:pPr>
      <w:r>
        <w:rPr>
          <w:rFonts w:ascii="Times New Roman" w:hAnsi="Times New Roman" w:cs="Times New Roman"/>
          <w:b/>
          <w:i w:val="0"/>
          <w:sz w:val="24"/>
        </w:rPr>
        <w:t>Research Question 1</w:t>
      </w:r>
      <w:r>
        <w:rPr>
          <w:rFonts w:ascii="Times New Roman" w:hAnsi="Times New Roman" w:cs="Times New Roman"/>
          <w:b w:val="0"/>
          <w:i w:val="0"/>
          <w:sz w:val="24"/>
        </w:rPr>
        <w:t xml:space="preserve"> (Variable-Centered): How does the association between in-person socialization frequency and volunteering differ across generational cohorts, and do education, employment, civic social media use, and the COVID-19 pandemic moderate this association differently by generation?</w:t>
      </w:r>
    </w:p>
    <w:p>
      <w:pPr>
        <w:spacing w:before="0" w:after="0" w:lineRule="auto" w:line="480"/>
        <w:ind w:firstLine="720"/>
        <w:jc w:val="left"/>
      </w:pPr>
      <w:r>
        <w:rPr>
          <w:rFonts w:ascii="Times New Roman" w:hAnsi="Times New Roman" w:cs="Times New Roman"/>
          <w:b w:val="0"/>
          <w:i w:val="0"/>
          <w:sz w:val="24"/>
        </w:rPr>
        <w:t xml:space="preserve">- </w:t>
      </w:r>
      <w:r>
        <w:rPr>
          <w:rFonts w:ascii="Times New Roman" w:hAnsi="Times New Roman" w:cs="Times New Roman"/>
          <w:b w:val="0"/>
          <w:i/>
          <w:sz w:val="24"/>
        </w:rPr>
        <w:t>H1.</w:t>
      </w:r>
      <w:r>
        <w:rPr>
          <w:rFonts w:ascii="Times New Roman" w:hAnsi="Times New Roman" w:cs="Times New Roman"/>
          <w:b w:val="0"/>
          <w:i w:val="0"/>
          <w:sz w:val="24"/>
        </w:rPr>
        <w:t xml:space="preserve"> Higher levels of in-person socialization will be positively associated with volunteering across all generational cohorts. - </w:t>
      </w:r>
      <w:r>
        <w:rPr>
          <w:rFonts w:ascii="Times New Roman" w:hAnsi="Times New Roman" w:cs="Times New Roman"/>
          <w:b w:val="0"/>
          <w:i/>
          <w:sz w:val="24"/>
        </w:rPr>
        <w:t>H2.</w:t>
      </w:r>
      <w:r>
        <w:rPr>
          <w:rFonts w:ascii="Times New Roman" w:hAnsi="Times New Roman" w:cs="Times New Roman"/>
          <w:b w:val="0"/>
          <w:i w:val="0"/>
          <w:sz w:val="24"/>
        </w:rPr>
        <w:t xml:space="preserve"> Generation Z will exhibit a weaker socialization–volunteering association at higher socialization levels compared with older cohorts (i.e., a plateau effect). - </w:t>
      </w:r>
      <w:r>
        <w:rPr>
          <w:rFonts w:ascii="Times New Roman" w:hAnsi="Times New Roman" w:cs="Times New Roman"/>
          <w:b w:val="0"/>
          <w:i/>
          <w:sz w:val="24"/>
        </w:rPr>
        <w:t>H3a.</w:t>
      </w:r>
      <w:r>
        <w:rPr>
          <w:rFonts w:ascii="Times New Roman" w:hAnsi="Times New Roman" w:cs="Times New Roman"/>
          <w:b w:val="0"/>
          <w:i w:val="0"/>
          <w:sz w:val="24"/>
        </w:rPr>
        <w:t xml:space="preserve"> Education will positively moderate the socialization–volunteering association, but this moderating effect will be weaker for Generation Z than for older cohorts. - </w:t>
      </w:r>
      <w:r>
        <w:rPr>
          <w:rFonts w:ascii="Times New Roman" w:hAnsi="Times New Roman" w:cs="Times New Roman"/>
          <w:b w:val="0"/>
          <w:i/>
          <w:sz w:val="24"/>
        </w:rPr>
        <w:t>H3b.</w:t>
      </w:r>
      <w:r>
        <w:rPr>
          <w:rFonts w:ascii="Times New Roman" w:hAnsi="Times New Roman" w:cs="Times New Roman"/>
          <w:b w:val="0"/>
          <w:i w:val="0"/>
          <w:sz w:val="24"/>
        </w:rPr>
        <w:t xml:space="preserve"> Employment will positively moderate the socialization–volunteering association, with effects that are relatively consistent across generations. - </w:t>
      </w:r>
      <w:r>
        <w:rPr>
          <w:rFonts w:ascii="Times New Roman" w:hAnsi="Times New Roman" w:cs="Times New Roman"/>
          <w:b w:val="0"/>
          <w:i/>
          <w:sz w:val="24"/>
        </w:rPr>
        <w:t>H3c.</w:t>
      </w:r>
      <w:r>
        <w:rPr>
          <w:rFonts w:ascii="Times New Roman" w:hAnsi="Times New Roman" w:cs="Times New Roman"/>
          <w:b w:val="0"/>
          <w:i w:val="0"/>
          <w:sz w:val="24"/>
        </w:rPr>
        <w:t xml:space="preserve"> Civic social media use will positively moderate the socialization–volunteering association, but the moderating effect will be stronger for older cohorts than for Generation Z. - </w:t>
      </w:r>
      <w:r>
        <w:rPr>
          <w:rFonts w:ascii="Times New Roman" w:hAnsi="Times New Roman" w:cs="Times New Roman"/>
          <w:b w:val="0"/>
          <w:i/>
          <w:sz w:val="24"/>
        </w:rPr>
        <w:t>H3d.</w:t>
      </w:r>
      <w:r>
        <w:rPr>
          <w:rFonts w:ascii="Times New Roman" w:hAnsi="Times New Roman" w:cs="Times New Roman"/>
          <w:b w:val="0"/>
          <w:i w:val="0"/>
          <w:sz w:val="24"/>
        </w:rPr>
        <w:t xml:space="preserve"> The socialization–volunteering association will be stable across the pre- and post-COVID periods, consistent with a cohort interpretation rather than a period effect.</w:t>
      </w:r>
    </w:p>
    <w:p>
      <w:pPr>
        <w:spacing w:before="0" w:after="0" w:lineRule="auto" w:line="480"/>
        <w:ind w:firstLine="720"/>
        <w:jc w:val="left"/>
      </w:pPr>
      <w:r>
        <w:rPr>
          <w:rFonts w:ascii="Times New Roman" w:hAnsi="Times New Roman" w:cs="Times New Roman"/>
          <w:b/>
          <w:i w:val="0"/>
          <w:sz w:val="24"/>
        </w:rPr>
        <w:t>Research Question 2</w:t>
      </w:r>
      <w:r>
        <w:rPr>
          <w:rFonts w:ascii="Times New Roman" w:hAnsi="Times New Roman" w:cs="Times New Roman"/>
          <w:b w:val="0"/>
          <w:i w:val="0"/>
          <w:sz w:val="24"/>
        </w:rPr>
        <w:t xml:space="preserve"> (Person-Centered): What distinct civic engagement typologies emerge from patterns of boycotting, contacting officials, political conversation, in-person socialization, organizational membership, and charitable donation, and how are generational cohorts distributed across these typologies?</w:t>
      </w:r>
    </w:p>
    <w:p>
      <w:pPr>
        <w:spacing w:before="0" w:after="0" w:lineRule="auto" w:line="480"/>
        <w:ind w:firstLine="720"/>
        <w:jc w:val="left"/>
      </w:pPr>
      <w:r>
        <w:rPr>
          <w:rFonts w:ascii="Times New Roman" w:hAnsi="Times New Roman" w:cs="Times New Roman"/>
          <w:b w:val="0"/>
          <w:i w:val="0"/>
          <w:sz w:val="24"/>
        </w:rPr>
        <w:t xml:space="preserve">- </w:t>
      </w:r>
      <w:r>
        <w:rPr>
          <w:rFonts w:ascii="Times New Roman" w:hAnsi="Times New Roman" w:cs="Times New Roman"/>
          <w:b w:val="0"/>
          <w:i/>
          <w:sz w:val="24"/>
        </w:rPr>
        <w:t>H4.</w:t>
      </w:r>
      <w:r>
        <w:rPr>
          <w:rFonts w:ascii="Times New Roman" w:hAnsi="Times New Roman" w:cs="Times New Roman"/>
          <w:b w:val="0"/>
          <w:i w:val="0"/>
          <w:sz w:val="24"/>
        </w:rPr>
        <w:t xml:space="preserve"> Generation Z will be disproportionately concentrated in low-engagement profiles characterized by minimal socialization and low organizational membership. - </w:t>
      </w:r>
      <w:r>
        <w:rPr>
          <w:rFonts w:ascii="Times New Roman" w:hAnsi="Times New Roman" w:cs="Times New Roman"/>
          <w:b w:val="0"/>
          <w:i/>
          <w:sz w:val="24"/>
        </w:rPr>
        <w:t>H5.</w:t>
      </w:r>
      <w:r>
        <w:rPr>
          <w:rFonts w:ascii="Times New Roman" w:hAnsi="Times New Roman" w:cs="Times New Roman"/>
          <w:b w:val="0"/>
          <w:i w:val="0"/>
          <w:sz w:val="24"/>
        </w:rPr>
        <w:t xml:space="preserve"> High-engagement profiles will show higher volunteering rates and be overrepresented among older cohorts.</w:t>
      </w:r>
    </w:p>
    <w:p>
      <w:pPr>
        <w:spacing w:before="0" w:after="0" w:lineRule="auto" w:line="480"/>
        <w:jc w:val="center"/>
      </w:pPr>
      <w:r>
        <w:rPr>
          <w:rFonts w:ascii="Times New Roman" w:hAnsi="Times New Roman" w:cs="Times New Roman"/>
          <w:b/>
          <w:i w:val="0"/>
          <w:sz w:val="24"/>
        </w:rPr>
        <w:t>Method</w:t>
      </w:r>
    </w:p>
    <w:p>
      <w:pPr>
        <w:spacing w:before="0" w:after="0" w:lineRule="auto" w:line="480"/>
        <w:jc w:val="left"/>
      </w:pPr>
      <w:r>
        <w:rPr>
          <w:rFonts w:ascii="Times New Roman" w:hAnsi="Times New Roman" w:cs="Times New Roman"/>
          <w:b/>
          <w:i w:val="0"/>
          <w:sz w:val="24"/>
        </w:rPr>
        <w:t>Data Source and Sample</w:t>
      </w:r>
    </w:p>
    <w:p>
      <w:pPr>
        <w:spacing w:before="0" w:after="0" w:lineRule="auto" w:line="480"/>
        <w:ind w:firstLine="720"/>
        <w:jc w:val="left"/>
      </w:pPr>
      <w:r>
        <w:rPr>
          <w:rFonts w:ascii="Times New Roman" w:hAnsi="Times New Roman" w:cs="Times New Roman"/>
          <w:b w:val="0"/>
          <w:i w:val="0"/>
          <w:sz w:val="24"/>
        </w:rPr>
        <w:t>Data come from the Current Population Survey Civic Engagement and Volunteering Supplement (CPS-CEV), obtained via IPUMS-CPS (Flood et al., 2023). The CPS-CEV is administered as a supplement to the September CPS by the U.S. Census Bureau in collaboration with AmeriCorps. Approximately 57,000 households participate in each wave, making it the largest nationally representative survey measuring both volunteering behavior and civic engagement indicators simultaneously.</w:t>
      </w:r>
    </w:p>
    <w:p>
      <w:pPr>
        <w:spacing w:before="0" w:after="0" w:lineRule="auto" w:line="480"/>
        <w:ind w:firstLine="720"/>
        <w:jc w:val="left"/>
      </w:pPr>
      <w:r>
        <w:rPr>
          <w:rFonts w:ascii="Times New Roman" w:hAnsi="Times New Roman" w:cs="Times New Roman"/>
          <w:b w:val="0"/>
          <w:i w:val="0"/>
          <w:sz w:val="24"/>
        </w:rPr>
        <w:t xml:space="preserve">The CPS-CEV is uniquely suited to this study because it is the only nationally representative survey that simultaneously measures both volunteering behavior and in-person socialization frequency across a sample large enough to support subgroup analyses by generation. We pooled four waves of CPS-CEV data: September 2017, 2019, 2021, and 2023. These waves bracket the COVID-19 pandemic, allowing us to examine whether the socialization–volunteering relationship changed across this major disruption to social life. The analytic sample includes all U.S. adults aged 18 and older with valid supplement weights (VLSUPPWT &gt; 0) and nonmissing values on the dependent variable (VLSTATUS ∈ {1, 2}), yielding </w:t>
      </w:r>
      <w:r>
        <w:rPr>
          <w:rFonts w:ascii="Times New Roman" w:hAnsi="Times New Roman" w:cs="Times New Roman"/>
          <w:b w:val="0"/>
          <w:i/>
          <w:sz w:val="24"/>
        </w:rPr>
        <w:t>N</w:t>
      </w:r>
      <w:r>
        <w:rPr>
          <w:rFonts w:ascii="Times New Roman" w:hAnsi="Times New Roman" w:cs="Times New Roman"/>
          <w:b w:val="0"/>
          <w:i w:val="0"/>
          <w:sz w:val="24"/>
        </w:rPr>
        <w:t xml:space="preserve"> ≈ 201,000 spanning five generational cohorts.</w:t>
      </w:r>
    </w:p>
    <w:p>
      <w:pPr>
        <w:spacing w:before="0" w:after="0" w:lineRule="auto" w:line="480"/>
        <w:ind w:firstLine="720"/>
        <w:jc w:val="left"/>
      </w:pPr>
      <w:r>
        <w:rPr>
          <w:rFonts w:ascii="Times New Roman" w:hAnsi="Times New Roman" w:cs="Times New Roman"/>
          <w:b w:val="0"/>
          <w:i w:val="0"/>
          <w:sz w:val="24"/>
        </w:rPr>
        <w:t>Respondents with missing values on the key independent variable (CESOCIALIZE) were excluded from models involving socialization (less than 1% of the analytic sample). For moderating variables, cases with missing values were excluded listwise within each model. All analyses incorporate the supplement weight (VLSUPPWT) to produce nationally representative estimates. Because the CPS employs a stratified multistage cluster design, the survey design object specifies household-level clustering (using the SERIAL variable) and state-level stratification (using STATEFIP), with a lonely-PSU adjustment for strata containing a single sampling unit. IPUMS does not release the actual primary sampling unit identifiers used in the CPS design; SERIAL and STATEFIP represent the best available approximation and yield more conservative standard error estimates than a simple random sampling assumption.</w:t>
      </w:r>
    </w:p>
    <w:p>
      <w:pPr>
        <w:spacing w:before="0" w:after="0" w:lineRule="auto" w:line="480"/>
        <w:jc w:val="left"/>
      </w:pPr>
      <w:r>
        <w:rPr>
          <w:rFonts w:ascii="Times New Roman" w:hAnsi="Times New Roman" w:cs="Times New Roman"/>
          <w:b/>
          <w:i w:val="0"/>
          <w:sz w:val="24"/>
        </w:rPr>
        <w:t>Measures</w:t>
      </w:r>
    </w:p>
    <w:p>
      <w:pPr>
        <w:spacing w:before="0" w:after="0" w:lineRule="auto" w:line="480"/>
        <w:jc w:val="left"/>
      </w:pPr>
      <w:r>
        <w:rPr>
          <w:rFonts w:ascii="Times New Roman" w:hAnsi="Times New Roman" w:cs="Times New Roman"/>
          <w:b/>
          <w:i/>
          <w:sz w:val="24"/>
        </w:rPr>
        <w:t>Dependent Variable</w:t>
      </w:r>
    </w:p>
    <w:p>
      <w:pPr>
        <w:spacing w:before="0" w:after="0" w:lineRule="auto" w:line="480"/>
        <w:ind w:firstLine="720"/>
        <w:jc w:val="left"/>
      </w:pPr>
      <w:r>
        <w:rPr>
          <w:rFonts w:ascii="Times New Roman" w:hAnsi="Times New Roman" w:cs="Times New Roman"/>
          <w:b w:val="0"/>
          <w:i w:val="0"/>
          <w:sz w:val="24"/>
        </w:rPr>
        <w:t>Volunteering status was measured using VLSTATUS, which asks whether the respondent "did any volunteer activities through or for an organization" in the past 12 months (1 = volunteered, 2 = did not volunteer). This measure was dichotomized for logistic regression and treated as an external criterion variable for the latent profile analysis.</w:t>
      </w:r>
    </w:p>
    <w:p>
      <w:pPr>
        <w:spacing w:before="0" w:after="0" w:lineRule="auto" w:line="480"/>
        <w:jc w:val="left"/>
      </w:pPr>
      <w:r>
        <w:rPr>
          <w:rFonts w:ascii="Times New Roman" w:hAnsi="Times New Roman" w:cs="Times New Roman"/>
          <w:b/>
          <w:i/>
          <w:sz w:val="24"/>
        </w:rPr>
        <w:t>Key Independent Variable</w:t>
      </w:r>
    </w:p>
    <w:p>
      <w:pPr>
        <w:spacing w:before="0" w:after="0" w:lineRule="auto" w:line="480"/>
        <w:ind w:firstLine="720"/>
        <w:jc w:val="left"/>
      </w:pPr>
      <w:r>
        <w:rPr>
          <w:rFonts w:ascii="Times New Roman" w:hAnsi="Times New Roman" w:cs="Times New Roman"/>
          <w:b w:val="0"/>
          <w:i w:val="0"/>
          <w:sz w:val="24"/>
        </w:rPr>
        <w:t>In-person socialization frequency was measured using CESOCIALIZE, which asks respondents how often they "got together socially with friends, relatives, or neighbors" in the past 12 months. Response options range from 1 = "Not at all" to 6 = "Basically every day." For logistic regression, socialization is entered as a factor variable with "Not at all" as the reference category, allowing estimation of nonlinear threshold effects at each transition. For the GBM analysis, it is entered as a continuous ordinal predictor.</w:t>
      </w:r>
    </w:p>
    <w:p>
      <w:pPr>
        <w:spacing w:before="0" w:after="0" w:lineRule="auto" w:line="480"/>
        <w:jc w:val="left"/>
      </w:pPr>
      <w:r>
        <w:rPr>
          <w:rFonts w:ascii="Times New Roman" w:hAnsi="Times New Roman" w:cs="Times New Roman"/>
          <w:b/>
          <w:i/>
          <w:sz w:val="24"/>
        </w:rPr>
        <w:t>Generational Cohorts</w:t>
      </w:r>
    </w:p>
    <w:p>
      <w:pPr>
        <w:spacing w:before="0" w:after="0" w:lineRule="auto" w:line="480"/>
        <w:ind w:firstLine="720"/>
        <w:jc w:val="left"/>
      </w:pPr>
      <w:r>
        <w:rPr>
          <w:rFonts w:ascii="Times New Roman" w:hAnsi="Times New Roman" w:cs="Times New Roman"/>
          <w:b w:val="0"/>
          <w:i w:val="0"/>
          <w:sz w:val="24"/>
        </w:rPr>
        <w:t>Respondents were classified into five generational cohorts based on birth year (calculated as survey year minus age): Generation Z (born 1997 or later), Millennials (1981–1996), Generation X (1965–1980), Baby Boomers (1946–1964), and the Silent Generation (born before 1946). Generation Z serves as the reference category in regression models.</w:t>
      </w:r>
    </w:p>
    <w:p>
      <w:pPr>
        <w:spacing w:before="0" w:after="0" w:lineRule="auto" w:line="480"/>
        <w:jc w:val="left"/>
      </w:pPr>
      <w:r>
        <w:rPr>
          <w:rFonts w:ascii="Times New Roman" w:hAnsi="Times New Roman" w:cs="Times New Roman"/>
          <w:b/>
          <w:i/>
          <w:sz w:val="24"/>
        </w:rPr>
        <w:t>Moderating Variables</w:t>
      </w:r>
    </w:p>
    <w:p>
      <w:pPr>
        <w:spacing w:before="0" w:after="0" w:lineRule="auto" w:line="480"/>
        <w:ind w:firstLine="720"/>
        <w:jc w:val="left"/>
      </w:pPr>
      <w:r>
        <w:rPr>
          <w:rFonts w:ascii="Times New Roman" w:hAnsi="Times New Roman" w:cs="Times New Roman"/>
          <w:b w:val="0"/>
          <w:i w:val="0"/>
          <w:sz w:val="24"/>
        </w:rPr>
        <w:t xml:space="preserve">Four theoretically motivated moderators were examined. </w:t>
      </w:r>
      <w:r>
        <w:rPr>
          <w:rFonts w:ascii="Times New Roman" w:hAnsi="Times New Roman" w:cs="Times New Roman"/>
          <w:b w:val="0"/>
          <w:i/>
          <w:sz w:val="24"/>
        </w:rPr>
        <w:t>Education</w:t>
      </w:r>
      <w:r>
        <w:rPr>
          <w:rFonts w:ascii="Times New Roman" w:hAnsi="Times New Roman" w:cs="Times New Roman"/>
          <w:b w:val="0"/>
          <w:i w:val="0"/>
          <w:sz w:val="24"/>
        </w:rPr>
        <w:t xml:space="preserve"> was measured using EDUC (IPUMS harmonized) and dichotomized as bachelor's degree or higher (EDUC ≥ 111) versus less than a bachelor's degree, consistent with the civic voluntarism model's emphasis on educational thresholds. </w:t>
      </w:r>
      <w:r>
        <w:rPr>
          <w:rFonts w:ascii="Times New Roman" w:hAnsi="Times New Roman" w:cs="Times New Roman"/>
          <w:b w:val="0"/>
          <w:i/>
          <w:sz w:val="24"/>
        </w:rPr>
        <w:t>Employment status</w:t>
      </w:r>
      <w:r>
        <w:rPr>
          <w:rFonts w:ascii="Times New Roman" w:hAnsi="Times New Roman" w:cs="Times New Roman"/>
          <w:b w:val="0"/>
          <w:i w:val="0"/>
          <w:sz w:val="24"/>
        </w:rPr>
        <w:t xml:space="preserve"> was dichotomized as currently employed (EMPSTAT ∈ {10, 12}) versus not employed. </w:t>
      </w:r>
      <w:r>
        <w:rPr>
          <w:rFonts w:ascii="Times New Roman" w:hAnsi="Times New Roman" w:cs="Times New Roman"/>
          <w:b w:val="0"/>
          <w:i/>
          <w:sz w:val="24"/>
        </w:rPr>
        <w:t>Civic social media use</w:t>
      </w:r>
      <w:r>
        <w:rPr>
          <w:rFonts w:ascii="Times New Roman" w:hAnsi="Times New Roman" w:cs="Times New Roman"/>
          <w:b w:val="0"/>
          <w:i w:val="0"/>
          <w:sz w:val="24"/>
        </w:rPr>
        <w:t xml:space="preserve"> was measured using VLSOCMEDIA, which asks how often the respondent "posted, shared, or discussed issues on civic or political topics on social media" (1 = basically every day through 6 = not at all). This was dichotomized as any civic social media use (VLSOCMEDIA ≤ 4) versus no use, following the conceptual distinction between digital civic engagement and non-engagement.</w:t>
      </w:r>
    </w:p>
    <w:p>
      <w:pPr>
        <w:spacing w:before="0" w:after="0" w:lineRule="auto" w:line="480"/>
        <w:ind w:firstLine="720"/>
        <w:jc w:val="left"/>
      </w:pPr>
      <w:r>
        <w:rPr>
          <w:rFonts w:ascii="Times New Roman" w:hAnsi="Times New Roman" w:cs="Times New Roman"/>
          <w:b w:val="0"/>
          <w:i/>
          <w:sz w:val="24"/>
        </w:rPr>
        <w:t>COVID-19 period</w:t>
      </w:r>
      <w:r>
        <w:rPr>
          <w:rFonts w:ascii="Times New Roman" w:hAnsi="Times New Roman" w:cs="Times New Roman"/>
          <w:b w:val="0"/>
          <w:i w:val="0"/>
          <w:sz w:val="24"/>
        </w:rPr>
        <w:t xml:space="preserve"> was operationalized as a binary variable distinguishing pre-COVID waves (2017, 2019) from post-COVID waves (2021, 2023). This coding captures the broad disruption to social life rather than a precise epidemiological boundary, and is included to test whether the socialization–volunteering relationship is a stable feature or was altered by pandemic-related changes to social behavior.</w:t>
      </w:r>
    </w:p>
    <w:p>
      <w:pPr>
        <w:spacing w:before="0" w:after="0" w:lineRule="auto" w:line="480"/>
        <w:jc w:val="left"/>
      </w:pPr>
      <w:r>
        <w:rPr>
          <w:rFonts w:ascii="Times New Roman" w:hAnsi="Times New Roman" w:cs="Times New Roman"/>
          <w:b/>
          <w:i/>
          <w:sz w:val="24"/>
        </w:rPr>
        <w:t>Latent Profile Analysis Indicators</w:t>
      </w:r>
    </w:p>
    <w:p>
      <w:pPr>
        <w:spacing w:before="0" w:after="0" w:lineRule="auto" w:line="480"/>
        <w:ind w:firstLine="720"/>
        <w:jc w:val="left"/>
      </w:pPr>
      <w:r>
        <w:rPr>
          <w:rFonts w:ascii="Times New Roman" w:hAnsi="Times New Roman" w:cs="Times New Roman"/>
          <w:b w:val="0"/>
          <w:i w:val="0"/>
          <w:sz w:val="24"/>
        </w:rPr>
        <w:t>Six indicators were used to construct civic engagement typologies. Three are binary: boycotting a product for social or political reasons (CEBOYCOTT), contacting a public official (CEPUBOFF), and donating to a charitable or religious organization (VLDONATE). Two are ordinal (scaled 1–6): frequency of discussing politics (CEPOLCONV) and frequency of in-person social contact (CESOCIALIZE). The sixth, organizational membership (VLMEMBERN), is a count of the number of organizations to which the respondent belongs (respondents reporting no membership via VLMEMBER were coded as 0).</w:t>
      </w:r>
    </w:p>
    <w:p>
      <w:pPr>
        <w:spacing w:before="0" w:after="0" w:lineRule="auto" w:line="480"/>
        <w:ind w:firstLine="720"/>
        <w:jc w:val="left"/>
      </w:pPr>
      <w:r>
        <w:rPr>
          <w:rFonts w:ascii="Times New Roman" w:hAnsi="Times New Roman" w:cs="Times New Roman"/>
          <w:b w:val="0"/>
          <w:i w:val="0"/>
          <w:sz w:val="24"/>
        </w:rPr>
        <w:t>All six indicators are available across all four survey waves with approximately 94% valid response rates. Together, these indicators span multiple dimensions of civic life (political action, social connection, institutional membership, and philanthropic behavior), enabling person-centered identification of distinct engagement patterns.</w:t>
      </w:r>
    </w:p>
    <w:p>
      <w:pPr>
        <w:spacing w:before="0" w:after="0" w:lineRule="auto" w:line="480"/>
        <w:jc w:val="left"/>
      </w:pPr>
      <w:r>
        <w:rPr>
          <w:rFonts w:ascii="Times New Roman" w:hAnsi="Times New Roman" w:cs="Times New Roman"/>
          <w:b/>
          <w:i/>
          <w:sz w:val="24"/>
        </w:rPr>
        <w:t>Control Variables</w:t>
      </w:r>
    </w:p>
    <w:p>
      <w:pPr>
        <w:spacing w:before="0" w:after="0" w:lineRule="auto" w:line="480"/>
        <w:ind w:firstLine="720"/>
        <w:jc w:val="left"/>
      </w:pPr>
      <w:r>
        <w:rPr>
          <w:rFonts w:ascii="Times New Roman" w:hAnsi="Times New Roman" w:cs="Times New Roman"/>
          <w:b w:val="0"/>
          <w:i w:val="0"/>
          <w:sz w:val="24"/>
        </w:rPr>
        <w:t>Models controlled for age (continuous), sex (female = 1), race/ethnicity (White non-Hispanic [reference], Black non-Hispanic, Hispanic, Asian non-Hispanic, other), marital status (married = 1), family income (log-transformed midpoint), metropolitan status (metro = 1), and Census region (Northeast, Midwest, South, West [reference]). In Models 1–4, the post-COVID indicator also serves as a control; in Model 5, it is the focal moderator.</w:t>
      </w:r>
    </w:p>
    <w:p>
      <w:pPr>
        <w:spacing w:before="0" w:after="0" w:lineRule="auto" w:line="480"/>
        <w:jc w:val="left"/>
      </w:pPr>
      <w:r>
        <w:rPr>
          <w:rFonts w:ascii="Times New Roman" w:hAnsi="Times New Roman" w:cs="Times New Roman"/>
          <w:b/>
          <w:i w:val="0"/>
          <w:sz w:val="24"/>
        </w:rPr>
        <w:t>Analytic Strategy</w:t>
      </w:r>
    </w:p>
    <w:p>
      <w:pPr>
        <w:spacing w:before="0" w:after="0" w:lineRule="auto" w:line="480"/>
        <w:ind w:firstLine="720"/>
        <w:jc w:val="left"/>
      </w:pPr>
      <w:r>
        <w:rPr>
          <w:rFonts w:ascii="Times New Roman" w:hAnsi="Times New Roman" w:cs="Times New Roman"/>
          <w:b w:val="0"/>
          <w:i w:val="0"/>
          <w:sz w:val="24"/>
        </w:rPr>
        <w:t>The analysis proceeds through two integrated stages, each addressing a distinct research question while providing methodological triangulation.</w:t>
      </w:r>
    </w:p>
    <w:p>
      <w:pPr>
        <w:spacing w:before="0" w:after="0" w:lineRule="auto" w:line="480"/>
        <w:jc w:val="left"/>
      </w:pPr>
      <w:r>
        <w:rPr>
          <w:rFonts w:ascii="Times New Roman" w:hAnsi="Times New Roman" w:cs="Times New Roman"/>
          <w:b/>
          <w:i/>
          <w:sz w:val="24"/>
        </w:rPr>
        <w:t>Stage 1: Survey-Weighted Logistic Regression (RQ1)</w:t>
      </w:r>
    </w:p>
    <w:p>
      <w:pPr>
        <w:spacing w:before="0" w:after="0" w:lineRule="auto" w:line="480"/>
        <w:ind w:firstLine="720"/>
        <w:jc w:val="left"/>
      </w:pPr>
      <w:r>
        <w:rPr>
          <w:rFonts w:ascii="Times New Roman" w:hAnsi="Times New Roman" w:cs="Times New Roman"/>
          <w:b w:val="0"/>
          <w:i w:val="0"/>
          <w:sz w:val="24"/>
        </w:rPr>
        <w:t>To address RQ1, we estimate survey-weighted logistic regression models predicting volunteering status. Socialization frequency is entered as a categorical predictor to capture nonlinear effects without imposing functional form assumptions. Model 1 includes the socialization × generation interaction with post-COVID as a control. Models 2–4 extend to three-way interactions: socialization × generation × education (Model 2), socialization × generation × employment (Model 3), and socialization × generation × civic social media (Model 4). Model 5 tests the socialization × generation × post-COVID interaction to assess whether the socialization–volunteering relationship changed across the pandemic period.</w:t>
      </w:r>
    </w:p>
    <w:p>
      <w:pPr>
        <w:spacing w:before="0" w:after="0" w:lineRule="auto" w:line="480"/>
        <w:ind w:firstLine="720"/>
        <w:jc w:val="left"/>
      </w:pPr>
      <w:r>
        <w:rPr>
          <w:rFonts w:ascii="Times New Roman" w:hAnsi="Times New Roman" w:cs="Times New Roman"/>
          <w:b w:val="0"/>
          <w:i w:val="0"/>
          <w:sz w:val="24"/>
        </w:rPr>
        <w:t>We report odds ratios and average marginal effects (AMEs) computed via the `marginaleffects` package (Arel-Bundock, 2023). AMEs represent the average change in the predicted probability of volunteering for a one-unit change in the predictor, averaged across the covariate distribution. Wald tests assess the statistical significance of interaction terms.</w:t>
      </w:r>
    </w:p>
    <w:p>
      <w:pPr>
        <w:spacing w:before="0" w:after="0" w:lineRule="auto" w:line="480"/>
        <w:jc w:val="left"/>
      </w:pPr>
      <w:r>
        <w:rPr>
          <w:rFonts w:ascii="Times New Roman" w:hAnsi="Times New Roman" w:cs="Times New Roman"/>
          <w:b/>
          <w:i/>
          <w:sz w:val="24"/>
        </w:rPr>
        <w:t>Stage 2: Latent Profile Analysis (RQ2)</w:t>
      </w:r>
    </w:p>
    <w:p>
      <w:pPr>
        <w:spacing w:before="0" w:after="0" w:lineRule="auto" w:line="480"/>
        <w:ind w:firstLine="720"/>
        <w:jc w:val="left"/>
      </w:pPr>
      <w:r>
        <w:rPr>
          <w:rFonts w:ascii="Times New Roman" w:hAnsi="Times New Roman" w:cs="Times New Roman"/>
          <w:b w:val="0"/>
          <w:i w:val="0"/>
          <w:sz w:val="24"/>
        </w:rPr>
        <w:t>To address RQ2, we employ Latent Profile Analysis (LPA) to identify distinct civic engagement typologies using six standardized indicators (Collins &amp; Lanza, 2010). We evaluate models with 2–7 profiles using the EII parameterization, selecting the optimal number based on BIC, entropy, and BLRT. Given the large sample size, model selection is conducted on a random subsample of 20,000 cases, with the selected model refit to the full sample. Profiles are characterized by indicator means, generational distribution, volunteering rates, and pre/post-COVID stability.</w:t>
      </w:r>
    </w:p>
    <w:p>
      <w:pPr>
        <w:spacing w:before="0" w:after="0" w:lineRule="auto" w:line="480"/>
        <w:jc w:val="left"/>
      </w:pPr>
      <w:r>
        <w:rPr>
          <w:rFonts w:ascii="Times New Roman" w:hAnsi="Times New Roman" w:cs="Times New Roman"/>
          <w:b/>
          <w:i/>
          <w:sz w:val="24"/>
        </w:rPr>
        <w:t>Software</w:t>
      </w:r>
    </w:p>
    <w:p>
      <w:pPr>
        <w:spacing w:before="0" w:after="0" w:lineRule="auto" w:line="480"/>
        <w:ind w:firstLine="720"/>
        <w:jc w:val="left"/>
      </w:pPr>
      <w:r>
        <w:rPr>
          <w:rFonts w:ascii="Times New Roman" w:hAnsi="Times New Roman" w:cs="Times New Roman"/>
          <w:b w:val="0"/>
          <w:i w:val="0"/>
          <w:sz w:val="24"/>
        </w:rPr>
        <w:t>Regression analyses used R with the `survey` (Lumley, 2020) and `marginaleffects` (Arel-Bundock, 2023) packages. LPA used `mclust` (Scrucca et al., 2016).</w:t>
      </w:r>
    </w:p>
    <w:p>
      <w:pPr>
        <w:spacing w:before="0" w:after="0" w:lineRule="auto" w:line="480"/>
        <w:jc w:val="left"/>
      </w:pPr>
      <w:r>
        <w:rPr>
          <w:rFonts w:ascii="Times New Roman" w:hAnsi="Times New Roman" w:cs="Times New Roman"/>
          <w:b/>
          <w:i/>
          <w:sz w:val="24"/>
        </w:rPr>
        <w:t>Robustness Checks</w:t>
      </w:r>
    </w:p>
    <w:p>
      <w:pPr>
        <w:spacing w:before="0" w:after="0" w:lineRule="auto" w:line="480"/>
        <w:ind w:firstLine="720"/>
        <w:jc w:val="left"/>
      </w:pPr>
      <w:r>
        <w:rPr>
          <w:rFonts w:ascii="Times New Roman" w:hAnsi="Times New Roman" w:cs="Times New Roman"/>
          <w:b w:val="0"/>
          <w:i w:val="0"/>
          <w:sz w:val="24"/>
        </w:rPr>
        <w:t>We conducted three robustness analyses to test the sensitivity of the regression findings. To confirm that the First Step Effect reflects a genuine threshold rather than an artifact of scale concavity, we compared the observed categorical AMEs to predictions from a smooth log-linear specification. We also added organizational membership (VLMEMBERN) as a covariate to assess whether the socialization pathway operates through institutional embeddedness. A nonlinear age control (age-squared) was included alongside the generation variable to provide partial leverage against age-cohort confounding.</w:t>
      </w:r>
    </w:p>
    <w:p>
      <w:pPr>
        <w:spacing w:before="0" w:after="0" w:lineRule="auto" w:line="480"/>
        <w:jc w:val="center"/>
      </w:pPr>
      <w:r>
        <w:rPr>
          <w:rFonts w:ascii="Times New Roman" w:hAnsi="Times New Roman" w:cs="Times New Roman"/>
          <w:b/>
          <w:i w:val="0"/>
          <w:sz w:val="24"/>
        </w:rPr>
        <w:t>Results</w:t>
      </w:r>
    </w:p>
    <w:p>
      <w:pPr>
        <w:spacing w:before="0" w:after="0" w:lineRule="auto" w:line="480"/>
        <w:ind w:firstLine="720"/>
        <w:jc w:val="left"/>
      </w:pPr>
      <w:r>
        <w:rPr>
          <w:rFonts w:ascii="Times New Roman" w:hAnsi="Times New Roman" w:cs="Times New Roman"/>
          <w:b w:val="0"/>
          <w:i w:val="0"/>
          <w:sz w:val="24"/>
        </w:rPr>
        <w:t>Pooled across four CPS-CEV waves (2017, 2019, 2021, 2023), the analytic sample comprised 201,168 respondents with an overall volunteering rate of 32.0%. Table 1 reports sample characteristics. Gen Z respondents (</w:t>
      </w:r>
      <w:r>
        <w:rPr>
          <w:rFonts w:ascii="Times New Roman" w:hAnsi="Times New Roman" w:cs="Times New Roman"/>
          <w:b w:val="0"/>
          <w:i/>
          <w:sz w:val="24"/>
        </w:rPr>
        <w:t>n</w:t>
      </w:r>
      <w:r>
        <w:rPr>
          <w:rFonts w:ascii="Times New Roman" w:hAnsi="Times New Roman" w:cs="Times New Roman"/>
          <w:b w:val="0"/>
          <w:i w:val="0"/>
          <w:sz w:val="24"/>
        </w:rPr>
        <w:t xml:space="preserve"> = 11,038) were youngest (M = 21.1 years), least educated (14.3% BA+), and least married (9.6%). The socialization gradient was steep: nearly half of Gen Z respondents (46.3%) reported socializing no more than a few times per year, compared with 19.0% of Boomers, a rate that was stable across all four waves (range: 44.6–47.8%), indicating that Gen Z's social disconnection preceded the COVID-19 pandemic and was independent of it. The generational contrast is worth spelling out: nearly half of the youngest adult cohort in a nationally representative sample reports that their face-to-face social contact amounts to no more than a few encounters per year, a level of isolation that, for older generations, characterizes fewer than one in five respondents.</w:t>
      </w:r>
    </w:p>
    <w:p>
      <w:pPr>
        <w:spacing w:before="240" w:after="0" w:lineRule="auto" w:line="480"/>
        <w:jc w:val="left"/>
      </w:pPr>
      <w:r>
        <w:rPr>
          <w:rFonts w:ascii="Times New Roman" w:hAnsi="Times New Roman" w:cs="Times New Roman"/>
          <w:b/>
          <w:i/>
          <w:sz w:val="24"/>
        </w:rPr>
        <w:t>Table 1</w:t>
      </w:r>
    </w:p>
    <w:p>
      <w:pPr>
        <w:spacing w:before="0" w:after="80" w:lineRule="auto" w:line="480"/>
        <w:jc w:val="left"/>
      </w:pPr>
      <w:r>
        <w:rPr>
          <w:rFonts w:ascii="Times New Roman" w:hAnsi="Times New Roman" w:cs="Times New Roman"/>
          <w:b w:val="0"/>
          <w:i/>
          <w:sz w:val="24"/>
        </w:rPr>
        <w:t>Sample Characteristics by Generational Cohort (CPS-CEV 2017–2023, N = 201,168)</w:t>
      </w:r>
    </w:p>
    <w:tbl>
      <w:tblPr>
        <w:tblW w:type="pct" w:w="5000"/>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170"/>
        <w:gridCol w:w="1170"/>
        <w:gridCol w:w="1170"/>
        <w:gridCol w:w="1170"/>
        <w:gridCol w:w="1170"/>
        <w:gridCol w:w="1170"/>
        <w:gridCol w:w="1170"/>
        <w:gridCol w:w="1170"/>
      </w:tblGrid>
      <w:tr>
        <w:tc>
          <w:tcPr>
            <w:tcW w:type="dxa" w:w="1170"/>
            <w:tcBorders>
              <w:top w:val="single" w:sz="8" w:space="0" w:color="000000"/>
              <w:bottom w:val="single" w:sz="8" w:space="0" w:color="000000"/>
              <w:left w:val="none" w:sz="0" w:space="0" w:color="000000"/>
              <w:right w:val="none" w:sz="0" w:space="0" w:color="000000"/>
            </w:tcBorders>
          </w:tcPr>
          <w:p>
            <w:pPr>
              <w:spacing w:before="40" w:after="40" w:lineRule="auto" w:line="240"/>
              <w:jc w:val="left"/>
            </w:pPr>
            <w:r/>
            <w:r>
              <w:rPr>
                <w:rFonts w:ascii="Times New Roman" w:hAnsi="Times New Roman" w:cs="Times New Roman"/>
                <w:b/>
                <w:i w:val="0"/>
                <w:sz w:val="20"/>
              </w:rPr>
              <w:t>Variable</w:t>
            </w:r>
          </w:p>
        </w:tc>
        <w:tc>
          <w:tcPr>
            <w:tcW w:type="dxa" w:w="117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Total</w:t>
            </w:r>
          </w:p>
        </w:tc>
        <w:tc>
          <w:tcPr>
            <w:tcW w:type="dxa" w:w="117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Gen Z</w:t>
            </w:r>
          </w:p>
        </w:tc>
        <w:tc>
          <w:tcPr>
            <w:tcW w:type="dxa" w:w="117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Millennial</w:t>
            </w:r>
          </w:p>
        </w:tc>
        <w:tc>
          <w:tcPr>
            <w:tcW w:type="dxa" w:w="117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Gen X</w:t>
            </w:r>
          </w:p>
        </w:tc>
        <w:tc>
          <w:tcPr>
            <w:tcW w:type="dxa" w:w="117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Boomer</w:t>
            </w:r>
          </w:p>
        </w:tc>
        <w:tc>
          <w:tcPr>
            <w:tcW w:type="dxa" w:w="117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Silent</w:t>
            </w:r>
          </w:p>
        </w:tc>
        <w:tc>
          <w:tcPr>
            <w:tcW w:type="dxa" w:w="117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Test</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N (unweighted)</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201,168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11,038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50,325</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48,042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68,065</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23,698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Age, M (SD)</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47.9 (18.2)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21.0 (2.3)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31.5 (5.1)</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47.5 (5.2)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64.2 (5.8)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79.6 (3.8)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F(4, 117406) = 665381.3***</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Female,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106,788 (51.6)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5,507 (49.4)</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26,317 (50.2)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24,942 (51.0)</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36,496 (52.4)</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13,526 (57.2)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F(3, 374115) = 60.6***</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Race/ethnicity</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F(15, 1728276) = 212.6***</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White NH,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144,946 (62.6)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6,416 (51.6)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32,592 (55.2)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32,739 (60.0)</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53,428 (71.3)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19,771 (78.5)</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Black NH,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18,583 (11.8)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1,212 (13.6)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4,791 (13.3)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4,685 (11.9)</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6,208 (10.8)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1,687 (8.0)</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Hispanic,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22,817 (16.8)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2,315 (24.2)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7,964 (21.0)</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6,586 (18.9)</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4,757 (11.0)</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1,195 (8.1)</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Asian NH,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9,619 (6.2)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601 (6.2)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3,286 (7.2)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2,697 (6.9)</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2,343 (5.0)</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692 (4.1)</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Other,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5,203 (2.6)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494 (4.4)</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1,692 (3.3)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1,335 (2.3)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1,329 (1.8)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353 (1.3)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Education BA+,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73,097 (34.6)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1,582 (13.3)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21,876 (40.8)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19,530 (39.3)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23,245 (33.4)</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6,864 (28.2)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F(4, 422182) = 766.5***</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Employed,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118,676 (62.1)</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6,984 (60.4)</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41,119 (80.8)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38,611 (79.7)</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30,015 (45.0)</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1,947 (7.6)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F(4, 419255) = 6474.1***</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Married,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110,475 (52.2)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1,061 (7.4)</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25,060 (46.6)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30,300 (64.7)</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42,339 (62.8)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11,715 (49.3)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F(4, 433364) = 2793.5***</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Metropolitan,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158,531 (86.3)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8,810 (86.5)</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41,467 (88.7)</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38,649 (87.3)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51,816 (83.9)</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17,789 (82.8)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F(4, 424107) = 114.5***</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Family income ($), M (SD)</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97,683 (60,836)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92,704 (61,417)</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100,659 (59,981)</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111,025 (60,894)</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93,007 (60,040)</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69,646 (53,038)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F(4, 117406) = 1238.7***</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Socialization freq., M (SD)</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 (1.7)</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2.5 (1.7)</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2.9 (1.7)</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 (1.7)</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3.5 (1.7)</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3.7 (1.8)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F(4, 116828) = 1031.8***</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Minimal socialization,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74,735 (41.0)</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6,542 (60.3)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22,800 (48.3)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17,487 (38.1)</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20,852 (32.6)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7,054 (32.1)</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F(4, 431620) = 883.1***</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Civic social media use,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25,456 (12.8)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1,794 (16.4)</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7,375 (14.6)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6,418 (12.7)</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8,026 (11.5)</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1,843 (7.6)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F(4, 415137) = 127.5***</w:t>
            </w:r>
          </w:p>
        </w:tc>
      </w:tr>
      <w:tr>
        <w:tc>
          <w:tcPr>
            <w:tcW w:type="dxa" w:w="1170"/>
            <w:tcBorders>
              <w:top w:val="none" w:sz="0" w:space="0" w:color="000000"/>
              <w:bottom w:val="single" w:sz="8"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Volunteered, n (%)</w:t>
            </w:r>
          </w:p>
        </w:tc>
        <w:tc>
          <w:tcPr>
            <w:tcW w:type="dxa" w:w="117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64,366 (29.4)</w:t>
            </w:r>
          </w:p>
        </w:tc>
        <w:tc>
          <w:tcPr>
            <w:tcW w:type="dxa" w:w="117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2,634 (23.4)</w:t>
            </w:r>
          </w:p>
        </w:tc>
        <w:tc>
          <w:tcPr>
            <w:tcW w:type="dxa" w:w="117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16,010 (28.3)</w:t>
            </w:r>
          </w:p>
        </w:tc>
        <w:tc>
          <w:tcPr>
            <w:tcW w:type="dxa" w:w="117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17,656 (34.5)</w:t>
            </w:r>
          </w:p>
        </w:tc>
        <w:tc>
          <w:tcPr>
            <w:tcW w:type="dxa" w:w="117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21,929 (29.7)</w:t>
            </w:r>
          </w:p>
        </w:tc>
        <w:tc>
          <w:tcPr>
            <w:tcW w:type="dxa" w:w="117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6,137 (24.0)</w:t>
            </w:r>
          </w:p>
        </w:tc>
        <w:tc>
          <w:tcPr>
            <w:tcW w:type="dxa" w:w="117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F(4, 424814) = 175.5***</w:t>
            </w:r>
          </w:p>
        </w:tc>
      </w:tr>
    </w:tbl>
    <w:p>
      <w:pPr>
        <w:spacing w:before="40" w:after="0" w:lineRule="auto" w:line="480"/>
        <w:jc w:val="left"/>
      </w:pPr>
      <w:r>
        <w:rPr>
          <w:rFonts w:ascii="Times New Roman" w:hAnsi="Times New Roman" w:cs="Times New Roman"/>
          <w:b w:val="0"/>
          <w:i/>
          <w:sz w:val="20"/>
        </w:rPr>
        <w:t xml:space="preserve">Note. </w:t>
      </w:r>
      <w:r>
        <w:rPr>
          <w:rFonts w:ascii="Times New Roman" w:hAnsi="Times New Roman" w:cs="Times New Roman"/>
          <w:b w:val="0"/>
          <w:i w:val="0"/>
          <w:sz w:val="20"/>
        </w:rPr>
        <w:t>Survey-weighted estimates. Minimal socialization = reported socializing not at all or a few times per year. Civic SM = used social media for civic or political purposes. Test statistics are design-corrected F-tests.</w:t>
      </w:r>
    </w:p>
    <w:p>
      <w:pPr>
        <w:spacing w:before="40" w:after="0" w:lineRule="auto" w:line="480"/>
        <w:jc w:val="left"/>
      </w:pPr>
      <w:r>
        <w:rPr>
          <w:rFonts w:ascii="Times New Roman" w:hAnsi="Times New Roman" w:cs="Times New Roman"/>
          <w:b w:val="0"/>
          <w:i w:val="0"/>
          <w:sz w:val="20"/>
        </w:rPr>
        <w:t>*p &lt; .05. **p &lt; .01. ***p &lt; .001.</w:t>
      </w:r>
    </w:p>
    <w:p>
      <w:pPr>
        <w:spacing w:before="80" w:after="240" w:lineRule="auto" w:line="480"/>
      </w:pPr>
    </w:p>
    <w:p>
      <w:pPr>
        <w:spacing w:before="240" w:after="0" w:lineRule="auto" w:line="480"/>
        <w:jc w:val="left"/>
      </w:pPr>
      <w:r>
        <w:rPr>
          <w:rFonts w:ascii="Times New Roman" w:hAnsi="Times New Roman" w:cs="Times New Roman"/>
          <w:b/>
          <w:i/>
          <w:sz w:val="24"/>
        </w:rPr>
        <w:t>Table 6</w:t>
      </w:r>
    </w:p>
    <w:p>
      <w:pPr>
        <w:spacing w:before="0" w:after="80" w:lineRule="auto" w:line="480"/>
        <w:jc w:val="left"/>
      </w:pPr>
      <w:r>
        <w:rPr>
          <w:rFonts w:ascii="Times New Roman" w:hAnsi="Times New Roman" w:cs="Times New Roman"/>
          <w:b w:val="0"/>
          <w:i/>
          <w:sz w:val="24"/>
        </w:rPr>
        <w:t>Volunteering and Minimal Socialization Rates by Generation and Survey Wave (Survey-Weighted Estimates)</w:t>
      </w:r>
    </w:p>
    <w:tbl>
      <w:tblPr>
        <w:tblW w:type="pct" w:w="5000"/>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040"/>
        <w:gridCol w:w="1040"/>
        <w:gridCol w:w="1040"/>
        <w:gridCol w:w="1040"/>
        <w:gridCol w:w="1040"/>
        <w:gridCol w:w="1040"/>
        <w:gridCol w:w="1040"/>
        <w:gridCol w:w="1040"/>
        <w:gridCol w:w="1040"/>
      </w:tblGrid>
      <w:tr>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left"/>
            </w:pPr>
            <w:r/>
            <w:r>
              <w:rPr>
                <w:rFonts w:ascii="Times New Roman" w:hAnsi="Times New Roman" w:cs="Times New Roman"/>
                <w:b/>
                <w:i w:val="0"/>
                <w:sz w:val="20"/>
              </w:rPr>
              <w:t>generation</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wave</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vol_pct</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vol_se</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nosoc_pct</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nosoc_se</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lowsoc_pct</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lowsoc_se</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n</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 Z</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25.7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44.6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56.6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1839</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Millennial</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46.6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14323</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 X</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38.1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21.7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34.1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15075</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Boomer</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18</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29.3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20397</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Silent</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26.1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17.6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28</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8103</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 Z</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27.1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47.5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60.2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2400</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Millennial</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29.3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36.2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13072</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 X</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36.9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26.1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39.4</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12552</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Boomer</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31.9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21.1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33.2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17597</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Silent</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26.7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21.6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6607</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 Z</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2021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19.2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47.8</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62.4</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2859</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Millennial</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2021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23.5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35.3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50.1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11483</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 X</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2021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28.9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27.1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40.9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10293</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Boomer</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2021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25.3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22.9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35.3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14901</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Silent</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2021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19.2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23.6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35.6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4903</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 Z</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2023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23.7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47.8</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3940</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Millennial</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2023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31.1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31.7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45.9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11447</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 X</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2023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33.9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24.5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37.9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10122</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Boomer</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2023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15170</w:t>
            </w:r>
          </w:p>
        </w:tc>
      </w:tr>
      <w:tr>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Silent</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2023</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22.7</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24.9</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34.9</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4085</w:t>
            </w:r>
          </w:p>
        </w:tc>
      </w:tr>
    </w:tbl>
    <w:p>
      <w:pPr>
        <w:spacing w:before="40" w:after="0" w:lineRule="auto" w:line="480"/>
        <w:jc w:val="left"/>
      </w:pPr>
      <w:r>
        <w:rPr>
          <w:rFonts w:ascii="Times New Roman" w:hAnsi="Times New Roman" w:cs="Times New Roman"/>
          <w:b w:val="0"/>
          <w:i/>
          <w:sz w:val="20"/>
        </w:rPr>
        <w:t xml:space="preserve">Note. </w:t>
      </w:r>
      <w:r>
        <w:rPr>
          <w:rFonts w:ascii="Times New Roman" w:hAnsi="Times New Roman" w:cs="Times New Roman"/>
          <w:b w:val="0"/>
          <w:i w:val="0"/>
          <w:sz w:val="20"/>
        </w:rPr>
        <w:t>Survey-weighted estimates. Vol. = volunteering rate (%). No Soc. = reported socializing not at all (%). Low Soc. = reported socializing a few times per year or less (%). SE in parentheses. The 2021 wave was administered during the COVID-19 pandemic.</w:t>
      </w:r>
    </w:p>
    <w:p>
      <w:pPr>
        <w:spacing w:before="80" w:after="240" w:lineRule="auto" w:line="480"/>
      </w:pPr>
    </w:p>
    <w:p>
      <w:pPr>
        <w:spacing w:before="0" w:after="0" w:lineRule="auto" w:line="480"/>
        <w:jc w:val="left"/>
      </w:pPr>
      <w:r>
        <w:rPr>
          <w:rFonts w:ascii="Times New Roman" w:hAnsi="Times New Roman" w:cs="Times New Roman"/>
          <w:b/>
          <w:i w:val="0"/>
          <w:sz w:val="24"/>
        </w:rPr>
        <w:t>The First Step Effect</w:t>
      </w:r>
    </w:p>
    <w:p>
      <w:pPr>
        <w:spacing w:before="0" w:after="0" w:lineRule="auto" w:line="480"/>
        <w:ind w:firstLine="720"/>
        <w:jc w:val="left"/>
      </w:pPr>
      <w:r>
        <w:rPr>
          <w:rFonts w:ascii="Times New Roman" w:hAnsi="Times New Roman" w:cs="Times New Roman"/>
          <w:b w:val="0"/>
          <w:i w:val="0"/>
          <w:sz w:val="24"/>
        </w:rPr>
        <w:t xml:space="preserve">Survey-weighted logistic regression confirmed that the socialization–volunteering relationship varies across generations (socialization × generation interaction: Wald F = 5.00, df = 20, </w:t>
      </w:r>
      <w:r>
        <w:rPr>
          <w:rFonts w:ascii="Times New Roman" w:hAnsi="Times New Roman" w:cs="Times New Roman"/>
          <w:b w:val="0"/>
          <w:i/>
          <w:sz w:val="24"/>
        </w:rPr>
        <w:t>p</w:t>
      </w:r>
      <w:r>
        <w:rPr>
          <w:rFonts w:ascii="Times New Roman" w:hAnsi="Times New Roman" w:cs="Times New Roman"/>
          <w:b w:val="0"/>
          <w:i w:val="0"/>
          <w:sz w:val="24"/>
        </w:rPr>
        <w:t xml:space="preserve"> &lt; .001; Table 2). Figure 2 displays the predicted probabilities. Two patterns stand out.</w:t>
      </w:r>
    </w:p>
    <w:p>
      <w:pPr>
        <w:spacing w:before="240" w:after="0" w:lineRule="auto" w:line="480"/>
        <w:jc w:val="left"/>
      </w:pPr>
      <w:r>
        <w:rPr>
          <w:rFonts w:ascii="Times New Roman" w:hAnsi="Times New Roman" w:cs="Times New Roman"/>
          <w:b/>
          <w:i/>
          <w:sz w:val="24"/>
        </w:rPr>
        <w:t>Table 2</w:t>
      </w:r>
    </w:p>
    <w:p>
      <w:pPr>
        <w:spacing w:before="0" w:after="80" w:lineRule="auto" w:line="480"/>
        <w:jc w:val="left"/>
      </w:pPr>
      <w:r>
        <w:rPr>
          <w:rFonts w:ascii="Times New Roman" w:hAnsi="Times New Roman" w:cs="Times New Roman"/>
          <w:b w:val="0"/>
          <w:i/>
          <w:sz w:val="24"/>
        </w:rPr>
        <w:t>Survey-Weighted Logistic Regression Predicting Volunteering (Model 1: Socialization × Generation Interaction)</w:t>
      </w:r>
    </w:p>
    <w:tbl>
      <w:tblPr>
        <w:tblW w:type="pct" w:w="5000"/>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340"/>
        <w:gridCol w:w="2340"/>
        <w:gridCol w:w="2340"/>
        <w:gridCol w:w="2340"/>
      </w:tblGrid>
      <w:tr>
        <w:tc>
          <w:tcPr>
            <w:tcW w:type="dxa" w:w="2340"/>
            <w:tcBorders>
              <w:top w:val="single" w:sz="8" w:space="0" w:color="000000"/>
              <w:bottom w:val="single" w:sz="8" w:space="0" w:color="000000"/>
              <w:left w:val="none" w:sz="0" w:space="0" w:color="000000"/>
              <w:right w:val="none" w:sz="0" w:space="0" w:color="000000"/>
            </w:tcBorders>
          </w:tcPr>
          <w:p>
            <w:pPr>
              <w:spacing w:before="40" w:after="40" w:lineRule="auto" w:line="240"/>
              <w:jc w:val="left"/>
            </w:pPr>
            <w:r/>
            <w:r>
              <w:rPr>
                <w:rFonts w:ascii="Times New Roman" w:hAnsi="Times New Roman" w:cs="Times New Roman"/>
                <w:b/>
                <w:i w:val="0"/>
                <w:sz w:val="20"/>
              </w:rPr>
              <w:t>Variable</w:t>
            </w:r>
          </w:p>
        </w:tc>
        <w:tc>
          <w:tcPr>
            <w:tcW w:type="dxa" w:w="23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OR</w:t>
            </w:r>
          </w:p>
        </w:tc>
        <w:tc>
          <w:tcPr>
            <w:tcW w:type="dxa" w:w="23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95% CI</w:t>
            </w:r>
          </w:p>
        </w:tc>
        <w:tc>
          <w:tcPr>
            <w:tcW w:type="dxa" w:w="23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p</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Main Effects</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Socialization: Few times/yr (ref: Not at all)</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1.684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[1.401, 2.025]</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Socialization: Once/mo</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2.449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[2.000, 2.998]</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Socialization: Few times/mo</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2.499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[2.091, 2.986]</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Socialization: Few times/wk</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2.488</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[2.081, 2.976]</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Socialization: Daily</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2.744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[2.176, 3.460]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Generation: Millennial (ref: Gen Z)</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0.738</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[0.659, 0.826]</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Generation: Gen X</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0.750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[0.656, 0.857]</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Generation: Boomer</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0.533</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[0.453, 0.627]</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Generation: Silent</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0.421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[0.338, 0.525]</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Age</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1.000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[0.998, 1.003]</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0.786</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Female</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1.468</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[1.434, 1.502]</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Race: Black NH (ref: Asian NH)</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1.861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[1.709, 2.027]</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Race: Hispanic</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1.189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[1.096, 1.291]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Race: Other</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2.084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[1.862, 2.332]</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Race: White NH</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2.110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[1.967, 2.264]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Education: BA+</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2.273</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[2.208, 2.340]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Employed</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1.172</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[1.133, 1.212]</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Married</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1.331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[1.292, 1.371]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Family income (log)</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1.240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[1.215, 1.266]</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Metropolitan</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0.929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[0.894, 0.964]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Region: Northeast (ref: Midwest)</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0.778</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[0.743, 0.815]</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Region: South</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0.819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[0.789, 0.851]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Region: West</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0.902</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[0.866, 0.940]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Post-COVID period</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0.759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[0.736, 0.782]</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Socialization x Generation Interactions</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times/yr x Millennial</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0.947</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[0.774, 1.159]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0.600</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Once/mo x Millennial</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0.810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[0.650, 1.010]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0.061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times/mo x Millennial</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0.861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[0.710, 1.045]</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0.130</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times/wk x Millennial</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1.049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[0.864, 1.274]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0.628</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Daily x Millennial</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1.101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[0.854, 1.420]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0.456</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times/yr x Gen X</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1.052</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[0.857, 1.291]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0.630</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Once/mo x Gen X</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0.917</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[0.734, 1.145]</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0.445</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times/mo x Gen X</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1.009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[0.831, 1.224]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0.929</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times/wk x Gen X</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1.335</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[1.100, 1.620]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0.003</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Daily x Gen X</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1.197</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[0.932, 1.539]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0.160</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times/yr x Boomer</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1.075</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[0.875, 1.319]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0.491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Once/mo x Boomer</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1.032</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[0.827, 1.288]</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0.780</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times/mo x Boomer</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1.167</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[0.961, 1.416]</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0.119</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times/wk x Boomer</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1.509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[1.243, 1.831]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Daily x Boomer</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1.603</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[1.251, 2.055]</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times/yr x Silent</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1.106</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[0.860, 1.424]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0.433</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Once/mo x Silent</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1.011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[0.773, 1.321]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0.937</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times/mo x Silent</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1.158</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[0.921, 1.456]</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0.209</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times/wk x Silent</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1.666</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[1.332, 2.084]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Daily x Silent</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1.594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[1.213, 2.095]</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Interaction Wald Tests</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df</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p</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Model 1: Soc x Generation</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5.00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(20, 116788)</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Model 2: Soc x Gen x Education</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1.90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(20, 116759)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0.009</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Model 3: Soc x Gen x Employment</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1.55</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(20, 116759)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0.056</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Model 4: Soc x Gen x Civic SM</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(20, 116758)</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0.969</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Model 5: Soc x Gen x Post-COVID</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1.03</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(20, 116759)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0.420</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Model Fit</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McFadden pseudo R² = 0.1144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2340"/>
            <w:tcBorders>
              <w:top w:val="none" w:sz="0" w:space="0" w:color="000000"/>
              <w:bottom w:val="single" w:sz="8"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N = 201,168</w:t>
            </w:r>
          </w:p>
        </w:tc>
        <w:tc>
          <w:tcPr>
            <w:tcW w:type="dxa" w:w="23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bl>
    <w:p>
      <w:pPr>
        <w:spacing w:before="40" w:after="0" w:lineRule="auto" w:line="480"/>
        <w:jc w:val="left"/>
      </w:pPr>
      <w:r>
        <w:rPr>
          <w:rFonts w:ascii="Times New Roman" w:hAnsi="Times New Roman" w:cs="Times New Roman"/>
          <w:b w:val="0"/>
          <w:i/>
          <w:sz w:val="20"/>
        </w:rPr>
        <w:t xml:space="preserve">Note. </w:t>
      </w:r>
      <w:r>
        <w:rPr>
          <w:rFonts w:ascii="Times New Roman" w:hAnsi="Times New Roman" w:cs="Times New Roman"/>
          <w:b w:val="0"/>
          <w:i w:val="0"/>
          <w:sz w:val="20"/>
        </w:rPr>
        <w:t>OR = odds ratio. CI = confidence interval. Survey-weighted logistic regression (quasibinomial). All models control for age, sex, race/ethnicity, education (BA+), employment, marital status, family income (log), metropolitan status, region, and post-COVID period. Interaction Wald tests use design-corrected F-statistics. McFadden pseudo R² computed as 1 − (deviance / null deviance).</w:t>
      </w:r>
    </w:p>
    <w:p>
      <w:pPr>
        <w:spacing w:before="40" w:after="0" w:lineRule="auto" w:line="480"/>
        <w:jc w:val="left"/>
      </w:pPr>
      <w:r>
        <w:rPr>
          <w:rFonts w:ascii="Times New Roman" w:hAnsi="Times New Roman" w:cs="Times New Roman"/>
          <w:b w:val="0"/>
          <w:i w:val="0"/>
          <w:sz w:val="20"/>
        </w:rPr>
        <w:t>*p &lt; .05. **p &lt; .01. ***p &lt; .001.</w:t>
      </w:r>
    </w:p>
    <w:p>
      <w:pPr>
        <w:spacing w:before="80" w:after="240" w:lineRule="auto" w:line="480"/>
      </w:pPr>
    </w:p>
    <w:p>
      <w:pPr>
        <w:spacing w:before="120" w:after="0" w:lineRule="auto" w:line="240"/>
      </w:pPr>
    </w:p>
    <w:p>
      <w:pPr>
        <w:spacing w:before="0" w:after="80" w:lineRule="auto" w:line="240"/>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fig1_pred_prob.png"/>
                    <pic:cNvPicPr/>
                  </pic:nvPicPr>
                  <pic:blipFill>
                    <a:blip r:embed="rId10"/>
                    <a:stretch>
                      <a:fillRect/>
                    </a:stretch>
                  </pic:blipFill>
                  <pic:spPr>
                    <a:xfrm>
                      <a:off x="0" y="0"/>
                      <a:ext cx="5029200" cy="3017520"/>
                    </a:xfrm>
                    <a:prstGeom prst="rect"/>
                  </pic:spPr>
                </pic:pic>
              </a:graphicData>
            </a:graphic>
          </wp:inline>
        </w:drawing>
      </w:r>
    </w:p>
    <w:p>
      <w:pPr>
        <w:spacing w:before="80" w:after="240" w:lineRule="auto" w:line="480"/>
        <w:jc w:val="left"/>
      </w:pPr>
      <w:r>
        <w:rPr>
          <w:rFonts w:ascii="Times New Roman" w:hAnsi="Times New Roman" w:cs="Times New Roman"/>
          <w:b w:val="0"/>
          <w:i/>
          <w:sz w:val="24"/>
        </w:rPr>
        <w:t xml:space="preserve">Figure 2. </w:t>
      </w:r>
      <w:r>
        <w:rPr>
          <w:rFonts w:ascii="Times New Roman" w:hAnsi="Times New Roman" w:cs="Times New Roman"/>
          <w:b w:val="0"/>
          <w:i w:val="0"/>
          <w:sz w:val="24"/>
        </w:rPr>
        <w:t>Predicted probability of volunteering by in-person socialization frequency and generation, from survey-weighted logistic regression (Model 1). The steep initial rise illustrates the First Step Effect; Gen Z's flattening beyond moderate socialization illustrates the generational plateau. Shaded bands represent 95% confidence intervals.</w:t>
      </w:r>
    </w:p>
    <w:p>
      <w:pPr>
        <w:spacing w:before="120" w:after="0" w:lineRule="auto" w:line="240"/>
      </w:pPr>
    </w:p>
    <w:p>
      <w:pPr>
        <w:spacing w:before="0" w:after="80" w:lineRule="auto" w:line="240"/>
        <w:jc w:val="center"/>
      </w:pPr>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fig4_ame_first_step.png"/>
                    <pic:cNvPicPr/>
                  </pic:nvPicPr>
                  <pic:blipFill>
                    <a:blip r:embed="rId11"/>
                    <a:stretch>
                      <a:fillRect/>
                    </a:stretch>
                  </pic:blipFill>
                  <pic:spPr>
                    <a:xfrm>
                      <a:off x="0" y="0"/>
                      <a:ext cx="5029200" cy="2514600"/>
                    </a:xfrm>
                    <a:prstGeom prst="rect"/>
                  </pic:spPr>
                </pic:pic>
              </a:graphicData>
            </a:graphic>
          </wp:inline>
        </w:drawing>
      </w:r>
    </w:p>
    <w:p>
      <w:pPr>
        <w:spacing w:before="80" w:after="240" w:lineRule="auto" w:line="480"/>
        <w:jc w:val="left"/>
      </w:pPr>
      <w:r>
        <w:rPr>
          <w:rFonts w:ascii="Times New Roman" w:hAnsi="Times New Roman" w:cs="Times New Roman"/>
          <w:b w:val="0"/>
          <w:i/>
          <w:sz w:val="24"/>
        </w:rPr>
        <w:t xml:space="preserve">Figure 3. </w:t>
      </w:r>
      <w:r>
        <w:rPr>
          <w:rFonts w:ascii="Times New Roman" w:hAnsi="Times New Roman" w:cs="Times New Roman"/>
          <w:b w:val="0"/>
          <w:i w:val="0"/>
          <w:sz w:val="24"/>
        </w:rPr>
        <w:t>The First Step Effect: Average Marginal Effect of transitioning from no socialization to minimal socialization (few times per year) on volunteering probability, by generation. The effect is universal across all five cohorts (7.3 to 10.3 percentage points). Error bars represent 95% confidence intervals.</w:t>
      </w:r>
    </w:p>
    <w:p>
      <w:pPr>
        <w:spacing w:before="0" w:after="0" w:lineRule="auto" w:line="480"/>
        <w:ind w:firstLine="720"/>
        <w:jc w:val="left"/>
      </w:pPr>
      <w:r>
        <w:rPr>
          <w:rFonts w:ascii="Times New Roman" w:hAnsi="Times New Roman" w:cs="Times New Roman"/>
          <w:b w:val="0"/>
          <w:i w:val="0"/>
          <w:sz w:val="24"/>
        </w:rPr>
        <w:t>A universal threshold emerged. For every generation, the transition from no socialization to minimal socialization (a few times per year) was associated with the single largest marginal gain in volunteering probability (Table 3). This "First Step" effect ranged from 7.3 percentage points for the Silent Generation to 10.3 points for Gen X, with Gen Z at 8.1 points (95% CI [5.0, 11.2]), comparable in magnitude to the education gradient (BA+ vs. no BA). Subsequent transitions yielded progressively smaller gains, following a concave dose–response pattern: the move from isolation to minimal contact is worth roughly as much, in volunteering probability terms, as the next three transitions combined. Across all cohorts, breaking out of complete social isolation was associated with the largest marginal civic return. Robustness analyses confirmed that this threshold is genuine: the observed categorical AMEs exceeded smooth log-linear predictions by 2.4 to 4.7 percentage points across all generations, with the excess largest for Gen Z (4.7 pp). When organizational membership was added as a covariate, the First Step Effect was attenuated by approximately 30%, indicating that part of the socialization pathway operates through institutional embeddedness, but a substantial independent association remained.</w:t>
      </w:r>
    </w:p>
    <w:p>
      <w:pPr>
        <w:spacing w:before="240" w:after="0" w:lineRule="auto" w:line="480"/>
        <w:jc w:val="left"/>
      </w:pPr>
      <w:r>
        <w:rPr>
          <w:rFonts w:ascii="Times New Roman" w:hAnsi="Times New Roman" w:cs="Times New Roman"/>
          <w:b/>
          <w:i/>
          <w:sz w:val="24"/>
        </w:rPr>
        <w:t>Table 3</w:t>
      </w:r>
    </w:p>
    <w:p>
      <w:pPr>
        <w:spacing w:before="0" w:after="80" w:lineRule="auto" w:line="480"/>
        <w:jc w:val="left"/>
      </w:pPr>
      <w:r>
        <w:rPr>
          <w:rFonts w:ascii="Times New Roman" w:hAnsi="Times New Roman" w:cs="Times New Roman"/>
          <w:b w:val="0"/>
          <w:i/>
          <w:sz w:val="24"/>
        </w:rPr>
        <w:t>First Step Effect: Average Marginal Effects for the Transition From No Socialization to Minimal Socialization, by Generation</w:t>
      </w:r>
    </w:p>
    <w:tbl>
      <w:tblPr>
        <w:tblW w:type="pct" w:w="5000"/>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872"/>
        <w:gridCol w:w="1872"/>
        <w:gridCol w:w="1872"/>
        <w:gridCol w:w="1872"/>
        <w:gridCol w:w="1872"/>
      </w:tblGrid>
      <w:tr>
        <w:tc>
          <w:tcPr>
            <w:tcW w:type="dxa" w:w="1872"/>
            <w:tcBorders>
              <w:top w:val="single" w:sz="8" w:space="0" w:color="000000"/>
              <w:bottom w:val="single" w:sz="8" w:space="0" w:color="000000"/>
              <w:left w:val="none" w:sz="0" w:space="0" w:color="000000"/>
              <w:right w:val="none" w:sz="0" w:space="0" w:color="000000"/>
            </w:tcBorders>
          </w:tcPr>
          <w:p>
            <w:pPr>
              <w:spacing w:before="40" w:after="40" w:lineRule="auto" w:line="240"/>
              <w:jc w:val="left"/>
            </w:pPr>
            <w:r/>
            <w:r>
              <w:rPr>
                <w:rFonts w:ascii="Times New Roman" w:hAnsi="Times New Roman" w:cs="Times New Roman"/>
                <w:b/>
                <w:i w:val="0"/>
                <w:sz w:val="20"/>
              </w:rPr>
              <w:t>Generation</w:t>
            </w:r>
          </w:p>
        </w:tc>
        <w:tc>
          <w:tcPr>
            <w:tcW w:type="dxa" w:w="1872"/>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AME (pp)</w:t>
            </w:r>
          </w:p>
        </w:tc>
        <w:tc>
          <w:tcPr>
            <w:tcW w:type="dxa" w:w="1872"/>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SE</w:t>
            </w:r>
          </w:p>
        </w:tc>
        <w:tc>
          <w:tcPr>
            <w:tcW w:type="dxa" w:w="1872"/>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95% CI</w:t>
            </w:r>
          </w:p>
        </w:tc>
        <w:tc>
          <w:tcPr>
            <w:tcW w:type="dxa" w:w="1872"/>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p</w:t>
            </w:r>
          </w:p>
        </w:tc>
      </w:tr>
      <w:tr>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Total (pooled)</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8.7</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0.40</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[7.9, 9.5]</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 Z</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8.1</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1.57</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[5.0, 11.2]</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Millennial</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8.0</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0.76</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[6.5, 9.5]</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 X</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10.3</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0.85</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[8.6, 12.0]</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Boomer</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8.8</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0.69</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[7.4, 10.1]</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1872"/>
            <w:tcBorders>
              <w:top w:val="none" w:sz="0" w:space="0" w:color="000000"/>
              <w:bottom w:val="single" w:sz="8"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Silent</w:t>
            </w:r>
          </w:p>
        </w:tc>
        <w:tc>
          <w:tcPr>
            <w:tcW w:type="dxa" w:w="1872"/>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7.3</w:t>
            </w:r>
          </w:p>
        </w:tc>
        <w:tc>
          <w:tcPr>
            <w:tcW w:type="dxa" w:w="1872"/>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1.08</w:t>
            </w:r>
          </w:p>
        </w:tc>
        <w:tc>
          <w:tcPr>
            <w:tcW w:type="dxa" w:w="1872"/>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[5.2, 9.5]</w:t>
            </w:r>
          </w:p>
        </w:tc>
        <w:tc>
          <w:tcPr>
            <w:tcW w:type="dxa" w:w="1872"/>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bl>
    <w:p>
      <w:pPr>
        <w:spacing w:before="40" w:after="0" w:lineRule="auto" w:line="480"/>
        <w:jc w:val="left"/>
      </w:pPr>
      <w:r>
        <w:rPr>
          <w:rFonts w:ascii="Times New Roman" w:hAnsi="Times New Roman" w:cs="Times New Roman"/>
          <w:b w:val="0"/>
          <w:i/>
          <w:sz w:val="20"/>
        </w:rPr>
        <w:t xml:space="preserve">Note. </w:t>
      </w:r>
      <w:r>
        <w:rPr>
          <w:rFonts w:ascii="Times New Roman" w:hAnsi="Times New Roman" w:cs="Times New Roman"/>
          <w:b w:val="0"/>
          <w:i w:val="0"/>
          <w:sz w:val="20"/>
        </w:rPr>
        <w:t>AME = average marginal effect; pp = percentage points; SE = standard error; CI = confidence interval. AMEs represent the estimated change in volunteering probability for the transition from "Not at all" to "Few times/year" socialization, computed via the marginaleffects package with survey weights.</w:t>
      </w:r>
    </w:p>
    <w:p>
      <w:pPr>
        <w:spacing w:before="80" w:after="240" w:lineRule="auto" w:line="480"/>
      </w:pPr>
    </w:p>
    <w:p>
      <w:pPr>
        <w:spacing w:before="0" w:after="0" w:lineRule="auto" w:line="480"/>
        <w:ind w:firstLine="720"/>
        <w:jc w:val="left"/>
      </w:pPr>
      <w:r>
        <w:rPr>
          <w:rFonts w:ascii="Times New Roman" w:hAnsi="Times New Roman" w:cs="Times New Roman"/>
          <w:b w:val="0"/>
          <w:i w:val="0"/>
          <w:sz w:val="24"/>
        </w:rPr>
        <w:t>Gen Z deviated from this pattern with a plateau. Gen Z's predicted volunteering probability rose sharply from 27.3% at no socialization to 48.4% at a few times per month, then flatlined, reaching only 50.8% at daily socialization. No other generation exhibited this ceiling. Boomers climbed continuously from 16.7% to 46.8%; Gen X showed the steepest overall gradient (22.0% to 48.1%). A striking baseline comparison deserves note: Gen Z's predicted volunteering probability at zero socialization (27.3%) exceeded that of every other generation, including Boomers (16.7%), which argues against the idea that low volunteering rates among Gen Z reflect weaker civic motivation. The plateau points instead to a decoupling: for Gen Z, additional face-to-face contact beyond a moderate threshold is not associated with additional civic recruitment, possibly because the social contexts in which high-frequency Gen Z socialization occurs lack ties to the community-based institutions that historically channel contact into voluntarism.</w:t>
      </w:r>
    </w:p>
    <w:p>
      <w:pPr>
        <w:spacing w:before="0" w:after="0" w:lineRule="auto" w:line="480"/>
        <w:jc w:val="left"/>
      </w:pPr>
      <w:r>
        <w:rPr>
          <w:rFonts w:ascii="Times New Roman" w:hAnsi="Times New Roman" w:cs="Times New Roman"/>
          <w:b/>
          <w:i w:val="0"/>
          <w:sz w:val="24"/>
        </w:rPr>
        <w:t>Moderators and Temporal Stability</w:t>
      </w:r>
    </w:p>
    <w:p>
      <w:pPr>
        <w:spacing w:before="0" w:after="0" w:lineRule="auto" w:line="480"/>
        <w:ind w:firstLine="720"/>
        <w:jc w:val="left"/>
      </w:pPr>
      <w:r>
        <w:rPr>
          <w:rFonts w:ascii="Times New Roman" w:hAnsi="Times New Roman" w:cs="Times New Roman"/>
          <w:b w:val="0"/>
          <w:i w:val="0"/>
          <w:sz w:val="24"/>
        </w:rPr>
        <w:t>Three-way interactions tested whether education, employment, civic social media use, or the COVID-19 period altered the socialization–volunteering–generation relationship. Education was the only significant moderator (</w:t>
      </w:r>
      <w:r>
        <w:rPr>
          <w:rFonts w:ascii="Times New Roman" w:hAnsi="Times New Roman" w:cs="Times New Roman"/>
          <w:b w:val="0"/>
          <w:i/>
          <w:sz w:val="24"/>
        </w:rPr>
        <w:t>p</w:t>
      </w:r>
      <w:r>
        <w:rPr>
          <w:rFonts w:ascii="Times New Roman" w:hAnsi="Times New Roman" w:cs="Times New Roman"/>
          <w:b w:val="0"/>
          <w:i w:val="0"/>
          <w:sz w:val="24"/>
        </w:rPr>
        <w:t xml:space="preserve"> = .009): holding a bachelor's degree amplified the socialization–volunteering gradient for all generations, but the amplification was more pronounced for older cohorts. Among Boomers, the First Step AME was approximately 3 percentage points larger for BA+ respondents than for those without a degree; among Gen Z, the difference was less than 1 point, and the plateau persisted even among degree holders. Employment did not significantly moderate the relationship (</w:t>
      </w:r>
      <w:r>
        <w:rPr>
          <w:rFonts w:ascii="Times New Roman" w:hAnsi="Times New Roman" w:cs="Times New Roman"/>
          <w:b w:val="0"/>
          <w:i/>
          <w:sz w:val="24"/>
        </w:rPr>
        <w:t>p</w:t>
      </w:r>
      <w:r>
        <w:rPr>
          <w:rFonts w:ascii="Times New Roman" w:hAnsi="Times New Roman" w:cs="Times New Roman"/>
          <w:b w:val="0"/>
          <w:i w:val="0"/>
          <w:sz w:val="24"/>
        </w:rPr>
        <w:t xml:space="preserve"> = .056), nor did civic social media use (</w:t>
      </w:r>
      <w:r>
        <w:rPr>
          <w:rFonts w:ascii="Times New Roman" w:hAnsi="Times New Roman" w:cs="Times New Roman"/>
          <w:b w:val="0"/>
          <w:i/>
          <w:sz w:val="24"/>
        </w:rPr>
        <w:t>p</w:t>
      </w:r>
      <w:r>
        <w:rPr>
          <w:rFonts w:ascii="Times New Roman" w:hAnsi="Times New Roman" w:cs="Times New Roman"/>
          <w:b w:val="0"/>
          <w:i w:val="0"/>
          <w:sz w:val="24"/>
        </w:rPr>
        <w:t xml:space="preserve"> = .969). The social media null is theoretically informative: digital civic engagement does not compensate for the absence of face-to-face socialization, and this holds uniformly across generations, offering no special pathway for digitally native young adults. The near-significant employment result (</w:t>
      </w:r>
      <w:r>
        <w:rPr>
          <w:rFonts w:ascii="Times New Roman" w:hAnsi="Times New Roman" w:cs="Times New Roman"/>
          <w:b w:val="0"/>
          <w:i/>
          <w:sz w:val="24"/>
        </w:rPr>
        <w:t>p</w:t>
      </w:r>
      <w:r>
        <w:rPr>
          <w:rFonts w:ascii="Times New Roman" w:hAnsi="Times New Roman" w:cs="Times New Roman"/>
          <w:b w:val="0"/>
          <w:i w:val="0"/>
          <w:sz w:val="24"/>
        </w:rPr>
        <w:t xml:space="preserve"> = .056) is worth noting despite failing to clear the conventional threshold: the direction of the effect suggested that employed respondents exhibited a steeper socialization–volunteering gradient than those not employed, consistent with the CVM's prediction that workplace networks provide additional recruitment channels. The effect was modest, however, and did not differ meaningfully across generations.</w:t>
      </w:r>
    </w:p>
    <w:p>
      <w:pPr>
        <w:spacing w:before="0" w:after="0" w:lineRule="auto" w:line="480"/>
        <w:ind w:firstLine="720"/>
        <w:jc w:val="left"/>
      </w:pPr>
      <w:r>
        <w:rPr>
          <w:rFonts w:ascii="Times New Roman" w:hAnsi="Times New Roman" w:cs="Times New Roman"/>
          <w:b w:val="0"/>
          <w:i w:val="0"/>
          <w:sz w:val="24"/>
        </w:rPr>
        <w:t>Perhaps the most consequential test concerned temporal stability. The socialization × generation × post-COVID interaction was not significant (</w:t>
      </w:r>
      <w:r>
        <w:rPr>
          <w:rFonts w:ascii="Times New Roman" w:hAnsi="Times New Roman" w:cs="Times New Roman"/>
          <w:b w:val="0"/>
          <w:i/>
          <w:sz w:val="24"/>
        </w:rPr>
        <w:t>p</w:t>
      </w:r>
      <w:r>
        <w:rPr>
          <w:rFonts w:ascii="Times New Roman" w:hAnsi="Times New Roman" w:cs="Times New Roman"/>
          <w:b w:val="0"/>
          <w:i w:val="0"/>
          <w:sz w:val="24"/>
        </w:rPr>
        <w:t xml:space="preserve"> = .420), confirming that the patterns documented above (including the Gen Z plateau) were present before the pandemic and unchanged afterward. The pre-COVID First Step AME for Gen Z (10.7 points, 95% CI [5.8, 15.6]) was comparable to the full-sample estimate, and the overall relationship structure was preserved across periods. Declining youth volunteering is not a pandemic artifact; it is a cohort characteristic.</w:t>
      </w:r>
    </w:p>
    <w:p>
      <w:pPr>
        <w:spacing w:before="0" w:after="0" w:lineRule="auto" w:line="480"/>
        <w:jc w:val="left"/>
      </w:pPr>
      <w:r>
        <w:rPr>
          <w:rFonts w:ascii="Times New Roman" w:hAnsi="Times New Roman" w:cs="Times New Roman"/>
          <w:b/>
          <w:i w:val="0"/>
          <w:sz w:val="24"/>
        </w:rPr>
        <w:t>Civic Engagement Profiles</w:t>
      </w:r>
    </w:p>
    <w:p>
      <w:pPr>
        <w:spacing w:before="0" w:after="0" w:lineRule="auto" w:line="480"/>
        <w:ind w:firstLine="720"/>
        <w:jc w:val="left"/>
      </w:pPr>
      <w:r>
        <w:rPr>
          <w:rFonts w:ascii="Times New Roman" w:hAnsi="Times New Roman" w:cs="Times New Roman"/>
          <w:b w:val="0"/>
          <w:i w:val="0"/>
          <w:sz w:val="24"/>
        </w:rPr>
        <w:t xml:space="preserve">We turned to person-centered analysis to test whether the regression findings hold when individuals are classified by their full pattern of civic behavior rather than by individual predictors. LPA identified six distinct profiles (Tables 4–5; Figure 4). Three anchor the interpretive framework: the </w:t>
      </w:r>
      <w:r>
        <w:rPr>
          <w:rFonts w:ascii="Times New Roman" w:hAnsi="Times New Roman" w:cs="Times New Roman"/>
          <w:b w:val="0"/>
          <w:i/>
          <w:sz w:val="24"/>
        </w:rPr>
        <w:t>Isolated Disengaged</w:t>
      </w:r>
      <w:r>
        <w:rPr>
          <w:rFonts w:ascii="Times New Roman" w:hAnsi="Times New Roman" w:cs="Times New Roman"/>
          <w:b w:val="0"/>
          <w:i w:val="0"/>
          <w:sz w:val="24"/>
        </w:rPr>
        <w:t xml:space="preserve"> (19.0% of sample; volunteering rate 9.0%), characterized by minimal scores on every indicator; the </w:t>
      </w:r>
      <w:r>
        <w:rPr>
          <w:rFonts w:ascii="Times New Roman" w:hAnsi="Times New Roman" w:cs="Times New Roman"/>
          <w:b w:val="0"/>
          <w:i/>
          <w:sz w:val="24"/>
        </w:rPr>
        <w:t>Mainstream Donors</w:t>
      </w:r>
      <w:r>
        <w:rPr>
          <w:rFonts w:ascii="Times New Roman" w:hAnsi="Times New Roman" w:cs="Times New Roman"/>
          <w:b w:val="0"/>
          <w:i w:val="0"/>
          <w:sz w:val="24"/>
        </w:rPr>
        <w:t xml:space="preserve"> (33.1%; volunteering rate 41.4%), representing institutionally embedded civic engagement; and the </w:t>
      </w:r>
      <w:r>
        <w:rPr>
          <w:rFonts w:ascii="Times New Roman" w:hAnsi="Times New Roman" w:cs="Times New Roman"/>
          <w:b w:val="0"/>
          <w:i/>
          <w:sz w:val="24"/>
        </w:rPr>
        <w:t>Fully Engaged</w:t>
      </w:r>
      <w:r>
        <w:rPr>
          <w:rFonts w:ascii="Times New Roman" w:hAnsi="Times New Roman" w:cs="Times New Roman"/>
          <w:b w:val="0"/>
          <w:i w:val="0"/>
          <w:sz w:val="24"/>
        </w:rPr>
        <w:t xml:space="preserve"> (12.0%; volunteering rate 66.7%), scoring highest on virtually every dimension. The </w:t>
      </w:r>
      <w:r>
        <w:rPr>
          <w:rFonts w:ascii="Times New Roman" w:hAnsi="Times New Roman" w:cs="Times New Roman"/>
          <w:b w:val="0"/>
          <w:i/>
          <w:sz w:val="24"/>
        </w:rPr>
        <w:t>Socially Active Non-Donors</w:t>
      </w:r>
      <w:r>
        <w:rPr>
          <w:rFonts w:ascii="Times New Roman" w:hAnsi="Times New Roman" w:cs="Times New Roman"/>
          <w:b w:val="0"/>
          <w:i w:val="0"/>
          <w:sz w:val="24"/>
        </w:rPr>
        <w:t xml:space="preserve"> (17.5%; volunteering rate 14.6%) are theoretically important: their members reported the highest socialization of any class (M = 4.70) yet volunteered at rates below the sample mean, demonstrating that socialization without institutional anchoring does not translate into voluntarism. Two remaining profiles round out the typology: the </w:t>
      </w:r>
      <w:r>
        <w:rPr>
          <w:rFonts w:ascii="Times New Roman" w:hAnsi="Times New Roman" w:cs="Times New Roman"/>
          <w:b w:val="0"/>
          <w:i/>
          <w:sz w:val="24"/>
        </w:rPr>
        <w:t>Politically Aware Isolated</w:t>
      </w:r>
      <w:r>
        <w:rPr>
          <w:rFonts w:ascii="Times New Roman" w:hAnsi="Times New Roman" w:cs="Times New Roman"/>
          <w:b w:val="0"/>
          <w:i w:val="0"/>
          <w:sz w:val="24"/>
        </w:rPr>
        <w:t xml:space="preserve"> (7.1%; volunteering rate 11.7%), who engaged in frequent political conversation but reported minimal social contact, and the </w:t>
      </w:r>
      <w:r>
        <w:rPr>
          <w:rFonts w:ascii="Times New Roman" w:hAnsi="Times New Roman" w:cs="Times New Roman"/>
          <w:b w:val="0"/>
          <w:i/>
          <w:sz w:val="24"/>
        </w:rPr>
        <w:t>Activist Boycotters</w:t>
      </w:r>
      <w:r>
        <w:rPr>
          <w:rFonts w:ascii="Times New Roman" w:hAnsi="Times New Roman" w:cs="Times New Roman"/>
          <w:b w:val="0"/>
          <w:i w:val="0"/>
          <w:sz w:val="24"/>
        </w:rPr>
        <w:t xml:space="preserve"> (11.3%; volunteering rate 46.9%), defined by universal boycotting behavior alongside moderate organizational membership.</w:t>
      </w:r>
    </w:p>
    <w:p>
      <w:pPr>
        <w:spacing w:before="240" w:after="0" w:lineRule="auto" w:line="480"/>
        <w:jc w:val="left"/>
      </w:pPr>
      <w:r>
        <w:rPr>
          <w:rFonts w:ascii="Times New Roman" w:hAnsi="Times New Roman" w:cs="Times New Roman"/>
          <w:b/>
          <w:i/>
          <w:sz w:val="24"/>
        </w:rPr>
        <w:t>Table 4</w:t>
      </w:r>
    </w:p>
    <w:p>
      <w:pPr>
        <w:spacing w:before="0" w:after="80" w:lineRule="auto" w:line="480"/>
        <w:jc w:val="left"/>
      </w:pPr>
      <w:r>
        <w:rPr>
          <w:rFonts w:ascii="Times New Roman" w:hAnsi="Times New Roman" w:cs="Times New Roman"/>
          <w:b w:val="0"/>
          <w:i/>
          <w:sz w:val="24"/>
        </w:rPr>
        <w:t>Latent Profile Analysis Model Fit Indices (EII Parameterization, 20,000 Subsample)</w:t>
      </w:r>
    </w:p>
    <w:tbl>
      <w:tblPr>
        <w:tblW w:type="pct" w:w="5000"/>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872"/>
        <w:gridCol w:w="1872"/>
        <w:gridCol w:w="1872"/>
        <w:gridCol w:w="1872"/>
        <w:gridCol w:w="1872"/>
      </w:tblGrid>
      <w:tr>
        <w:tc>
          <w:tcPr>
            <w:tcW w:type="dxa" w:w="1872"/>
            <w:tcBorders>
              <w:top w:val="single" w:sz="8" w:space="0" w:color="000000"/>
              <w:bottom w:val="single" w:sz="8" w:space="0" w:color="000000"/>
              <w:left w:val="none" w:sz="0" w:space="0" w:color="000000"/>
              <w:right w:val="none" w:sz="0" w:space="0" w:color="000000"/>
            </w:tcBorders>
          </w:tcPr>
          <w:p>
            <w:pPr>
              <w:spacing w:before="40" w:after="40" w:lineRule="auto" w:line="240"/>
              <w:jc w:val="left"/>
            </w:pPr>
            <w:r/>
            <w:r>
              <w:rPr>
                <w:rFonts w:ascii="Times New Roman" w:hAnsi="Times New Roman" w:cs="Times New Roman"/>
                <w:b/>
                <w:i w:val="0"/>
                <w:sz w:val="20"/>
              </w:rPr>
              <w:t>Profiles</w:t>
            </w:r>
          </w:p>
        </w:tc>
        <w:tc>
          <w:tcPr>
            <w:tcW w:type="dxa" w:w="1872"/>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BIC</w:t>
            </w:r>
          </w:p>
        </w:tc>
        <w:tc>
          <w:tcPr>
            <w:tcW w:type="dxa" w:w="1872"/>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Delta BIC</w:t>
            </w:r>
          </w:p>
        </w:tc>
        <w:tc>
          <w:tcPr>
            <w:tcW w:type="dxa" w:w="1872"/>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Entropy</w:t>
            </w:r>
          </w:p>
        </w:tc>
        <w:tc>
          <w:tcPr>
            <w:tcW w:type="dxa" w:w="1872"/>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Selected</w:t>
            </w:r>
          </w:p>
        </w:tc>
      </w:tr>
      <w:tr>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2</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-323775.8</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3</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-315925.7</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7850.1</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4</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-312648.3</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3277.4</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5</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-310013.6</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2634.7</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6</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-296036.5</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13977.1</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0.893</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Yes</w:t>
            </w:r>
          </w:p>
        </w:tc>
      </w:tr>
      <w:tr>
        <w:tc>
          <w:tcPr>
            <w:tcW w:type="dxa" w:w="1872"/>
            <w:tcBorders>
              <w:top w:val="none" w:sz="0" w:space="0" w:color="000000"/>
              <w:bottom w:val="single" w:sz="8"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7</w:t>
            </w:r>
          </w:p>
        </w:tc>
        <w:tc>
          <w:tcPr>
            <w:tcW w:type="dxa" w:w="1872"/>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-291325.8</w:t>
            </w:r>
          </w:p>
        </w:tc>
        <w:tc>
          <w:tcPr>
            <w:tcW w:type="dxa" w:w="1872"/>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4710.8</w:t>
            </w:r>
          </w:p>
        </w:tc>
        <w:tc>
          <w:tcPr>
            <w:tcW w:type="dxa" w:w="1872"/>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w:t>
            </w:r>
          </w:p>
        </w:tc>
        <w:tc>
          <w:tcPr>
            <w:tcW w:type="dxa" w:w="1872"/>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bl>
    <w:p>
      <w:pPr>
        <w:spacing w:before="40" w:after="0" w:lineRule="auto" w:line="480"/>
        <w:jc w:val="left"/>
      </w:pPr>
      <w:r>
        <w:rPr>
          <w:rFonts w:ascii="Times New Roman" w:hAnsi="Times New Roman" w:cs="Times New Roman"/>
          <w:b w:val="0"/>
          <w:i/>
          <w:sz w:val="20"/>
        </w:rPr>
        <w:t xml:space="preserve">Note. </w:t>
      </w:r>
      <w:r>
        <w:rPr>
          <w:rFonts w:ascii="Times New Roman" w:hAnsi="Times New Roman" w:cs="Times New Roman"/>
          <w:b w:val="0"/>
          <w:i w:val="0"/>
          <w:sz w:val="20"/>
        </w:rPr>
        <w:t>EII = spherical, equal volume parameterization. BIC = Bayesian information criterion. ΔBIC = improvement from the previous model. Entropy reported for the selected model only. Model selection conducted on a random subsample (n = 20,000) and refit to the full sample (N = 197,497).</w:t>
      </w:r>
    </w:p>
    <w:p>
      <w:pPr>
        <w:spacing w:before="80" w:after="240" w:lineRule="auto" w:line="480"/>
      </w:pPr>
    </w:p>
    <w:p>
      <w:pPr>
        <w:spacing w:before="240" w:after="0" w:lineRule="auto" w:line="480"/>
        <w:jc w:val="left"/>
      </w:pPr>
      <w:r>
        <w:rPr>
          <w:rFonts w:ascii="Times New Roman" w:hAnsi="Times New Roman" w:cs="Times New Roman"/>
          <w:b/>
          <w:i/>
          <w:sz w:val="24"/>
        </w:rPr>
        <w:t>Table 5</w:t>
      </w:r>
    </w:p>
    <w:p>
      <w:pPr>
        <w:spacing w:before="0" w:after="80" w:lineRule="auto" w:line="480"/>
        <w:jc w:val="left"/>
      </w:pPr>
      <w:r>
        <w:rPr>
          <w:rFonts w:ascii="Times New Roman" w:hAnsi="Times New Roman" w:cs="Times New Roman"/>
          <w:b w:val="0"/>
          <w:i/>
          <w:sz w:val="24"/>
        </w:rPr>
        <w:t>Latent Profile Characteristics: Indicator Means and Volunteering Rates (6-Profile Solution, N = 197,497)</w:t>
      </w:r>
    </w:p>
    <w:tbl>
      <w:tblPr>
        <w:tblW w:type="pct" w:w="5000"/>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040"/>
        <w:gridCol w:w="1040"/>
        <w:gridCol w:w="1040"/>
        <w:gridCol w:w="1040"/>
        <w:gridCol w:w="1040"/>
        <w:gridCol w:w="1040"/>
        <w:gridCol w:w="1040"/>
        <w:gridCol w:w="1040"/>
        <w:gridCol w:w="1040"/>
      </w:tblGrid>
      <w:tr>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left"/>
            </w:pPr>
            <w:r/>
            <w:r>
              <w:rPr>
                <w:rFonts w:ascii="Times New Roman" w:hAnsi="Times New Roman" w:cs="Times New Roman"/>
                <w:b/>
                <w:i w:val="0"/>
                <w:sz w:val="20"/>
              </w:rPr>
              <w:t>Profile</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n (%)</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Boycott (%)</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Contact Officials (%)</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Political Conv., M (SD)</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Socialization, M (SD)</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Org. Membership, M (SD)</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Donated (%)</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Volunteering (%)</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1: Isolated Disengaged</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37,568 (19.0)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 (0.6)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 (0.6)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0.1 (0.4)</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15.0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9.0</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2: Politically Aware Isolated</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14,089 (7.1)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4.9 (0.8)</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1.5 (0.7)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0.1 (0.5)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11.7</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3: Socially Active Non-Donors</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34,520 (17.5)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 (1.8)</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4.7 (0.8)</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0.2 (0.6)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14.6</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4: Mainstream Donors</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65,417 (33.1)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3.6 (1.7)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3.8 (1.5)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 (1.2)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99.9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41.4</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5: Activist Boycotters</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22,266 (11.3)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100.0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4.3 (1.6)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3.6 (1.6)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 (1.5)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78.0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46.9</w:t>
            </w:r>
          </w:p>
        </w:tc>
      </w:tr>
      <w:tr>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6: Fully Engaged</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23,637 (12.0)</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49.7</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100.0</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4.6 (1.5)</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4.0 (1.5)</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1.8 (1.9)</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86.6</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66.7</w:t>
            </w:r>
          </w:p>
        </w:tc>
      </w:tr>
    </w:tbl>
    <w:p>
      <w:pPr>
        <w:spacing w:before="40" w:after="0" w:lineRule="auto" w:line="480"/>
        <w:jc w:val="left"/>
      </w:pPr>
      <w:r>
        <w:rPr>
          <w:rFonts w:ascii="Times New Roman" w:hAnsi="Times New Roman" w:cs="Times New Roman"/>
          <w:b w:val="0"/>
          <w:i/>
          <w:sz w:val="20"/>
        </w:rPr>
        <w:t xml:space="preserve">Note. </w:t>
      </w:r>
      <w:r>
        <w:rPr>
          <w:rFonts w:ascii="Times New Roman" w:hAnsi="Times New Roman" w:cs="Times New Roman"/>
          <w:b w:val="0"/>
          <w:i w:val="0"/>
          <w:sz w:val="20"/>
        </w:rPr>
        <w:t>Profile labels assigned post hoc based on indicator patterns. Continuous indicators reported as M (SD); binary indicators as percentages. Volunteering rate = proportion who volunteered in the past 12 months (not used as an LPA indicator).</w:t>
      </w:r>
    </w:p>
    <w:p>
      <w:pPr>
        <w:spacing w:before="80" w:after="240" w:lineRule="auto" w:line="480"/>
      </w:pPr>
    </w:p>
    <w:p>
      <w:pPr>
        <w:spacing w:before="120" w:after="0" w:lineRule="auto" w:line="240"/>
      </w:pPr>
    </w:p>
    <w:p>
      <w:pPr>
        <w:spacing w:before="0" w:after="80" w:lineRule="auto" w:line="240"/>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fig2_lpa_heatmap.png"/>
                    <pic:cNvPicPr/>
                  </pic:nvPicPr>
                  <pic:blipFill>
                    <a:blip r:embed="rId12"/>
                    <a:stretch>
                      <a:fillRect/>
                    </a:stretch>
                  </pic:blipFill>
                  <pic:spPr>
                    <a:xfrm>
                      <a:off x="0" y="0"/>
                      <a:ext cx="5029200" cy="3017520"/>
                    </a:xfrm>
                    <a:prstGeom prst="rect"/>
                  </pic:spPr>
                </pic:pic>
              </a:graphicData>
            </a:graphic>
          </wp:inline>
        </w:drawing>
      </w:r>
    </w:p>
    <w:p>
      <w:pPr>
        <w:spacing w:before="80" w:after="240" w:lineRule="auto" w:line="480"/>
        <w:jc w:val="left"/>
      </w:pPr>
      <w:r>
        <w:rPr>
          <w:rFonts w:ascii="Times New Roman" w:hAnsi="Times New Roman" w:cs="Times New Roman"/>
          <w:b w:val="0"/>
          <w:i/>
          <w:sz w:val="24"/>
        </w:rPr>
        <w:t xml:space="preserve">Figure 4. </w:t>
      </w:r>
      <w:r>
        <w:rPr>
          <w:rFonts w:ascii="Times New Roman" w:hAnsi="Times New Roman" w:cs="Times New Roman"/>
          <w:b w:val="0"/>
          <w:i w:val="0"/>
          <w:sz w:val="24"/>
        </w:rPr>
        <w:t>Civic engagement profile characteristics from latent profile analysis. All values are normalized to a 0–100 scale for cross-indicator comparability. The green column shows volunteering rate (outcome variable, not used as an LPA indicator). Color intensity reflects within-indicator relative magnitude.</w:t>
      </w:r>
    </w:p>
    <w:p>
      <w:pPr>
        <w:spacing w:before="0" w:after="0" w:lineRule="auto" w:line="480"/>
        <w:ind w:firstLine="720"/>
        <w:jc w:val="left"/>
      </w:pPr>
      <w:r>
        <w:rPr>
          <w:rFonts w:ascii="Times New Roman" w:hAnsi="Times New Roman" w:cs="Times New Roman"/>
          <w:b w:val="0"/>
          <w:i w:val="0"/>
          <w:sz w:val="24"/>
        </w:rPr>
        <w:t>Generational sorting across profiles was pronounced (Figure 3). Over a third of Gen Z (35.3%) fell into the Isolated Disengaged profile, more than double the Boomer rate (15.3%), while only 3.7% of Gen Z reached Fully Engaged status (vs. 15.1% of Boomers). Combining the two socially isolated profiles (Isolated Disengaged and Politically Aware Isolated), over half of Gen Z (50.6%) occupied profiles defined by social disconnection. Profile proportions were essentially unchanged between the pre- and post-COVID periods (Isolated Disengaged: 35.5% vs. 35.2%), providing person-centered corroboration of the regression-based temporal stability finding. The concentration of Gen Z in socially disconnected profiles is striking in absolute terms: more than one in three Gen Z respondents fell into the profile defined by minimal engagement on every civic indicator, a rate consistent with social disconnection being not a marginal phenomenon among young adults but a dominant pattern.</w:t>
      </w:r>
    </w:p>
    <w:p>
      <w:pPr>
        <w:spacing w:before="120" w:after="0" w:lineRule="auto" w:line="240"/>
      </w:pPr>
    </w:p>
    <w:p>
      <w:pPr>
        <w:spacing w:before="0" w:after="80" w:lineRule="auto" w:line="240"/>
        <w:jc w:val="center"/>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ig3_lpa_gen_dist.png"/>
                    <pic:cNvPicPr/>
                  </pic:nvPicPr>
                  <pic:blipFill>
                    <a:blip r:embed="rId13"/>
                    <a:stretch>
                      <a:fillRect/>
                    </a:stretch>
                  </pic:blipFill>
                  <pic:spPr>
                    <a:xfrm>
                      <a:off x="0" y="0"/>
                      <a:ext cx="5029200" cy="3017520"/>
                    </a:xfrm>
                    <a:prstGeom prst="rect"/>
                  </pic:spPr>
                </pic:pic>
              </a:graphicData>
            </a:graphic>
          </wp:inline>
        </w:drawing>
      </w:r>
    </w:p>
    <w:p>
      <w:pPr>
        <w:spacing w:before="80" w:after="240" w:lineRule="auto" w:line="480"/>
        <w:jc w:val="left"/>
      </w:pPr>
      <w:r>
        <w:rPr>
          <w:rFonts w:ascii="Times New Roman" w:hAnsi="Times New Roman" w:cs="Times New Roman"/>
          <w:b w:val="0"/>
          <w:i/>
          <w:sz w:val="24"/>
        </w:rPr>
        <w:t xml:space="preserve">Figure 5. </w:t>
      </w:r>
      <w:r>
        <w:rPr>
          <w:rFonts w:ascii="Times New Roman" w:hAnsi="Times New Roman" w:cs="Times New Roman"/>
          <w:b w:val="0"/>
          <w:i w:val="0"/>
          <w:sz w:val="24"/>
        </w:rPr>
        <w:t>Generational distribution across six latent civic engagement profiles. Over half of Gen Z (50.6%) occupies the two socially disconnected profiles (Isolated Disengaged and Politically Aware Isolated), while only 3.7% reaches Fully Engaged status.</w:t>
      </w:r>
    </w:p>
    <w:p>
      <w:pPr>
        <w:spacing w:before="0" w:after="0" w:lineRule="auto" w:line="480"/>
        <w:jc w:val="center"/>
      </w:pPr>
      <w:r>
        <w:rPr>
          <w:rFonts w:ascii="Times New Roman" w:hAnsi="Times New Roman" w:cs="Times New Roman"/>
          <w:b/>
          <w:i w:val="0"/>
          <w:sz w:val="24"/>
        </w:rPr>
        <w:t>Discussion</w:t>
      </w:r>
    </w:p>
    <w:p>
      <w:pPr>
        <w:spacing w:before="0" w:after="0" w:lineRule="auto" w:line="480"/>
        <w:ind w:firstLine="720"/>
        <w:jc w:val="left"/>
      </w:pPr>
      <w:r>
        <w:rPr>
          <w:rFonts w:ascii="Times New Roman" w:hAnsi="Times New Roman" w:cs="Times New Roman"/>
          <w:b w:val="0"/>
          <w:i w:val="0"/>
          <w:sz w:val="24"/>
        </w:rPr>
        <w:t>In-person socialization is the single strongest correlate of volunteering among the most socially disconnected generation in the CPS-CEV record, and the transition from complete isolation to even occasional contact is associated with a larger civic return than any subsequent increase in social frequency. Two complementary analytic approaches (one variable-centered, one person-centered) converge on this conclusion despite sharing neither assumptions about variable roles nor distributional requirements. That convergence matters.</w:t>
      </w:r>
    </w:p>
    <w:p>
      <w:pPr>
        <w:spacing w:before="0" w:after="0" w:lineRule="auto" w:line="480"/>
        <w:ind w:firstLine="720"/>
        <w:jc w:val="left"/>
      </w:pPr>
      <w:r>
        <w:rPr>
          <w:rFonts w:ascii="Times New Roman" w:hAnsi="Times New Roman" w:cs="Times New Roman"/>
          <w:b w:val="0"/>
          <w:i w:val="0"/>
          <w:sz w:val="24"/>
        </w:rPr>
        <w:t>Consider a finding that did not have to turn out this way: Gen Z's predicted volunteering probability at zero socialization (27.3%) exceeded that of every older cohort, including Boomers (16.7%). If declining youth volunteering reflected weakened civic motivation, we would expect lower baseline rates, not higher ones. Gen Z appears more civically inclined at the individual level but less able to convert that inclination into sustained participation. The puzzle, then, is not whether young adults care about their communities (the baseline rates say they do) but why additional social contact fails to recruit them the way it recruits everyone else.</w:t>
      </w:r>
    </w:p>
    <w:p>
      <w:pPr>
        <w:spacing w:before="0" w:after="0" w:lineRule="auto" w:line="480"/>
        <w:ind w:firstLine="720"/>
        <w:jc w:val="left"/>
      </w:pPr>
      <w:r>
        <w:rPr>
          <w:rFonts w:ascii="Times New Roman" w:hAnsi="Times New Roman" w:cs="Times New Roman"/>
          <w:b w:val="0"/>
          <w:i w:val="0"/>
          <w:sz w:val="24"/>
        </w:rPr>
        <w:t>Cacioppo and Cacioppo's (2014) theorized cycle of social withdrawal predicts that even minimal social contact should disrupt the self-reinforcing dynamic of isolation and perceived social threat, yielding disproportionate gains at the lowest end of the socialization continuum. The First Step Effect confirms that prediction across all five generations. Beyond that initial threshold, generational trajectories diverged. Gen Z's volunteering probability plateaued at moderate socialization levels; no older cohort exhibited this ceiling (see Figure 1). Putnam's (2000) social capital framework, which predicts continuous returns from accumulated contact, cannot account for this plateau. We read the Gen Z ceiling as reflecting a decoupling: additional face-to-face contact occurs in contexts stripped of the institutional anchoring through which civic recruitment historically operates. In Putnam's own terms, the youngest Americans are not bowling alone by choice; they are scrolling together in a digital environment that sustains the perception of connection without providing the face-to-face encounters through which civic recruitment occurs.</w:t>
      </w:r>
    </w:p>
    <w:p>
      <w:pPr>
        <w:spacing w:before="0" w:after="0" w:lineRule="auto" w:line="480"/>
        <w:ind w:firstLine="720"/>
        <w:jc w:val="left"/>
      </w:pPr>
      <w:r>
        <w:rPr>
          <w:rFonts w:ascii="Times New Roman" w:hAnsi="Times New Roman" w:cs="Times New Roman"/>
          <w:b w:val="0"/>
          <w:i w:val="0"/>
          <w:sz w:val="24"/>
        </w:rPr>
        <w:t>Education amplified the socialization–volunteering gradient more strongly for older cohorts (</w:t>
      </w:r>
      <w:r>
        <w:rPr>
          <w:rFonts w:ascii="Times New Roman" w:hAnsi="Times New Roman" w:cs="Times New Roman"/>
          <w:b w:val="0"/>
          <w:i/>
          <w:sz w:val="24"/>
        </w:rPr>
        <w:t>p</w:t>
      </w:r>
      <w:r>
        <w:rPr>
          <w:rFonts w:ascii="Times New Roman" w:hAnsi="Times New Roman" w:cs="Times New Roman"/>
          <w:b w:val="0"/>
          <w:i w:val="0"/>
          <w:sz w:val="24"/>
        </w:rPr>
        <w:t xml:space="preserve"> = .009), but the Gen Z plateau persisted even among degree holders. For Boomers and Gen Xers, holding a BA added roughly 3 percentage points of additional First Step return; for Gen Z, the boost was less than 1 point. Employment fell just short of conventional significance (</w:t>
      </w:r>
      <w:r>
        <w:rPr>
          <w:rFonts w:ascii="Times New Roman" w:hAnsi="Times New Roman" w:cs="Times New Roman"/>
          <w:b w:val="0"/>
          <w:i/>
          <w:sz w:val="24"/>
        </w:rPr>
        <w:t>p</w:t>
      </w:r>
      <w:r>
        <w:rPr>
          <w:rFonts w:ascii="Times New Roman" w:hAnsi="Times New Roman" w:cs="Times New Roman"/>
          <w:b w:val="0"/>
          <w:i w:val="0"/>
          <w:sz w:val="24"/>
        </w:rPr>
        <w:t xml:space="preserve"> = .056), and civic social media use showed no moderating effect whatsoever (</w:t>
      </w:r>
      <w:r>
        <w:rPr>
          <w:rFonts w:ascii="Times New Roman" w:hAnsi="Times New Roman" w:cs="Times New Roman"/>
          <w:b w:val="0"/>
          <w:i/>
          <w:sz w:val="24"/>
        </w:rPr>
        <w:t>p</w:t>
      </w:r>
      <w:r>
        <w:rPr>
          <w:rFonts w:ascii="Times New Roman" w:hAnsi="Times New Roman" w:cs="Times New Roman"/>
          <w:b w:val="0"/>
          <w:i w:val="0"/>
          <w:sz w:val="24"/>
        </w:rPr>
        <w:t xml:space="preserve"> = .969). If digital platforms sustain civic awareness, why don't they also sustain civic action? The social media null deserves emphasis: the digital compensation effect posited by Bennett and Segerberg's (2012) connective action framework does not operate differently for digitally native young adults. Online civic activity offers no special substitute for the face-to-face encounter in which someone says, "We need help Saturday morning, will you come?" That the most plausible compensatory pathways (education, employment, digital engagement) all failed to budge the generational pattern is itself theoretically revealing.</w:t>
      </w:r>
    </w:p>
    <w:p>
      <w:pPr>
        <w:spacing w:before="0" w:after="0" w:lineRule="auto" w:line="480"/>
        <w:ind w:firstLine="720"/>
        <w:jc w:val="left"/>
      </w:pPr>
      <w:r>
        <w:rPr>
          <w:rFonts w:ascii="Times New Roman" w:hAnsi="Times New Roman" w:cs="Times New Roman"/>
          <w:b w:val="0"/>
          <w:i w:val="0"/>
          <w:sz w:val="24"/>
        </w:rPr>
        <w:t>Nor do pandemic-era disruptions explain the pattern. The socialization × generation × post-COVID interaction was not significant (</w:t>
      </w:r>
      <w:r>
        <w:rPr>
          <w:rFonts w:ascii="Times New Roman" w:hAnsi="Times New Roman" w:cs="Times New Roman"/>
          <w:b w:val="0"/>
          <w:i/>
          <w:sz w:val="24"/>
        </w:rPr>
        <w:t>p</w:t>
      </w:r>
      <w:r>
        <w:rPr>
          <w:rFonts w:ascii="Times New Roman" w:hAnsi="Times New Roman" w:cs="Times New Roman"/>
          <w:b w:val="0"/>
          <w:i w:val="0"/>
          <w:sz w:val="24"/>
        </w:rPr>
        <w:t xml:space="preserve"> = .420), and the pre-COVID First Step AME for Gen Z (10.7 points) matched the full-sample estimate. Gen Z's weaker conversion of social contact into volunteering was evident before COVID-19 and unchanged afterward. Twenge et al. (2019) documented that declines in adolescent socialization were well underway by 2017; the present analysis extends that finding to its civic consequences. Pandemic recovery strategies alone will not resolve the engagement deficit among young adults; the deficit predates the pandemic. The First Step Effect also points to a practical answer: target the initial transition out of social isolation. Low-threshold, single-contact strategies should take priority over sustained-commitment appeals. Creating one opportunity for in-person contact may matter more than intensifying recruitment among already-connected individuals, and digital-only campaigns offer no compensatory advantage (</w:t>
      </w:r>
      <w:r>
        <w:rPr>
          <w:rFonts w:ascii="Times New Roman" w:hAnsi="Times New Roman" w:cs="Times New Roman"/>
          <w:b w:val="0"/>
          <w:i/>
          <w:sz w:val="24"/>
        </w:rPr>
        <w:t>p</w:t>
      </w:r>
      <w:r>
        <w:rPr>
          <w:rFonts w:ascii="Times New Roman" w:hAnsi="Times New Roman" w:cs="Times New Roman"/>
          <w:b w:val="0"/>
          <w:i w:val="0"/>
          <w:sz w:val="24"/>
        </w:rPr>
        <w:t xml:space="preserve"> = .969).</w:t>
      </w:r>
    </w:p>
    <w:p>
      <w:pPr>
        <w:spacing w:before="0" w:after="0" w:lineRule="auto" w:line="480"/>
        <w:ind w:firstLine="720"/>
        <w:jc w:val="left"/>
      </w:pPr>
      <w:r>
        <w:rPr>
          <w:rFonts w:ascii="Times New Roman" w:hAnsi="Times New Roman" w:cs="Times New Roman"/>
          <w:b w:val="0"/>
          <w:i w:val="0"/>
          <w:sz w:val="24"/>
        </w:rPr>
        <w:t>Person-centered analysis told the same story through a different lens. Gen Z was disproportionately concentrated in socially disconnected profiles (see Figure 3): over half (50.6%) occupied the Isolated Disengaged or Politically Aware Isolated classes, and only 3.7% reached Fully Engaged status. Profile proportions held steady across the pre- and post-COVID periods, corroborating the temporal stability finding from the regression models.</w:t>
      </w:r>
    </w:p>
    <w:p>
      <w:pPr>
        <w:spacing w:before="0" w:after="0" w:lineRule="auto" w:line="480"/>
        <w:ind w:firstLine="720"/>
        <w:jc w:val="left"/>
      </w:pPr>
      <w:r>
        <w:rPr>
          <w:rFonts w:ascii="Times New Roman" w:hAnsi="Times New Roman" w:cs="Times New Roman"/>
          <w:b w:val="0"/>
          <w:i w:val="0"/>
          <w:sz w:val="24"/>
        </w:rPr>
        <w:t>High socialization without institutional anchoring, it turns out, did not translate into civic action. The Socially Active Non-Donors class makes this plain. Members reported the highest socialization scores of any profile (M = 4.70) yet volunteered at only 14.6%, below the sample mean. Organizational membership was near zero (M = 0.08) and charitable giving absent. Robustness analysis confirmed the pathway: controlling for organizational membership attenuated the First Step Effect by approximately 30%, indicating that institutional embeddedness is a key mediating mechanism. Not all socializing is created equal. The distinction between bonding capital (close-knit relationships among similar individuals) and bridging capital (cross-cutting ties connecting individuals to new networks and resources) is central here (Putnam, 2000). The Socially Active Non-Donors appear rich in bonding capital but poor in the bridging capital that links individuals to civic institutions. For Gen Z, whose socialization increasingly occurs in homogeneous peer groups rather than in the institutionally diverse settings that older cohorts navigated (churches, civic associations, workplaces), this distinction may prove consequential. Klinenberg's (2018) concept of "social infrastructure" (the physical spaces and institutions that support social contact) provides a framework for intervention: Cooperative Extension, embedded at the interface of campus and community, could design programming that treats social connection as a prerequisite for volunteering rather than a byproduct of it.</w:t>
      </w:r>
    </w:p>
    <w:p>
      <w:pPr>
        <w:spacing w:before="0" w:after="0" w:lineRule="auto" w:line="480"/>
        <w:ind w:firstLine="720"/>
        <w:jc w:val="left"/>
      </w:pPr>
      <w:r>
        <w:rPr>
          <w:rFonts w:ascii="Times New Roman" w:hAnsi="Times New Roman" w:cs="Times New Roman"/>
          <w:b w:val="0"/>
          <w:i w:val="0"/>
          <w:sz w:val="24"/>
        </w:rPr>
        <w:t>A temporal shift in profile structure deserves attention. Gen Z's representation in the Activist Boycotter profile doubled from 5.9% pre-COVID to 10.7% post-COVID, even as Isolated Disengaged proportions remained stable. The post-2020 period catalyzed a politicization pathway for a subset of Gen Z without altering the broader pattern of civic disengagement. The Activist Boycotter profile (which emphasizes political consumption over institutional volunteering, with a 46.9% volunteering rate) may represent an emerging civic pathway operating alongside traditional voluntarism rather than substituting for it.</w:t>
      </w:r>
    </w:p>
    <w:p>
      <w:pPr>
        <w:spacing w:before="0" w:after="0" w:lineRule="auto" w:line="480"/>
        <w:ind w:firstLine="720"/>
        <w:jc w:val="left"/>
      </w:pPr>
      <w:r>
        <w:rPr>
          <w:rFonts w:ascii="Times New Roman" w:hAnsi="Times New Roman" w:cs="Times New Roman"/>
          <w:b w:val="0"/>
          <w:i w:val="0"/>
          <w:sz w:val="24"/>
        </w:rPr>
        <w:t>What does this convergence of evidence mean for the prevailing narrative about generational differences in civic engagement? It challenges it. Dalton (2008) and others frame declining youth participation as a value shift from "duty-based" to "engaged" citizenship, in which younger cohorts express commitment through informal and digital channels. We read the data differently. The baseline paradox (Gen Z volunteering more than similarly isolated Boomers at zero socialization) is inconsistent with a motivational deficit account. The plateau at moderate socialization levels is more consistent with an account in which Gen Z lacks the dense, multiplex social networks that Granovetter (1973) identified as conduits for weak-tie recruitment. The "scrolling together" metaphor captures this structural irony: Gen Z is the most connected generation digitally yet the most disconnected in face-to-face contact. The null finding for civic social media use (</w:t>
      </w:r>
      <w:r>
        <w:rPr>
          <w:rFonts w:ascii="Times New Roman" w:hAnsi="Times New Roman" w:cs="Times New Roman"/>
          <w:b w:val="0"/>
          <w:i/>
          <w:sz w:val="24"/>
        </w:rPr>
        <w:t>p</w:t>
      </w:r>
      <w:r>
        <w:rPr>
          <w:rFonts w:ascii="Times New Roman" w:hAnsi="Times New Roman" w:cs="Times New Roman"/>
          <w:b w:val="0"/>
          <w:i w:val="0"/>
          <w:sz w:val="24"/>
        </w:rPr>
        <w:t xml:space="preserve"> = .969) confirms that digital civic activity does not function as a recruitment channel the way a personal encounter does. Those who socialize enough to encounter some recruitment opportunities do volunteer, but their social contexts (often peer-group gatherings without institutional anchoring) may not provide the escalating web of obligations that drove older cohorts toward deeper engagement.</w:t>
      </w:r>
    </w:p>
    <w:p>
      <w:pPr>
        <w:spacing w:before="0" w:after="0" w:lineRule="auto" w:line="480"/>
        <w:ind w:firstLine="720"/>
        <w:jc w:val="left"/>
      </w:pPr>
      <w:r>
        <w:rPr>
          <w:rFonts w:ascii="Times New Roman" w:hAnsi="Times New Roman" w:cs="Times New Roman"/>
          <w:b w:val="0"/>
          <w:i w:val="0"/>
          <w:sz w:val="24"/>
        </w:rPr>
        <w:t>The baseline paradox admits two interpretations: stronger intrinsic civic motivation cultivated through digital cause-awareness, or compositional differences (an isolated 18-year-old living with volunteering parents differs from an isolated 65-year-old retiree). Our baseline comparison controls for demographics but cannot fully account for unobserved household-level civic socialization. The more consequential finding is what happens above the baseline: Gen Z's volunteering probability plateaus where other generations' continues to climb, and it is this ceiling, not the floor, that explains the overall generational gap.</w:t>
      </w:r>
    </w:p>
    <w:p>
      <w:pPr>
        <w:spacing w:before="0" w:after="0" w:lineRule="auto" w:line="480"/>
        <w:ind w:firstLine="720"/>
        <w:jc w:val="left"/>
      </w:pPr>
      <w:r>
        <w:rPr>
          <w:rFonts w:ascii="Times New Roman" w:hAnsi="Times New Roman" w:cs="Times New Roman"/>
          <w:b w:val="0"/>
          <w:i w:val="0"/>
          <w:sz w:val="24"/>
        </w:rPr>
        <w:t>At the policy level, the Surgeon General's 2023 advisory focused predominantly on health consequences of social disconnection. Our results point to civic consequences that deserve equal attention. Workplace-based volunteer programs may serve a bridging function by providing the structured, organizationally anchored social context that the LPA analysis identified as critical for translating socialization into civic action. Federal and state civic engagement initiatives would benefit from incorporating a "social activation" component that addresses social isolation as a barrier to entry rather than assuming motivation alone is sufficient. The common thread is designing the social encounter first and the volunteer ask second, inverting the traditional model that assumes interested individuals will seek out opportunities on their own.</w:t>
      </w:r>
    </w:p>
    <w:p>
      <w:pPr>
        <w:spacing w:before="0" w:after="0" w:lineRule="auto" w:line="480"/>
        <w:jc w:val="left"/>
      </w:pPr>
      <w:r>
        <w:rPr>
          <w:rFonts w:ascii="Times New Roman" w:hAnsi="Times New Roman" w:cs="Times New Roman"/>
          <w:b/>
          <w:i w:val="0"/>
          <w:sz w:val="24"/>
        </w:rPr>
        <w:t>Limitations and Future Directions</w:t>
      </w:r>
    </w:p>
    <w:p>
      <w:pPr>
        <w:spacing w:before="0" w:after="0" w:lineRule="auto" w:line="480"/>
        <w:ind w:firstLine="720"/>
        <w:jc w:val="left"/>
      </w:pPr>
      <w:r>
        <w:rPr>
          <w:rFonts w:ascii="Times New Roman" w:hAnsi="Times New Roman" w:cs="Times New Roman"/>
          <w:b w:val="0"/>
          <w:i w:val="0"/>
          <w:sz w:val="24"/>
        </w:rPr>
        <w:t>Does the gradient reflect socialization causing volunteering, or volunteering generating social contact? The pooled cross-sectional design cannot resolve this question. People who volunteer meet others through their service, which increases their socialization frequency; the entire gradient could be partly driven by this reverse pathway, or both socialization and volunteering may reflect a common disposition such as extraversion. Two features of the results provide partial leverage against a purely reverse-causal account. The nonlinear threshold shape of the First Step Effect is more consistent with a recruitment mechanism, in which initial contact triggers awareness of opportunities, than with reverse causation, which would predict a more linear association. And the temporal stability of the pattern across four waves suggests a durable relationship rather than a context-dependent artifact. Establishing directionality will require longitudinal data. The CPS rotation group structure offers a quasi-panel design that could establish whether changes in socialization within individuals precede changes in volunteering; true panel studies (e.g., PSID, Understanding America Study) could provide more definitive evidence. The First Step Effect also implies a specific intervention design: randomized controlled trials of low-threshold, single-contact programs targeting socially isolated young adults would test whether the cross-sectional associations documented here reflect causal pathways.</w:t>
      </w:r>
    </w:p>
    <w:p>
      <w:pPr>
        <w:spacing w:before="0" w:after="0" w:lineRule="auto" w:line="480"/>
        <w:ind w:firstLine="720"/>
        <w:jc w:val="left"/>
      </w:pPr>
      <w:r>
        <w:rPr>
          <w:rFonts w:ascii="Times New Roman" w:hAnsi="Times New Roman" w:cs="Times New Roman"/>
          <w:b w:val="0"/>
          <w:i w:val="0"/>
          <w:sz w:val="24"/>
        </w:rPr>
        <w:t xml:space="preserve">Measurement constraints add further caveats. The CESOCIALIZE item captures frequency of socialization but not its quality, depth, or content; "got together socially with friends, relatives, or neighbors" conflates kin-based socialization (primarily bonding capital), friendship networks, and neighbor contact (most directly tied to community recruitment). These domains have different theoretical relationships to volunteering, and the composite measure cannot disentangle them; future research should disaggregate socialization by context (kin vs. friend vs. neighbor) and institutional setting (organizationally embedded vs. informal) to test whether institutionally anchored socialization is uniquely tied to civic recruitment. The binary COVID coding (2017/2019 vs. 2021/2023) is approximate; the 2021 wave was administered during, not after, the pandemic. A supplementary three-period specification (Pre-COVID 2017/2019, During-COVID 2021, Post-COVID 2023) yielded a non-significant three-way interaction (F = 1.04, df = 40, </w:t>
      </w:r>
      <w:r>
        <w:rPr>
          <w:rFonts w:ascii="Times New Roman" w:hAnsi="Times New Roman" w:cs="Times New Roman"/>
          <w:b w:val="0"/>
          <w:i/>
          <w:sz w:val="24"/>
        </w:rPr>
        <w:t>p</w:t>
      </w:r>
      <w:r>
        <w:rPr>
          <w:rFonts w:ascii="Times New Roman" w:hAnsi="Times New Roman" w:cs="Times New Roman"/>
          <w:b w:val="0"/>
          <w:i w:val="0"/>
          <w:sz w:val="24"/>
        </w:rPr>
        <w:t xml:space="preserve"> = .396), confirming that the socialization–volunteering–generation relationship was stable across all three periods. The PES16F variable measuring virtual versus in-person volunteering mode is available only for the 2023 wave, preventing systematic analysis of how volunteering modality interacts with social isolation. All measures are self-reported and subject to social desirability bias, which may differentially affect reporting of socially valued behaviors such as volunteering. Generational classification by birth cohort conflates age, period, and cohort effects. Supplementary analyses (nonlinear age controls [age-squared], fixed age-band comparisons [ages 25–30 across waves], and shifted generation boundaries [Gen Z = 1995+]) confirmed that the socialization-by-generation interaction survived all specifications (</w:t>
      </w:r>
      <w:r>
        <w:rPr>
          <w:rFonts w:ascii="Times New Roman" w:hAnsi="Times New Roman" w:cs="Times New Roman"/>
          <w:b w:val="0"/>
          <w:i/>
          <w:sz w:val="24"/>
        </w:rPr>
        <w:t>p</w:t>
      </w:r>
      <w:r>
        <w:rPr>
          <w:rFonts w:ascii="Times New Roman" w:hAnsi="Times New Roman" w:cs="Times New Roman"/>
          <w:b w:val="0"/>
          <w:i w:val="0"/>
          <w:sz w:val="24"/>
        </w:rPr>
        <w:t xml:space="preserve"> &lt; .001) and that First Step AMEs were essentially unchanged. Such tests reduce the plausibility of a purely age-based account without eliminating it; we cannot rule out that what we attribute to generational differences reflects life-stage effects that would dissipate as Gen Z ages into the institutional roles that historically anchor civic participation. We use "generation" to mean birth-cohort-at-observed-age rather than a fixed generational identity; a formal age-period-cohort decomposition would require additional data waves. The CPS-CEV does not include a religious attendance item, a notable omission given that congregations are among the strongest institutional predictors of volunteering in U.S. studies (Putnam &amp; Campbell, 2010; Musick &amp; Wilson, 2008). Organizational membership count and charitable donation to religious organizations provide partial proxies, and the robustness analysis showing ~30% attenuation of the First Step Effect when controlling for membership suggests the socialization pathway partly operates through institutional channels, of which religious congregations are a major component. The dependent variable captures extensive-margin participation (volunteered yes/no in past 12 months) but not intensive-margin engagement; the CPS Volunteer Supplement includes annual volunteer hours (VLHALLORG), which could serve as a continuous alternative in future analyses.</w:t>
      </w:r>
    </w:p>
    <w:p>
      <w:pPr>
        <w:spacing w:before="0" w:after="0" w:lineRule="auto" w:line="480"/>
        <w:jc w:val="left"/>
      </w:pPr>
      <w:r>
        <w:rPr>
          <w:rFonts w:ascii="Times New Roman" w:hAnsi="Times New Roman" w:cs="Times New Roman"/>
          <w:b/>
          <w:i w:val="0"/>
          <w:sz w:val="24"/>
        </w:rPr>
        <w:t>Conclusion</w:t>
      </w:r>
    </w:p>
    <w:p>
      <w:pPr>
        <w:spacing w:before="0" w:after="0" w:lineRule="auto" w:line="480"/>
        <w:ind w:firstLine="720"/>
        <w:jc w:val="left"/>
      </w:pPr>
      <w:r>
        <w:rPr>
          <w:rFonts w:ascii="Times New Roman" w:hAnsi="Times New Roman" w:cs="Times New Roman"/>
          <w:b w:val="0"/>
          <w:i w:val="0"/>
          <w:sz w:val="24"/>
        </w:rPr>
        <w:t>The social disconnection of Generation Z is a civic engagement challenge as much as a health challenge. What the data show, with consistent convergence across methods and across time, is that one step out of isolation is associated with a larger civic return than any subsequent increase in social frequency. In 2000, Americans were bowling alone; a quarter century later, the youngest Americans are scrolling together, maintaining the appearance of social connection through digital platforms that sustain awareness of community needs without providing the face-to-face encounters that translate awareness into action. The path to volunteering begins not with appeals to duty or digital campaigns but with creating the physical social encounters, the social infrastructure that Klinenberg (2018) describes, that make civic recruitment possible.</w:t>
      </w:r>
    </w:p>
    <w:p>
      <w:pPr/>
      <w:r>
        <w:br w:type="page"/>
      </w:r>
    </w:p>
    <w:p>
      <w:pPr>
        <w:spacing w:before="0" w:after="0" w:lineRule="auto" w:line="480"/>
        <w:jc w:val="center"/>
      </w:pPr>
      <w:r>
        <w:rPr>
          <w:rFonts w:ascii="Times New Roman" w:hAnsi="Times New Roman" w:cs="Times New Roman"/>
          <w:b/>
          <w:i w:val="0"/>
          <w:sz w:val="24"/>
        </w:rPr>
        <w:t>References</w:t>
      </w:r>
    </w:p>
    <w:p>
      <w:pPr>
        <w:spacing w:before="0" w:after="0" w:lineRule="auto" w:line="480"/>
        <w:ind w:left="720" w:hanging="720"/>
        <w:jc w:val="left"/>
      </w:pPr>
      <w:r>
        <w:rPr>
          <w:rFonts w:ascii="Times New Roman" w:hAnsi="Times New Roman" w:cs="Times New Roman"/>
          <w:b w:val="0"/>
          <w:i w:val="0"/>
          <w:sz w:val="24"/>
        </w:rPr>
        <w:t>AmeriCorps. (2023). Volunteering and civic life in America.</w:t>
      </w:r>
    </w:p>
    <w:p>
      <w:pPr>
        <w:spacing w:before="0" w:after="0" w:lineRule="auto" w:line="480"/>
        <w:ind w:left="720" w:hanging="720"/>
        <w:jc w:val="left"/>
      </w:pPr>
      <w:r>
        <w:rPr>
          <w:rFonts w:ascii="Times New Roman" w:hAnsi="Times New Roman" w:cs="Times New Roman"/>
          <w:b w:val="0"/>
          <w:i w:val="0"/>
          <w:sz w:val="24"/>
        </w:rPr>
        <w:t xml:space="preserve">Arel-Bundock, V. (2023). </w:t>
      </w:r>
      <w:r>
        <w:rPr>
          <w:rFonts w:ascii="Times New Roman" w:hAnsi="Times New Roman" w:cs="Times New Roman"/>
          <w:b w:val="0"/>
          <w:i/>
          <w:sz w:val="24"/>
        </w:rPr>
        <w:t>marginaleffects: Predictions, comparisons, slopes, marginal means, and hypothesis tests</w:t>
      </w:r>
      <w:r>
        <w:rPr>
          <w:rFonts w:ascii="Times New Roman" w:hAnsi="Times New Roman" w:cs="Times New Roman"/>
          <w:b w:val="0"/>
          <w:i w:val="0"/>
          <w:sz w:val="24"/>
        </w:rPr>
        <w:t>. R package.</w:t>
      </w:r>
    </w:p>
    <w:p>
      <w:pPr>
        <w:spacing w:before="0" w:after="0" w:lineRule="auto" w:line="480"/>
        <w:ind w:left="720" w:hanging="720"/>
        <w:jc w:val="left"/>
      </w:pPr>
      <w:r>
        <w:rPr>
          <w:rFonts w:ascii="Times New Roman" w:hAnsi="Times New Roman" w:cs="Times New Roman"/>
          <w:b w:val="0"/>
          <w:i w:val="0"/>
          <w:sz w:val="24"/>
        </w:rPr>
        <w:t xml:space="preserve">Bennett, W. L., &amp; Segerberg, A. (2012). The logic of connective action. </w:t>
      </w:r>
      <w:r>
        <w:rPr>
          <w:rFonts w:ascii="Times New Roman" w:hAnsi="Times New Roman" w:cs="Times New Roman"/>
          <w:b w:val="0"/>
          <w:i/>
          <w:sz w:val="24"/>
        </w:rPr>
        <w:t>Information, Communication &amp; Society, 15</w:t>
      </w:r>
      <w:r>
        <w:rPr>
          <w:rFonts w:ascii="Times New Roman" w:hAnsi="Times New Roman" w:cs="Times New Roman"/>
          <w:b w:val="0"/>
          <w:i w:val="0"/>
          <w:sz w:val="24"/>
        </w:rPr>
        <w:t>(5), 739–768.</w:t>
      </w:r>
    </w:p>
    <w:p>
      <w:pPr>
        <w:spacing w:before="0" w:after="0" w:lineRule="auto" w:line="480"/>
        <w:ind w:left="720" w:hanging="720"/>
        <w:jc w:val="left"/>
      </w:pPr>
      <w:r>
        <w:rPr>
          <w:rFonts w:ascii="Times New Roman" w:hAnsi="Times New Roman" w:cs="Times New Roman"/>
          <w:b w:val="0"/>
          <w:i w:val="0"/>
          <w:sz w:val="24"/>
        </w:rPr>
        <w:t xml:space="preserve">Beyerlein, K., &amp; Hipp, J. R. (2006). From pews to participation: The effect of congregation activity and context on bridging civic engagement. </w:t>
      </w:r>
      <w:r>
        <w:rPr>
          <w:rFonts w:ascii="Times New Roman" w:hAnsi="Times New Roman" w:cs="Times New Roman"/>
          <w:b w:val="0"/>
          <w:i/>
          <w:sz w:val="24"/>
        </w:rPr>
        <w:t>Social Problems, 53</w:t>
      </w:r>
      <w:r>
        <w:rPr>
          <w:rFonts w:ascii="Times New Roman" w:hAnsi="Times New Roman" w:cs="Times New Roman"/>
          <w:b w:val="0"/>
          <w:i w:val="0"/>
          <w:sz w:val="24"/>
        </w:rPr>
        <w:t>(1), 97–117.</w:t>
      </w:r>
    </w:p>
    <w:p>
      <w:pPr>
        <w:spacing w:before="0" w:after="0" w:lineRule="auto" w:line="480"/>
        <w:ind w:left="720" w:hanging="720"/>
        <w:jc w:val="left"/>
      </w:pPr>
      <w:r>
        <w:rPr>
          <w:rFonts w:ascii="Times New Roman" w:hAnsi="Times New Roman" w:cs="Times New Roman"/>
          <w:b w:val="0"/>
          <w:i w:val="0"/>
          <w:sz w:val="24"/>
        </w:rPr>
        <w:t xml:space="preserve">Bode, L., Vraga, E. K., Borah, P., &amp; Shah, D. V. (2014). A new space for political behavior. </w:t>
      </w:r>
      <w:r>
        <w:rPr>
          <w:rFonts w:ascii="Times New Roman" w:hAnsi="Times New Roman" w:cs="Times New Roman"/>
          <w:b w:val="0"/>
          <w:i/>
          <w:sz w:val="24"/>
        </w:rPr>
        <w:t>Political Communication, 31</w:t>
      </w:r>
      <w:r>
        <w:rPr>
          <w:rFonts w:ascii="Times New Roman" w:hAnsi="Times New Roman" w:cs="Times New Roman"/>
          <w:b w:val="0"/>
          <w:i w:val="0"/>
          <w:sz w:val="24"/>
        </w:rPr>
        <w:t>(1), 52–74.</w:t>
      </w:r>
    </w:p>
    <w:p>
      <w:pPr>
        <w:spacing w:before="0" w:after="0" w:lineRule="auto" w:line="480"/>
        <w:ind w:left="720" w:hanging="720"/>
        <w:jc w:val="left"/>
      </w:pPr>
      <w:r>
        <w:rPr>
          <w:rFonts w:ascii="Times New Roman" w:hAnsi="Times New Roman" w:cs="Times New Roman"/>
          <w:b w:val="0"/>
          <w:i w:val="0"/>
          <w:sz w:val="24"/>
        </w:rPr>
        <w:t xml:space="preserve">Brady, H. E., Verba, S., &amp; Schlozman, K. L. (1995). Beyond SES: A resource model of political participation. </w:t>
      </w:r>
      <w:r>
        <w:rPr>
          <w:rFonts w:ascii="Times New Roman" w:hAnsi="Times New Roman" w:cs="Times New Roman"/>
          <w:b w:val="0"/>
          <w:i/>
          <w:sz w:val="24"/>
        </w:rPr>
        <w:t>American Political Science Review, 89</w:t>
      </w:r>
      <w:r>
        <w:rPr>
          <w:rFonts w:ascii="Times New Roman" w:hAnsi="Times New Roman" w:cs="Times New Roman"/>
          <w:b w:val="0"/>
          <w:i w:val="0"/>
          <w:sz w:val="24"/>
        </w:rPr>
        <w:t>(2), 271–294.</w:t>
      </w:r>
    </w:p>
    <w:p>
      <w:pPr>
        <w:spacing w:before="0" w:after="0" w:lineRule="auto" w:line="480"/>
        <w:ind w:left="720" w:hanging="720"/>
        <w:jc w:val="left"/>
      </w:pPr>
      <w:r>
        <w:rPr>
          <w:rFonts w:ascii="Times New Roman" w:hAnsi="Times New Roman" w:cs="Times New Roman"/>
          <w:b w:val="0"/>
          <w:i w:val="0"/>
          <w:sz w:val="24"/>
        </w:rPr>
        <w:t xml:space="preserve">Bureau of Labor Statistics. (2016). </w:t>
      </w:r>
      <w:r>
        <w:rPr>
          <w:rFonts w:ascii="Times New Roman" w:hAnsi="Times New Roman" w:cs="Times New Roman"/>
          <w:b w:val="0"/>
          <w:i/>
          <w:sz w:val="24"/>
        </w:rPr>
        <w:t>Volunteering in the United States, 2015</w:t>
      </w:r>
      <w:r>
        <w:rPr>
          <w:rFonts w:ascii="Times New Roman" w:hAnsi="Times New Roman" w:cs="Times New Roman"/>
          <w:b w:val="0"/>
          <w:i w:val="0"/>
          <w:sz w:val="24"/>
        </w:rPr>
        <w:t>.</w:t>
      </w:r>
    </w:p>
    <w:p>
      <w:pPr>
        <w:spacing w:before="0" w:after="0" w:lineRule="auto" w:line="480"/>
        <w:ind w:left="720" w:hanging="720"/>
        <w:jc w:val="left"/>
      </w:pPr>
      <w:r>
        <w:rPr>
          <w:rFonts w:ascii="Times New Roman" w:hAnsi="Times New Roman" w:cs="Times New Roman"/>
          <w:b w:val="0"/>
          <w:i w:val="0"/>
          <w:sz w:val="24"/>
        </w:rPr>
        <w:t xml:space="preserve">Cacioppo, J. T., &amp; Cacioppo, S. (2014). Social relationships and health: The toxic effects of perceived social isolation. </w:t>
      </w:r>
      <w:r>
        <w:rPr>
          <w:rFonts w:ascii="Times New Roman" w:hAnsi="Times New Roman" w:cs="Times New Roman"/>
          <w:b w:val="0"/>
          <w:i/>
          <w:sz w:val="24"/>
        </w:rPr>
        <w:t>Social and Personality Psychology Compass, 8</w:t>
      </w:r>
      <w:r>
        <w:rPr>
          <w:rFonts w:ascii="Times New Roman" w:hAnsi="Times New Roman" w:cs="Times New Roman"/>
          <w:b w:val="0"/>
          <w:i w:val="0"/>
          <w:sz w:val="24"/>
        </w:rPr>
        <w:t>(2), 58–72.</w:t>
      </w:r>
    </w:p>
    <w:p>
      <w:pPr>
        <w:spacing w:before="0" w:after="0" w:lineRule="auto" w:line="480"/>
        <w:ind w:left="720" w:hanging="720"/>
        <w:jc w:val="left"/>
      </w:pPr>
      <w:r>
        <w:rPr>
          <w:rFonts w:ascii="Times New Roman" w:hAnsi="Times New Roman" w:cs="Times New Roman"/>
          <w:b w:val="0"/>
          <w:i w:val="0"/>
          <w:sz w:val="24"/>
        </w:rPr>
        <w:t xml:space="preserve">Coleman, J. S. (1988). Social capital in the creation of human capital. </w:t>
      </w:r>
      <w:r>
        <w:rPr>
          <w:rFonts w:ascii="Times New Roman" w:hAnsi="Times New Roman" w:cs="Times New Roman"/>
          <w:b w:val="0"/>
          <w:i/>
          <w:sz w:val="24"/>
        </w:rPr>
        <w:t>American Journal of Sociology, 94</w:t>
      </w:r>
      <w:r>
        <w:rPr>
          <w:rFonts w:ascii="Times New Roman" w:hAnsi="Times New Roman" w:cs="Times New Roman"/>
          <w:b w:val="0"/>
          <w:i w:val="0"/>
          <w:sz w:val="24"/>
        </w:rPr>
        <w:t>, S95–S120.</w:t>
      </w:r>
    </w:p>
    <w:p>
      <w:pPr>
        <w:spacing w:before="0" w:after="0" w:lineRule="auto" w:line="480"/>
        <w:ind w:left="720" w:hanging="720"/>
        <w:jc w:val="left"/>
      </w:pPr>
      <w:r>
        <w:rPr>
          <w:rFonts w:ascii="Times New Roman" w:hAnsi="Times New Roman" w:cs="Times New Roman"/>
          <w:b w:val="0"/>
          <w:i w:val="0"/>
          <w:sz w:val="24"/>
        </w:rPr>
        <w:t xml:space="preserve">Collins, L. M., &amp; Lanza, S. T. (2010). </w:t>
      </w:r>
      <w:r>
        <w:rPr>
          <w:rFonts w:ascii="Times New Roman" w:hAnsi="Times New Roman" w:cs="Times New Roman"/>
          <w:b w:val="0"/>
          <w:i/>
          <w:sz w:val="24"/>
        </w:rPr>
        <w:t>Latent class and latent transition analysis</w:t>
      </w:r>
      <w:r>
        <w:rPr>
          <w:rFonts w:ascii="Times New Roman" w:hAnsi="Times New Roman" w:cs="Times New Roman"/>
          <w:b w:val="0"/>
          <w:i w:val="0"/>
          <w:sz w:val="24"/>
        </w:rPr>
        <w:t>. Wiley.</w:t>
      </w:r>
    </w:p>
    <w:p>
      <w:pPr>
        <w:spacing w:before="0" w:after="0" w:lineRule="auto" w:line="480"/>
        <w:ind w:left="720" w:hanging="720"/>
        <w:jc w:val="left"/>
      </w:pPr>
      <w:r>
        <w:rPr>
          <w:rFonts w:ascii="Times New Roman" w:hAnsi="Times New Roman" w:cs="Times New Roman"/>
          <w:b w:val="0"/>
          <w:i w:val="0"/>
          <w:sz w:val="24"/>
        </w:rPr>
        <w:t xml:space="preserve">Corporation for National and Community Service. (2018). </w:t>
      </w:r>
      <w:r>
        <w:rPr>
          <w:rFonts w:ascii="Times New Roman" w:hAnsi="Times New Roman" w:cs="Times New Roman"/>
          <w:b w:val="0"/>
          <w:i/>
          <w:sz w:val="24"/>
        </w:rPr>
        <w:t>Volunteering in America</w:t>
      </w:r>
      <w:r>
        <w:rPr>
          <w:rFonts w:ascii="Times New Roman" w:hAnsi="Times New Roman" w:cs="Times New Roman"/>
          <w:b w:val="0"/>
          <w:i w:val="0"/>
          <w:sz w:val="24"/>
        </w:rPr>
        <w:t>.</w:t>
      </w:r>
    </w:p>
    <w:p>
      <w:pPr>
        <w:spacing w:before="0" w:after="0" w:lineRule="auto" w:line="480"/>
        <w:ind w:left="720" w:hanging="720"/>
        <w:jc w:val="left"/>
      </w:pPr>
      <w:r>
        <w:rPr>
          <w:rFonts w:ascii="Times New Roman" w:hAnsi="Times New Roman" w:cs="Times New Roman"/>
          <w:b w:val="0"/>
          <w:i w:val="0"/>
          <w:sz w:val="24"/>
        </w:rPr>
        <w:t xml:space="preserve">Dalton, R. J. (2008). </w:t>
      </w:r>
      <w:r>
        <w:rPr>
          <w:rFonts w:ascii="Times New Roman" w:hAnsi="Times New Roman" w:cs="Times New Roman"/>
          <w:b w:val="0"/>
          <w:i/>
          <w:sz w:val="24"/>
        </w:rPr>
        <w:t>The good citizen: How a younger generation is reshaping American politics</w:t>
      </w:r>
      <w:r>
        <w:rPr>
          <w:rFonts w:ascii="Times New Roman" w:hAnsi="Times New Roman" w:cs="Times New Roman"/>
          <w:b w:val="0"/>
          <w:i w:val="0"/>
          <w:sz w:val="24"/>
        </w:rPr>
        <w:t>. CQ Press.</w:t>
      </w:r>
    </w:p>
    <w:p>
      <w:pPr>
        <w:spacing w:before="0" w:after="0" w:lineRule="auto" w:line="480"/>
        <w:ind w:left="720" w:hanging="720"/>
        <w:jc w:val="left"/>
      </w:pPr>
      <w:r>
        <w:rPr>
          <w:rFonts w:ascii="Times New Roman" w:hAnsi="Times New Roman" w:cs="Times New Roman"/>
          <w:b w:val="0"/>
          <w:i w:val="0"/>
          <w:sz w:val="24"/>
        </w:rPr>
        <w:t xml:space="preserve">Flanagan, C. A., &amp; Levine, P. (2010). Civic engagement and the transition to adulthood. </w:t>
      </w:r>
      <w:r>
        <w:rPr>
          <w:rFonts w:ascii="Times New Roman" w:hAnsi="Times New Roman" w:cs="Times New Roman"/>
          <w:b w:val="0"/>
          <w:i/>
          <w:sz w:val="24"/>
        </w:rPr>
        <w:t>The Future of Children, 20</w:t>
      </w:r>
      <w:r>
        <w:rPr>
          <w:rFonts w:ascii="Times New Roman" w:hAnsi="Times New Roman" w:cs="Times New Roman"/>
          <w:b w:val="0"/>
          <w:i w:val="0"/>
          <w:sz w:val="24"/>
        </w:rPr>
        <w:t>(1), 159–179.</w:t>
      </w:r>
    </w:p>
    <w:p>
      <w:pPr>
        <w:spacing w:before="0" w:after="0" w:lineRule="auto" w:line="480"/>
        <w:ind w:left="720" w:hanging="720"/>
        <w:jc w:val="left"/>
      </w:pPr>
      <w:r>
        <w:rPr>
          <w:rFonts w:ascii="Times New Roman" w:hAnsi="Times New Roman" w:cs="Times New Roman"/>
          <w:b w:val="0"/>
          <w:i w:val="0"/>
          <w:sz w:val="24"/>
        </w:rPr>
        <w:t xml:space="preserve">Flood, S., King, M., Rodgers, R., Ruggles, S., Warren, J. R., &amp; Westberry, M. (2023). </w:t>
      </w:r>
      <w:r>
        <w:rPr>
          <w:rFonts w:ascii="Times New Roman" w:hAnsi="Times New Roman" w:cs="Times New Roman"/>
          <w:b w:val="0"/>
          <w:i/>
          <w:sz w:val="24"/>
        </w:rPr>
        <w:t>Integrated Public Use Microdata Series, Current Population Survey: Version 11.0</w:t>
      </w:r>
      <w:r>
        <w:rPr>
          <w:rFonts w:ascii="Times New Roman" w:hAnsi="Times New Roman" w:cs="Times New Roman"/>
          <w:b w:val="0"/>
          <w:i w:val="0"/>
          <w:sz w:val="24"/>
        </w:rPr>
        <w:t>. IPUMS.</w:t>
      </w:r>
    </w:p>
    <w:p>
      <w:pPr>
        <w:spacing w:before="0" w:after="0" w:lineRule="auto" w:line="480"/>
        <w:ind w:left="720" w:hanging="720"/>
        <w:jc w:val="left"/>
      </w:pPr>
      <w:r>
        <w:rPr>
          <w:rFonts w:ascii="Times New Roman" w:hAnsi="Times New Roman" w:cs="Times New Roman"/>
          <w:b w:val="0"/>
          <w:i w:val="0"/>
          <w:sz w:val="24"/>
        </w:rPr>
        <w:t xml:space="preserve">Friedman, J. H. (2001). Greedy function approximation: A gradient boosting machine. </w:t>
      </w:r>
      <w:r>
        <w:rPr>
          <w:rFonts w:ascii="Times New Roman" w:hAnsi="Times New Roman" w:cs="Times New Roman"/>
          <w:b w:val="0"/>
          <w:i/>
          <w:sz w:val="24"/>
        </w:rPr>
        <w:t>Annals of Statistics, 29</w:t>
      </w:r>
      <w:r>
        <w:rPr>
          <w:rFonts w:ascii="Times New Roman" w:hAnsi="Times New Roman" w:cs="Times New Roman"/>
          <w:b w:val="0"/>
          <w:i w:val="0"/>
          <w:sz w:val="24"/>
        </w:rPr>
        <w:t>(5), 1189–1232.</w:t>
      </w:r>
    </w:p>
    <w:p>
      <w:pPr>
        <w:spacing w:before="0" w:after="0" w:lineRule="auto" w:line="480"/>
        <w:ind w:left="720" w:hanging="720"/>
        <w:jc w:val="left"/>
      </w:pPr>
      <w:r>
        <w:rPr>
          <w:rFonts w:ascii="Times New Roman" w:hAnsi="Times New Roman" w:cs="Times New Roman"/>
          <w:b w:val="0"/>
          <w:i w:val="0"/>
          <w:sz w:val="24"/>
        </w:rPr>
        <w:t xml:space="preserve">Gil de Zuniga, H., Jung, N., &amp; Valenzuela, S. (2012). Social media use for news and individuals’ social capital, civic engagement and political participation. </w:t>
      </w:r>
      <w:r>
        <w:rPr>
          <w:rFonts w:ascii="Times New Roman" w:hAnsi="Times New Roman" w:cs="Times New Roman"/>
          <w:b w:val="0"/>
          <w:i/>
          <w:sz w:val="24"/>
        </w:rPr>
        <w:t>Journal of Computer-Mediated Communication, 17</w:t>
      </w:r>
      <w:r>
        <w:rPr>
          <w:rFonts w:ascii="Times New Roman" w:hAnsi="Times New Roman" w:cs="Times New Roman"/>
          <w:b w:val="0"/>
          <w:i w:val="0"/>
          <w:sz w:val="24"/>
        </w:rPr>
        <w:t>(3), 319–336.</w:t>
      </w:r>
    </w:p>
    <w:p>
      <w:pPr>
        <w:spacing w:before="0" w:after="0" w:lineRule="auto" w:line="480"/>
        <w:ind w:left="720" w:hanging="720"/>
        <w:jc w:val="left"/>
      </w:pPr>
      <w:r>
        <w:rPr>
          <w:rFonts w:ascii="Times New Roman" w:hAnsi="Times New Roman" w:cs="Times New Roman"/>
          <w:b w:val="0"/>
          <w:i w:val="0"/>
          <w:sz w:val="24"/>
        </w:rPr>
        <w:t xml:space="preserve">Granovetter, M. S. (1973). The strength of weak ties. </w:t>
      </w:r>
      <w:r>
        <w:rPr>
          <w:rFonts w:ascii="Times New Roman" w:hAnsi="Times New Roman" w:cs="Times New Roman"/>
          <w:b w:val="0"/>
          <w:i/>
          <w:sz w:val="24"/>
        </w:rPr>
        <w:t>American Journal of Sociology, 78</w:t>
      </w:r>
      <w:r>
        <w:rPr>
          <w:rFonts w:ascii="Times New Roman" w:hAnsi="Times New Roman" w:cs="Times New Roman"/>
          <w:b w:val="0"/>
          <w:i w:val="0"/>
          <w:sz w:val="24"/>
        </w:rPr>
        <w:t>(6), 1360–1380.</w:t>
      </w:r>
    </w:p>
    <w:p>
      <w:pPr>
        <w:spacing w:before="0" w:after="0" w:lineRule="auto" w:line="480"/>
        <w:ind w:left="720" w:hanging="720"/>
        <w:jc w:val="left"/>
      </w:pPr>
      <w:r>
        <w:rPr>
          <w:rFonts w:ascii="Times New Roman" w:hAnsi="Times New Roman" w:cs="Times New Roman"/>
          <w:b w:val="0"/>
          <w:i w:val="0"/>
          <w:sz w:val="24"/>
        </w:rPr>
        <w:t xml:space="preserve">Holt-Lunstad, J., Smith, T. B., &amp; Layton, J. B. (2010). Social relationships and mortality risk: A meta-analytic review. </w:t>
      </w:r>
      <w:r>
        <w:rPr>
          <w:rFonts w:ascii="Times New Roman" w:hAnsi="Times New Roman" w:cs="Times New Roman"/>
          <w:b w:val="0"/>
          <w:i/>
          <w:sz w:val="24"/>
        </w:rPr>
        <w:t>PLoS Medicine, 7</w:t>
      </w:r>
      <w:r>
        <w:rPr>
          <w:rFonts w:ascii="Times New Roman" w:hAnsi="Times New Roman" w:cs="Times New Roman"/>
          <w:b w:val="0"/>
          <w:i w:val="0"/>
          <w:sz w:val="24"/>
        </w:rPr>
        <w:t>(7), e1000316.</w:t>
      </w:r>
    </w:p>
    <w:p>
      <w:pPr>
        <w:spacing w:before="0" w:after="0" w:lineRule="auto" w:line="480"/>
        <w:ind w:left="720" w:hanging="720"/>
        <w:jc w:val="left"/>
      </w:pPr>
      <w:r>
        <w:rPr>
          <w:rFonts w:ascii="Times New Roman" w:hAnsi="Times New Roman" w:cs="Times New Roman"/>
          <w:b w:val="0"/>
          <w:i w:val="0"/>
          <w:sz w:val="24"/>
        </w:rPr>
        <w:t xml:space="preserve">Hooghe, M. (2012). Taking part in politics? An analysis of macro-level determinants and individual-level explanations. </w:t>
      </w:r>
      <w:r>
        <w:rPr>
          <w:rFonts w:ascii="Times New Roman" w:hAnsi="Times New Roman" w:cs="Times New Roman"/>
          <w:b w:val="0"/>
          <w:i/>
          <w:sz w:val="24"/>
        </w:rPr>
        <w:t>International Review of Sociology, 22</w:t>
      </w:r>
      <w:r>
        <w:rPr>
          <w:rFonts w:ascii="Times New Roman" w:hAnsi="Times New Roman" w:cs="Times New Roman"/>
          <w:b w:val="0"/>
          <w:i w:val="0"/>
          <w:sz w:val="24"/>
        </w:rPr>
        <w:t>(1), 9–26.</w:t>
      </w:r>
    </w:p>
    <w:p>
      <w:pPr>
        <w:spacing w:before="0" w:after="0" w:lineRule="auto" w:line="480"/>
        <w:ind w:left="720" w:hanging="720"/>
        <w:jc w:val="left"/>
      </w:pPr>
      <w:r>
        <w:rPr>
          <w:rFonts w:ascii="Times New Roman" w:hAnsi="Times New Roman" w:cs="Times New Roman"/>
          <w:b w:val="0"/>
          <w:i w:val="0"/>
          <w:sz w:val="24"/>
        </w:rPr>
        <w:t xml:space="preserve">Jennings, M. K., &amp; Stoker, L. (2004). Social trust and civic engagement across time and generations. </w:t>
      </w:r>
      <w:r>
        <w:rPr>
          <w:rFonts w:ascii="Times New Roman" w:hAnsi="Times New Roman" w:cs="Times New Roman"/>
          <w:b w:val="0"/>
          <w:i/>
          <w:sz w:val="24"/>
        </w:rPr>
        <w:t>Acta Politica, 39</w:t>
      </w:r>
      <w:r>
        <w:rPr>
          <w:rFonts w:ascii="Times New Roman" w:hAnsi="Times New Roman" w:cs="Times New Roman"/>
          <w:b w:val="0"/>
          <w:i w:val="0"/>
          <w:sz w:val="24"/>
        </w:rPr>
        <w:t>, 342–379.</w:t>
      </w:r>
    </w:p>
    <w:p>
      <w:pPr>
        <w:spacing w:before="0" w:after="0" w:lineRule="auto" w:line="480"/>
        <w:ind w:left="720" w:hanging="720"/>
        <w:jc w:val="left"/>
      </w:pPr>
      <w:r>
        <w:rPr>
          <w:rFonts w:ascii="Times New Roman" w:hAnsi="Times New Roman" w:cs="Times New Roman"/>
          <w:b w:val="0"/>
          <w:i w:val="0"/>
          <w:sz w:val="24"/>
        </w:rPr>
        <w:t xml:space="preserve">Kelle, N., Simonson, J., &amp; Gordo, L. R. (2025). Generational differences in voluntary engagement among older adults. </w:t>
      </w:r>
      <w:r>
        <w:rPr>
          <w:rFonts w:ascii="Times New Roman" w:hAnsi="Times New Roman" w:cs="Times New Roman"/>
          <w:b w:val="0"/>
          <w:i/>
          <w:sz w:val="24"/>
        </w:rPr>
        <w:t>Voluntas, 36</w:t>
      </w:r>
      <w:r>
        <w:rPr>
          <w:rFonts w:ascii="Times New Roman" w:hAnsi="Times New Roman" w:cs="Times New Roman"/>
          <w:b w:val="0"/>
          <w:i w:val="0"/>
          <w:sz w:val="24"/>
        </w:rPr>
        <w:t>, 1–14.</w:t>
      </w:r>
    </w:p>
    <w:p>
      <w:pPr>
        <w:spacing w:before="0" w:after="0" w:lineRule="auto" w:line="480"/>
        <w:ind w:left="720" w:hanging="720"/>
        <w:jc w:val="left"/>
      </w:pPr>
      <w:r>
        <w:rPr>
          <w:rFonts w:ascii="Times New Roman" w:hAnsi="Times New Roman" w:cs="Times New Roman"/>
          <w:b w:val="0"/>
          <w:i w:val="0"/>
          <w:sz w:val="24"/>
        </w:rPr>
        <w:t xml:space="preserve">Klinenberg, E. (2018). </w:t>
      </w:r>
      <w:r>
        <w:rPr>
          <w:rFonts w:ascii="Times New Roman" w:hAnsi="Times New Roman" w:cs="Times New Roman"/>
          <w:b w:val="0"/>
          <w:i/>
          <w:sz w:val="24"/>
        </w:rPr>
        <w:t>Palaces for the people: How social infrastructure can help fight inequality, polarization, and the decline of civic life</w:t>
      </w:r>
      <w:r>
        <w:rPr>
          <w:rFonts w:ascii="Times New Roman" w:hAnsi="Times New Roman" w:cs="Times New Roman"/>
          <w:b w:val="0"/>
          <w:i w:val="0"/>
          <w:sz w:val="24"/>
        </w:rPr>
        <w:t>. Crown.</w:t>
      </w:r>
    </w:p>
    <w:p>
      <w:pPr>
        <w:spacing w:before="0" w:after="0" w:lineRule="auto" w:line="480"/>
        <w:ind w:left="720" w:hanging="720"/>
        <w:jc w:val="left"/>
      </w:pPr>
      <w:r>
        <w:rPr>
          <w:rFonts w:ascii="Times New Roman" w:hAnsi="Times New Roman" w:cs="Times New Roman"/>
          <w:b w:val="0"/>
          <w:i w:val="0"/>
          <w:sz w:val="24"/>
        </w:rPr>
        <w:t xml:space="preserve">Lim, C., &amp; Laurence, J. (2015). Doing good when times are bad: Volunteering behaviour in economic hard times. </w:t>
      </w:r>
      <w:r>
        <w:rPr>
          <w:rFonts w:ascii="Times New Roman" w:hAnsi="Times New Roman" w:cs="Times New Roman"/>
          <w:b w:val="0"/>
          <w:i/>
          <w:sz w:val="24"/>
        </w:rPr>
        <w:t>British Journal of Sociology, 66</w:t>
      </w:r>
      <w:r>
        <w:rPr>
          <w:rFonts w:ascii="Times New Roman" w:hAnsi="Times New Roman" w:cs="Times New Roman"/>
          <w:b w:val="0"/>
          <w:i w:val="0"/>
          <w:sz w:val="24"/>
        </w:rPr>
        <w:t>(2), 319–344.</w:t>
      </w:r>
    </w:p>
    <w:p>
      <w:pPr>
        <w:spacing w:before="0" w:after="0" w:lineRule="auto" w:line="480"/>
        <w:ind w:left="720" w:hanging="720"/>
        <w:jc w:val="left"/>
      </w:pPr>
      <w:r>
        <w:rPr>
          <w:rFonts w:ascii="Times New Roman" w:hAnsi="Times New Roman" w:cs="Times New Roman"/>
          <w:b w:val="0"/>
          <w:i w:val="0"/>
          <w:sz w:val="24"/>
        </w:rPr>
        <w:t xml:space="preserve">Lundberg, S. M., Erion, G., Chen, H., DeGrave, A., Prutkin, J. M., Nair, B., ... &amp; Lee, S. I. (2020). From local explanations to global understanding with explainable AI for trees. </w:t>
      </w:r>
      <w:r>
        <w:rPr>
          <w:rFonts w:ascii="Times New Roman" w:hAnsi="Times New Roman" w:cs="Times New Roman"/>
          <w:b w:val="0"/>
          <w:i/>
          <w:sz w:val="24"/>
        </w:rPr>
        <w:t>Nature Machine Intelligence, 2</w:t>
      </w:r>
      <w:r>
        <w:rPr>
          <w:rFonts w:ascii="Times New Roman" w:hAnsi="Times New Roman" w:cs="Times New Roman"/>
          <w:b w:val="0"/>
          <w:i w:val="0"/>
          <w:sz w:val="24"/>
        </w:rPr>
        <w:t>(1), 56–67.</w:t>
      </w:r>
    </w:p>
    <w:p>
      <w:pPr>
        <w:spacing w:before="0" w:after="0" w:lineRule="auto" w:line="480"/>
        <w:ind w:left="720" w:hanging="720"/>
        <w:jc w:val="left"/>
      </w:pPr>
      <w:r>
        <w:rPr>
          <w:rFonts w:ascii="Times New Roman" w:hAnsi="Times New Roman" w:cs="Times New Roman"/>
          <w:b w:val="0"/>
          <w:i w:val="0"/>
          <w:sz w:val="24"/>
        </w:rPr>
        <w:t xml:space="preserve">Lundberg, S. M., &amp; Lee, S. I. (2017). A unified approach to interpreting model predictions. </w:t>
      </w:r>
      <w:r>
        <w:rPr>
          <w:rFonts w:ascii="Times New Roman" w:hAnsi="Times New Roman" w:cs="Times New Roman"/>
          <w:b w:val="0"/>
          <w:i/>
          <w:sz w:val="24"/>
        </w:rPr>
        <w:t>Advances in Neural Information Processing Systems, 30</w:t>
      </w:r>
      <w:r>
        <w:rPr>
          <w:rFonts w:ascii="Times New Roman" w:hAnsi="Times New Roman" w:cs="Times New Roman"/>
          <w:b w:val="0"/>
          <w:i w:val="0"/>
          <w:sz w:val="24"/>
        </w:rPr>
        <w:t>.</w:t>
      </w:r>
    </w:p>
    <w:p>
      <w:pPr>
        <w:spacing w:before="0" w:after="0" w:lineRule="auto" w:line="480"/>
        <w:ind w:left="720" w:hanging="720"/>
        <w:jc w:val="left"/>
      </w:pPr>
      <w:r>
        <w:rPr>
          <w:rFonts w:ascii="Times New Roman" w:hAnsi="Times New Roman" w:cs="Times New Roman"/>
          <w:b w:val="0"/>
          <w:i w:val="0"/>
          <w:sz w:val="24"/>
        </w:rPr>
        <w:t xml:space="preserve">Manturuk, K., Lindblad, M., &amp; Quercia, R. (2012). Homeownership and civic engagement in low-income urban neighborhoods. </w:t>
      </w:r>
      <w:r>
        <w:rPr>
          <w:rFonts w:ascii="Times New Roman" w:hAnsi="Times New Roman" w:cs="Times New Roman"/>
          <w:b w:val="0"/>
          <w:i/>
          <w:sz w:val="24"/>
        </w:rPr>
        <w:t>Urban Affairs Review, 48</w:t>
      </w:r>
      <w:r>
        <w:rPr>
          <w:rFonts w:ascii="Times New Roman" w:hAnsi="Times New Roman" w:cs="Times New Roman"/>
          <w:b w:val="0"/>
          <w:i w:val="0"/>
          <w:sz w:val="24"/>
        </w:rPr>
        <w:t>(5), 731–760.</w:t>
      </w:r>
    </w:p>
    <w:p>
      <w:pPr>
        <w:spacing w:before="0" w:after="0" w:lineRule="auto" w:line="480"/>
        <w:ind w:left="720" w:hanging="720"/>
        <w:jc w:val="left"/>
      </w:pPr>
      <w:r>
        <w:rPr>
          <w:rFonts w:ascii="Times New Roman" w:hAnsi="Times New Roman" w:cs="Times New Roman"/>
          <w:b w:val="0"/>
          <w:i w:val="0"/>
          <w:sz w:val="24"/>
        </w:rPr>
        <w:t xml:space="preserve">Mauss, M. (1925/2000). </w:t>
      </w:r>
      <w:r>
        <w:rPr>
          <w:rFonts w:ascii="Times New Roman" w:hAnsi="Times New Roman" w:cs="Times New Roman"/>
          <w:b w:val="0"/>
          <w:i/>
          <w:sz w:val="24"/>
        </w:rPr>
        <w:t>The gift: The form and reason for exchange in archaic societies</w:t>
      </w:r>
      <w:r>
        <w:rPr>
          <w:rFonts w:ascii="Times New Roman" w:hAnsi="Times New Roman" w:cs="Times New Roman"/>
          <w:b w:val="0"/>
          <w:i w:val="0"/>
          <w:sz w:val="24"/>
        </w:rPr>
        <w:t>. W. W. Norton.</w:t>
      </w:r>
    </w:p>
    <w:p>
      <w:pPr>
        <w:spacing w:before="0" w:after="0" w:lineRule="auto" w:line="480"/>
        <w:ind w:left="720" w:hanging="720"/>
        <w:jc w:val="left"/>
      </w:pPr>
      <w:r>
        <w:rPr>
          <w:rFonts w:ascii="Times New Roman" w:hAnsi="Times New Roman" w:cs="Times New Roman"/>
          <w:b w:val="0"/>
          <w:i w:val="0"/>
          <w:sz w:val="24"/>
        </w:rPr>
        <w:t xml:space="preserve">McPherson, M., Smith-Lovin, L., &amp; Brashears, M. E. (2006). Social isolation in America: Changes in core discussion networks over two decades. </w:t>
      </w:r>
      <w:r>
        <w:rPr>
          <w:rFonts w:ascii="Times New Roman" w:hAnsi="Times New Roman" w:cs="Times New Roman"/>
          <w:b w:val="0"/>
          <w:i/>
          <w:sz w:val="24"/>
        </w:rPr>
        <w:t>American Sociological Review, 71</w:t>
      </w:r>
      <w:r>
        <w:rPr>
          <w:rFonts w:ascii="Times New Roman" w:hAnsi="Times New Roman" w:cs="Times New Roman"/>
          <w:b w:val="0"/>
          <w:i w:val="0"/>
          <w:sz w:val="24"/>
        </w:rPr>
        <w:t>(3), 353–375.</w:t>
      </w:r>
    </w:p>
    <w:p>
      <w:pPr>
        <w:spacing w:before="0" w:after="0" w:lineRule="auto" w:line="480"/>
        <w:ind w:left="720" w:hanging="720"/>
        <w:jc w:val="left"/>
      </w:pPr>
      <w:r>
        <w:rPr>
          <w:rFonts w:ascii="Times New Roman" w:hAnsi="Times New Roman" w:cs="Times New Roman"/>
          <w:b w:val="0"/>
          <w:i w:val="0"/>
          <w:sz w:val="24"/>
        </w:rPr>
        <w:t xml:space="preserve">Musick, M. A., &amp; Wilson, J. (2008). </w:t>
      </w:r>
      <w:r>
        <w:rPr>
          <w:rFonts w:ascii="Times New Roman" w:hAnsi="Times New Roman" w:cs="Times New Roman"/>
          <w:b w:val="0"/>
          <w:i/>
          <w:sz w:val="24"/>
        </w:rPr>
        <w:t>Volunteers: A social profile</w:t>
      </w:r>
      <w:r>
        <w:rPr>
          <w:rFonts w:ascii="Times New Roman" w:hAnsi="Times New Roman" w:cs="Times New Roman"/>
          <w:b w:val="0"/>
          <w:i w:val="0"/>
          <w:sz w:val="24"/>
        </w:rPr>
        <w:t>. Indiana University Press.</w:t>
      </w:r>
    </w:p>
    <w:p>
      <w:pPr>
        <w:spacing w:before="0" w:after="0" w:lineRule="auto" w:line="480"/>
        <w:ind w:left="720" w:hanging="720"/>
        <w:jc w:val="left"/>
      </w:pPr>
      <w:r>
        <w:rPr>
          <w:rFonts w:ascii="Times New Roman" w:hAnsi="Times New Roman" w:cs="Times New Roman"/>
          <w:b w:val="0"/>
          <w:i w:val="0"/>
          <w:sz w:val="24"/>
        </w:rPr>
        <w:t xml:space="preserve">Muthén, B. O., &amp; Muthén, L. K. (2000). Integrating person-centered and variable-centered analyses. </w:t>
      </w:r>
      <w:r>
        <w:rPr>
          <w:rFonts w:ascii="Times New Roman" w:hAnsi="Times New Roman" w:cs="Times New Roman"/>
          <w:b w:val="0"/>
          <w:i/>
          <w:sz w:val="24"/>
        </w:rPr>
        <w:t>Alcoholism: Clinical and Experimental Research, 24</w:t>
      </w:r>
      <w:r>
        <w:rPr>
          <w:rFonts w:ascii="Times New Roman" w:hAnsi="Times New Roman" w:cs="Times New Roman"/>
          <w:b w:val="0"/>
          <w:i w:val="0"/>
          <w:sz w:val="24"/>
        </w:rPr>
        <w:t>(5), 543–550.</w:t>
      </w:r>
    </w:p>
    <w:p>
      <w:pPr>
        <w:spacing w:before="0" w:after="0" w:lineRule="auto" w:line="480"/>
        <w:ind w:left="720" w:hanging="720"/>
        <w:jc w:val="left"/>
      </w:pPr>
      <w:r>
        <w:rPr>
          <w:rFonts w:ascii="Times New Roman" w:hAnsi="Times New Roman" w:cs="Times New Roman"/>
          <w:b w:val="0"/>
          <w:i w:val="0"/>
          <w:sz w:val="24"/>
        </w:rPr>
        <w:t xml:space="preserve">Nesbit, R. (2012). The influence of major life cycle events on volunteering. </w:t>
      </w:r>
      <w:r>
        <w:rPr>
          <w:rFonts w:ascii="Times New Roman" w:hAnsi="Times New Roman" w:cs="Times New Roman"/>
          <w:b w:val="0"/>
          <w:i/>
          <w:sz w:val="24"/>
        </w:rPr>
        <w:t>Nonprofit and Voluntary Sector Quarterly, 41</w:t>
      </w:r>
      <w:r>
        <w:rPr>
          <w:rFonts w:ascii="Times New Roman" w:hAnsi="Times New Roman" w:cs="Times New Roman"/>
          <w:b w:val="0"/>
          <w:i w:val="0"/>
          <w:sz w:val="24"/>
        </w:rPr>
        <w:t>(6), 1153–1174.</w:t>
      </w:r>
    </w:p>
    <w:p>
      <w:pPr>
        <w:spacing w:before="0" w:after="0" w:lineRule="auto" w:line="480"/>
        <w:ind w:left="720" w:hanging="720"/>
        <w:jc w:val="left"/>
      </w:pPr>
      <w:r>
        <w:rPr>
          <w:rFonts w:ascii="Times New Roman" w:hAnsi="Times New Roman" w:cs="Times New Roman"/>
          <w:b w:val="0"/>
          <w:i w:val="0"/>
          <w:sz w:val="24"/>
        </w:rPr>
        <w:t xml:space="preserve">Norris, P. (2002). </w:t>
      </w:r>
      <w:r>
        <w:rPr>
          <w:rFonts w:ascii="Times New Roman" w:hAnsi="Times New Roman" w:cs="Times New Roman"/>
          <w:b w:val="0"/>
          <w:i/>
          <w:sz w:val="24"/>
        </w:rPr>
        <w:t>Democratic phoenix: Reinventing political activism</w:t>
      </w:r>
      <w:r>
        <w:rPr>
          <w:rFonts w:ascii="Times New Roman" w:hAnsi="Times New Roman" w:cs="Times New Roman"/>
          <w:b w:val="0"/>
          <w:i w:val="0"/>
          <w:sz w:val="24"/>
        </w:rPr>
        <w:t>. Cambridge University Press.</w:t>
      </w:r>
    </w:p>
    <w:p>
      <w:pPr>
        <w:spacing w:before="0" w:after="0" w:lineRule="auto" w:line="480"/>
        <w:ind w:left="720" w:hanging="720"/>
        <w:jc w:val="left"/>
      </w:pPr>
      <w:r>
        <w:rPr>
          <w:rFonts w:ascii="Times New Roman" w:hAnsi="Times New Roman" w:cs="Times New Roman"/>
          <w:b w:val="0"/>
          <w:i w:val="0"/>
          <w:sz w:val="24"/>
        </w:rPr>
        <w:t xml:space="preserve">Office of the Surgeon General. (2023). </w:t>
      </w:r>
      <w:r>
        <w:rPr>
          <w:rFonts w:ascii="Times New Roman" w:hAnsi="Times New Roman" w:cs="Times New Roman"/>
          <w:b w:val="0"/>
          <w:i/>
          <w:sz w:val="24"/>
        </w:rPr>
        <w:t>Our epidemic of loneliness and isolation: The U.S. Surgeon General’s advisory on the healing effects of social connection and community</w:t>
      </w:r>
      <w:r>
        <w:rPr>
          <w:rFonts w:ascii="Times New Roman" w:hAnsi="Times New Roman" w:cs="Times New Roman"/>
          <w:b w:val="0"/>
          <w:i w:val="0"/>
          <w:sz w:val="24"/>
        </w:rPr>
        <w:t>.</w:t>
      </w:r>
    </w:p>
    <w:p>
      <w:pPr>
        <w:spacing w:before="0" w:after="0" w:lineRule="auto" w:line="480"/>
        <w:ind w:left="720" w:hanging="720"/>
        <w:jc w:val="left"/>
      </w:pPr>
      <w:r>
        <w:rPr>
          <w:rFonts w:ascii="Times New Roman" w:hAnsi="Times New Roman" w:cs="Times New Roman"/>
          <w:b w:val="0"/>
          <w:i w:val="0"/>
          <w:sz w:val="24"/>
        </w:rPr>
        <w:t xml:space="preserve">Putnam, R. D. (2000). </w:t>
      </w:r>
      <w:r>
        <w:rPr>
          <w:rFonts w:ascii="Times New Roman" w:hAnsi="Times New Roman" w:cs="Times New Roman"/>
          <w:b w:val="0"/>
          <w:i/>
          <w:sz w:val="24"/>
        </w:rPr>
        <w:t>Bowling alone: The collapse and revival of American community</w:t>
      </w:r>
      <w:r>
        <w:rPr>
          <w:rFonts w:ascii="Times New Roman" w:hAnsi="Times New Roman" w:cs="Times New Roman"/>
          <w:b w:val="0"/>
          <w:i w:val="0"/>
          <w:sz w:val="24"/>
        </w:rPr>
        <w:t>. Simon &amp; Schuster.</w:t>
      </w:r>
    </w:p>
    <w:p>
      <w:pPr>
        <w:spacing w:before="0" w:after="0" w:lineRule="auto" w:line="480"/>
        <w:ind w:left="720" w:hanging="720"/>
        <w:jc w:val="left"/>
      </w:pPr>
      <w:r>
        <w:rPr>
          <w:rFonts w:ascii="Times New Roman" w:hAnsi="Times New Roman" w:cs="Times New Roman"/>
          <w:b w:val="0"/>
          <w:i w:val="0"/>
          <w:sz w:val="24"/>
        </w:rPr>
        <w:t xml:space="preserve">Rotolo, T., &amp; Wilson, J. (2006). Employment sector and volunteering: The contribution of nonprofit and public sector workers to the volunteer labor force. </w:t>
      </w:r>
      <w:r>
        <w:rPr>
          <w:rFonts w:ascii="Times New Roman" w:hAnsi="Times New Roman" w:cs="Times New Roman"/>
          <w:b w:val="0"/>
          <w:i/>
          <w:sz w:val="24"/>
        </w:rPr>
        <w:t>Sociological Quarterly, 47</w:t>
      </w:r>
      <w:r>
        <w:rPr>
          <w:rFonts w:ascii="Times New Roman" w:hAnsi="Times New Roman" w:cs="Times New Roman"/>
          <w:b w:val="0"/>
          <w:i w:val="0"/>
          <w:sz w:val="24"/>
        </w:rPr>
        <w:t>(1), 21–40.</w:t>
      </w:r>
    </w:p>
    <w:p>
      <w:pPr>
        <w:spacing w:before="0" w:after="0" w:lineRule="auto" w:line="480"/>
        <w:ind w:left="720" w:hanging="720"/>
        <w:jc w:val="left"/>
      </w:pPr>
      <w:r>
        <w:rPr>
          <w:rFonts w:ascii="Times New Roman" w:hAnsi="Times New Roman" w:cs="Times New Roman"/>
          <w:b w:val="0"/>
          <w:i w:val="0"/>
          <w:sz w:val="24"/>
        </w:rPr>
        <w:t xml:space="preserve">Schlozman, K. L., Verba, S., &amp; Brady, H. E. (2012). </w:t>
      </w:r>
      <w:r>
        <w:rPr>
          <w:rFonts w:ascii="Times New Roman" w:hAnsi="Times New Roman" w:cs="Times New Roman"/>
          <w:b w:val="0"/>
          <w:i/>
          <w:sz w:val="24"/>
        </w:rPr>
        <w:t>The unheavenly chorus: Unequal political voice and the broken promise of American democracy</w:t>
      </w:r>
      <w:r>
        <w:rPr>
          <w:rFonts w:ascii="Times New Roman" w:hAnsi="Times New Roman" w:cs="Times New Roman"/>
          <w:b w:val="0"/>
          <w:i w:val="0"/>
          <w:sz w:val="24"/>
        </w:rPr>
        <w:t>. Princeton University Press.</w:t>
      </w:r>
    </w:p>
    <w:p>
      <w:pPr>
        <w:spacing w:before="0" w:after="0" w:lineRule="auto" w:line="480"/>
        <w:ind w:left="720" w:hanging="720"/>
        <w:jc w:val="left"/>
      </w:pPr>
      <w:r>
        <w:rPr>
          <w:rFonts w:ascii="Times New Roman" w:hAnsi="Times New Roman" w:cs="Times New Roman"/>
          <w:b w:val="0"/>
          <w:i w:val="0"/>
          <w:sz w:val="24"/>
        </w:rPr>
        <w:t xml:space="preserve">Snyder, M., &amp; Omoto, A. M. (2008). Volunteerism: Social issues perspectives and social policy implications. </w:t>
      </w:r>
      <w:r>
        <w:rPr>
          <w:rFonts w:ascii="Times New Roman" w:hAnsi="Times New Roman" w:cs="Times New Roman"/>
          <w:b w:val="0"/>
          <w:i/>
          <w:sz w:val="24"/>
        </w:rPr>
        <w:t>Social Issues and Policy Review, 2</w:t>
      </w:r>
      <w:r>
        <w:rPr>
          <w:rFonts w:ascii="Times New Roman" w:hAnsi="Times New Roman" w:cs="Times New Roman"/>
          <w:b w:val="0"/>
          <w:i w:val="0"/>
          <w:sz w:val="24"/>
        </w:rPr>
        <w:t>(1), 1–36.</w:t>
      </w:r>
    </w:p>
    <w:p>
      <w:pPr>
        <w:spacing w:before="0" w:after="0" w:lineRule="auto" w:line="480"/>
        <w:ind w:left="720" w:hanging="720"/>
        <w:jc w:val="left"/>
      </w:pPr>
      <w:r>
        <w:rPr>
          <w:rFonts w:ascii="Times New Roman" w:hAnsi="Times New Roman" w:cs="Times New Roman"/>
          <w:b w:val="0"/>
          <w:i w:val="0"/>
          <w:sz w:val="24"/>
        </w:rPr>
        <w:t xml:space="preserve">Stukas, A. A., Hoye, R., Nicholson, M., Brown, K. M., &amp; Aisbett, L. (2016). Motivations to volunteer and their associations with volunteers’ well-being. </w:t>
      </w:r>
      <w:r>
        <w:rPr>
          <w:rFonts w:ascii="Times New Roman" w:hAnsi="Times New Roman" w:cs="Times New Roman"/>
          <w:b w:val="0"/>
          <w:i/>
          <w:sz w:val="24"/>
        </w:rPr>
        <w:t>Nonprofit and Voluntary Sector Quarterly, 45</w:t>
      </w:r>
      <w:r>
        <w:rPr>
          <w:rFonts w:ascii="Times New Roman" w:hAnsi="Times New Roman" w:cs="Times New Roman"/>
          <w:b w:val="0"/>
          <w:i w:val="0"/>
          <w:sz w:val="24"/>
        </w:rPr>
        <w:t>(1), 112–132.</w:t>
      </w:r>
    </w:p>
    <w:p>
      <w:pPr>
        <w:spacing w:before="0" w:after="0" w:lineRule="auto" w:line="480"/>
        <w:ind w:left="720" w:hanging="720"/>
        <w:jc w:val="left"/>
      </w:pPr>
      <w:r>
        <w:rPr>
          <w:rFonts w:ascii="Times New Roman" w:hAnsi="Times New Roman" w:cs="Times New Roman"/>
          <w:b w:val="0"/>
          <w:i w:val="0"/>
          <w:sz w:val="24"/>
        </w:rPr>
        <w:t xml:space="preserve">Taniguchi, H. (2012). The determinants of formal and informal volunteering. </w:t>
      </w:r>
      <w:r>
        <w:rPr>
          <w:rFonts w:ascii="Times New Roman" w:hAnsi="Times New Roman" w:cs="Times New Roman"/>
          <w:b w:val="0"/>
          <w:i/>
          <w:sz w:val="24"/>
        </w:rPr>
        <w:t>Voluntas, 23</w:t>
      </w:r>
      <w:r>
        <w:rPr>
          <w:rFonts w:ascii="Times New Roman" w:hAnsi="Times New Roman" w:cs="Times New Roman"/>
          <w:b w:val="0"/>
          <w:i w:val="0"/>
          <w:sz w:val="24"/>
        </w:rPr>
        <w:t>, 920–939.</w:t>
      </w:r>
    </w:p>
    <w:p>
      <w:pPr>
        <w:spacing w:before="0" w:after="0" w:lineRule="auto" w:line="480"/>
        <w:ind w:left="720" w:hanging="720"/>
        <w:jc w:val="left"/>
      </w:pPr>
      <w:r>
        <w:rPr>
          <w:rFonts w:ascii="Times New Roman" w:hAnsi="Times New Roman" w:cs="Times New Roman"/>
          <w:b w:val="0"/>
          <w:i w:val="0"/>
          <w:sz w:val="24"/>
        </w:rPr>
        <w:t xml:space="preserve">Tocqueville, A. de. (1835/2000). </w:t>
      </w:r>
      <w:r>
        <w:rPr>
          <w:rFonts w:ascii="Times New Roman" w:hAnsi="Times New Roman" w:cs="Times New Roman"/>
          <w:b w:val="0"/>
          <w:i/>
          <w:sz w:val="24"/>
        </w:rPr>
        <w:t>Democracy in America</w:t>
      </w:r>
      <w:r>
        <w:rPr>
          <w:rFonts w:ascii="Times New Roman" w:hAnsi="Times New Roman" w:cs="Times New Roman"/>
          <w:b w:val="0"/>
          <w:i w:val="0"/>
          <w:sz w:val="24"/>
        </w:rPr>
        <w:t>. University of Chicago Press.</w:t>
      </w:r>
    </w:p>
    <w:p>
      <w:pPr>
        <w:spacing w:before="0" w:after="0" w:lineRule="auto" w:line="480"/>
        <w:ind w:left="720" w:hanging="720"/>
        <w:jc w:val="left"/>
      </w:pPr>
      <w:r>
        <w:rPr>
          <w:rFonts w:ascii="Times New Roman" w:hAnsi="Times New Roman" w:cs="Times New Roman"/>
          <w:b w:val="0"/>
          <w:i w:val="0"/>
          <w:sz w:val="24"/>
        </w:rPr>
        <w:t xml:space="preserve">Twenge, J. M. (2017). </w:t>
      </w:r>
      <w:r>
        <w:rPr>
          <w:rFonts w:ascii="Times New Roman" w:hAnsi="Times New Roman" w:cs="Times New Roman"/>
          <w:b w:val="0"/>
          <w:i/>
          <w:sz w:val="24"/>
        </w:rPr>
        <w:t>iGen: Why today’s super-connected kids are growing up less rebellious, more tolerant, less happy, and completely unprepared for adulthood</w:t>
      </w:r>
      <w:r>
        <w:rPr>
          <w:rFonts w:ascii="Times New Roman" w:hAnsi="Times New Roman" w:cs="Times New Roman"/>
          <w:b w:val="0"/>
          <w:i w:val="0"/>
          <w:sz w:val="24"/>
        </w:rPr>
        <w:t>. Atria Books.</w:t>
      </w:r>
    </w:p>
    <w:p>
      <w:pPr>
        <w:spacing w:before="0" w:after="0" w:lineRule="auto" w:line="480"/>
        <w:ind w:left="720" w:hanging="720"/>
        <w:jc w:val="left"/>
      </w:pPr>
      <w:r>
        <w:rPr>
          <w:rFonts w:ascii="Times New Roman" w:hAnsi="Times New Roman" w:cs="Times New Roman"/>
          <w:b w:val="0"/>
          <w:i w:val="0"/>
          <w:sz w:val="24"/>
        </w:rPr>
        <w:t xml:space="preserve">Twenge, J. M., &amp; Park, H. (2019). The decline in adult activities among U.S. adolescents, 1976–2016. </w:t>
      </w:r>
      <w:r>
        <w:rPr>
          <w:rFonts w:ascii="Times New Roman" w:hAnsi="Times New Roman" w:cs="Times New Roman"/>
          <w:b w:val="0"/>
          <w:i/>
          <w:sz w:val="24"/>
        </w:rPr>
        <w:t>Child Development, 90</w:t>
      </w:r>
      <w:r>
        <w:rPr>
          <w:rFonts w:ascii="Times New Roman" w:hAnsi="Times New Roman" w:cs="Times New Roman"/>
          <w:b w:val="0"/>
          <w:i w:val="0"/>
          <w:sz w:val="24"/>
        </w:rPr>
        <w:t>(2), 638–654.</w:t>
      </w:r>
    </w:p>
    <w:p>
      <w:pPr>
        <w:spacing w:before="0" w:after="0" w:lineRule="auto" w:line="480"/>
        <w:ind w:left="720" w:hanging="720"/>
        <w:jc w:val="left"/>
      </w:pPr>
      <w:r>
        <w:rPr>
          <w:rFonts w:ascii="Times New Roman" w:hAnsi="Times New Roman" w:cs="Times New Roman"/>
          <w:b w:val="0"/>
          <w:i w:val="0"/>
          <w:sz w:val="24"/>
        </w:rPr>
        <w:t xml:space="preserve">Twenge, J. M., Spitzberg, B. H., &amp; Campbell, W. K. (2019). Less in-person social interaction with peers among U.S. adolescents in the 21st century and links to loneliness. </w:t>
      </w:r>
      <w:r>
        <w:rPr>
          <w:rFonts w:ascii="Times New Roman" w:hAnsi="Times New Roman" w:cs="Times New Roman"/>
          <w:b w:val="0"/>
          <w:i/>
          <w:sz w:val="24"/>
        </w:rPr>
        <w:t>Journal of Social and Personal Relationships, 36</w:t>
      </w:r>
      <w:r>
        <w:rPr>
          <w:rFonts w:ascii="Times New Roman" w:hAnsi="Times New Roman" w:cs="Times New Roman"/>
          <w:b w:val="0"/>
          <w:i w:val="0"/>
          <w:sz w:val="24"/>
        </w:rPr>
        <w:t>(6), 1892–1913.</w:t>
      </w:r>
    </w:p>
    <w:p>
      <w:pPr>
        <w:spacing w:before="0" w:after="0" w:lineRule="auto" w:line="480"/>
        <w:ind w:left="720" w:hanging="720"/>
        <w:jc w:val="left"/>
      </w:pPr>
      <w:r>
        <w:rPr>
          <w:rFonts w:ascii="Times New Roman" w:hAnsi="Times New Roman" w:cs="Times New Roman"/>
          <w:b w:val="0"/>
          <w:i w:val="0"/>
          <w:sz w:val="24"/>
        </w:rPr>
        <w:t xml:space="preserve">Verba, S., Schlozman, K. L., &amp; Brady, H. E. (1995). </w:t>
      </w:r>
      <w:r>
        <w:rPr>
          <w:rFonts w:ascii="Times New Roman" w:hAnsi="Times New Roman" w:cs="Times New Roman"/>
          <w:b w:val="0"/>
          <w:i/>
          <w:sz w:val="24"/>
        </w:rPr>
        <w:t>Voice and equality: Civic voluntarism in American politics</w:t>
      </w:r>
      <w:r>
        <w:rPr>
          <w:rFonts w:ascii="Times New Roman" w:hAnsi="Times New Roman" w:cs="Times New Roman"/>
          <w:b w:val="0"/>
          <w:i w:val="0"/>
          <w:sz w:val="24"/>
        </w:rPr>
        <w:t>. Harvard University Press.</w:t>
      </w:r>
    </w:p>
    <w:p>
      <w:pPr>
        <w:spacing w:before="0" w:after="0" w:lineRule="auto" w:line="480"/>
        <w:ind w:left="720" w:hanging="720"/>
        <w:jc w:val="left"/>
      </w:pPr>
      <w:r>
        <w:rPr>
          <w:rFonts w:ascii="Times New Roman" w:hAnsi="Times New Roman" w:cs="Times New Roman"/>
          <w:b w:val="0"/>
          <w:i w:val="0"/>
          <w:sz w:val="24"/>
        </w:rPr>
        <w:t xml:space="preserve">Vermunt, J. K., &amp; Magidson, J. (2002). Latent class cluster analysis. In J. A. Hagenaars &amp; A. L. McCutcheon (Eds.), </w:t>
      </w:r>
      <w:r>
        <w:rPr>
          <w:rFonts w:ascii="Times New Roman" w:hAnsi="Times New Roman" w:cs="Times New Roman"/>
          <w:b w:val="0"/>
          <w:i/>
          <w:sz w:val="24"/>
        </w:rPr>
        <w:t>Applied latent class analysis</w:t>
      </w:r>
      <w:r>
        <w:rPr>
          <w:rFonts w:ascii="Times New Roman" w:hAnsi="Times New Roman" w:cs="Times New Roman"/>
          <w:b w:val="0"/>
          <w:i w:val="0"/>
          <w:sz w:val="24"/>
        </w:rPr>
        <w:t xml:space="preserve"> (pp. 89–106). Cambridge University Press.</w:t>
      </w:r>
    </w:p>
    <w:p>
      <w:pPr>
        <w:spacing w:before="0" w:after="0" w:lineRule="auto" w:line="480"/>
        <w:ind w:left="720" w:hanging="720"/>
        <w:jc w:val="left"/>
      </w:pPr>
      <w:r>
        <w:rPr>
          <w:rFonts w:ascii="Times New Roman" w:hAnsi="Times New Roman" w:cs="Times New Roman"/>
          <w:b w:val="0"/>
          <w:i w:val="0"/>
          <w:sz w:val="24"/>
        </w:rPr>
        <w:t xml:space="preserve">Wilson, J. (2000). Volunteering. </w:t>
      </w:r>
      <w:r>
        <w:rPr>
          <w:rFonts w:ascii="Times New Roman" w:hAnsi="Times New Roman" w:cs="Times New Roman"/>
          <w:b w:val="0"/>
          <w:i/>
          <w:sz w:val="24"/>
        </w:rPr>
        <w:t>Annual Review of Sociology, 26</w:t>
      </w:r>
      <w:r>
        <w:rPr>
          <w:rFonts w:ascii="Times New Roman" w:hAnsi="Times New Roman" w:cs="Times New Roman"/>
          <w:b w:val="0"/>
          <w:i w:val="0"/>
          <w:sz w:val="24"/>
        </w:rPr>
        <w:t>, 215–240.</w:t>
      </w:r>
    </w:p>
    <w:p>
      <w:pPr>
        <w:spacing w:before="0" w:after="0" w:lineRule="auto" w:line="480"/>
        <w:ind w:left="720" w:hanging="720"/>
        <w:jc w:val="left"/>
      </w:pPr>
      <w:r>
        <w:rPr>
          <w:rFonts w:ascii="Times New Roman" w:hAnsi="Times New Roman" w:cs="Times New Roman"/>
          <w:b w:val="0"/>
          <w:i w:val="0"/>
          <w:sz w:val="24"/>
        </w:rPr>
        <w:t xml:space="preserve">Wilson, J. (2012). Volunteerism research: A review essay. </w:t>
      </w:r>
      <w:r>
        <w:rPr>
          <w:rFonts w:ascii="Times New Roman" w:hAnsi="Times New Roman" w:cs="Times New Roman"/>
          <w:b w:val="0"/>
          <w:i/>
          <w:sz w:val="24"/>
        </w:rPr>
        <w:t>Nonprofit and Voluntary Sector Quarterly, 41</w:t>
      </w:r>
      <w:r>
        <w:rPr>
          <w:rFonts w:ascii="Times New Roman" w:hAnsi="Times New Roman" w:cs="Times New Roman"/>
          <w:b w:val="0"/>
          <w:i w:val="0"/>
          <w:sz w:val="24"/>
        </w:rPr>
        <w:t>(2), 176–212.</w:t>
      </w:r>
    </w:p>
    <w:p>
      <w:pPr>
        <w:spacing w:before="0" w:after="0" w:lineRule="auto" w:line="480"/>
        <w:ind w:left="720" w:hanging="720"/>
        <w:jc w:val="left"/>
      </w:pPr>
      <w:r>
        <w:rPr>
          <w:rFonts w:ascii="Times New Roman" w:hAnsi="Times New Roman" w:cs="Times New Roman"/>
          <w:b w:val="0"/>
          <w:i w:val="0"/>
          <w:sz w:val="24"/>
        </w:rPr>
        <w:t xml:space="preserve">Wray-Lake, L., &amp; Hart, D. (2012). Growing social inequalities in youth civic engagement? Evidence from the National Election Study. </w:t>
      </w:r>
      <w:r>
        <w:rPr>
          <w:rFonts w:ascii="Times New Roman" w:hAnsi="Times New Roman" w:cs="Times New Roman"/>
          <w:b w:val="0"/>
          <w:i/>
          <w:sz w:val="24"/>
        </w:rPr>
        <w:t>PS: Political Science &amp; Politics, 45</w:t>
      </w:r>
      <w:r>
        <w:rPr>
          <w:rFonts w:ascii="Times New Roman" w:hAnsi="Times New Roman" w:cs="Times New Roman"/>
          <w:b w:val="0"/>
          <w:i w:val="0"/>
          <w:sz w:val="24"/>
        </w:rPr>
        <w:t>(3), 456–461.</w:t>
      </w:r>
    </w:p>
    <w:p>
      <w:pPr>
        <w:spacing w:before="0" w:after="0" w:lineRule="auto" w:line="480"/>
        <w:ind w:left="720" w:hanging="720"/>
        <w:jc w:val="left"/>
      </w:pPr>
      <w:r>
        <w:rPr>
          <w:rFonts w:ascii="Times New Roman" w:hAnsi="Times New Roman" w:cs="Times New Roman"/>
          <w:b w:val="0"/>
          <w:i w:val="0"/>
          <w:sz w:val="24"/>
        </w:rPr>
        <w:t xml:space="preserve">Zukin, C., Keeter, S., Andolina, M., Jenkins, K., &amp; Delli Carpini, M. X. (2006). </w:t>
      </w:r>
      <w:r>
        <w:rPr>
          <w:rFonts w:ascii="Times New Roman" w:hAnsi="Times New Roman" w:cs="Times New Roman"/>
          <w:b w:val="0"/>
          <w:i/>
          <w:sz w:val="24"/>
        </w:rPr>
        <w:t>A new engagement? Political participation, civic life, and the changing American citizen</w:t>
      </w:r>
      <w:r>
        <w:rPr>
          <w:rFonts w:ascii="Times New Roman" w:hAnsi="Times New Roman" w:cs="Times New Roman"/>
          <w:b w:val="0"/>
          <w:i w:val="0"/>
          <w:sz w:val="24"/>
        </w:rPr>
        <w:t>. Oxford University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