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숫자 뒤의 이야기:</w:t>
        <w:br/>
        <w:t>Pennsylvania 시민참여의 7가지 서사</w:t>
      </w:r>
    </w:p>
    <w:p/>
    <w:p>
      <w:pPr>
        <w:jc w:val="center"/>
      </w:pPr>
      <w:r>
        <w:rPr>
          <w:sz w:val="26"/>
        </w:rPr>
        <w:t>CPS-CEV 데이터 탐색적 분석 보고서</w:t>
      </w:r>
    </w:p>
    <w:p/>
    <w:p>
      <w:pPr>
        <w:jc w:val="center"/>
      </w:pPr>
      <w:r>
        <w:rPr>
          <w:sz w:val="22"/>
        </w:rPr>
        <w:t>유호성 &amp; Suzanna Windon, Ph.D.</w:t>
        <w:br/>
        <w:t>The Pennsylvania State University</w:t>
        <w:br/>
        <w:t>2026년 3월</w:t>
      </w:r>
    </w:p>
    <w:p>
      <w:r>
        <w:br w:type="page"/>
      </w:r>
    </w:p>
    <w:p>
      <w:pPr>
        <w:pStyle w:val="Heading1"/>
      </w:pPr>
      <w:r>
        <w:t>데이터 개요</w:t>
      </w:r>
    </w:p>
    <w:p>
      <w:pPr>
        <w:spacing w:after="160"/>
        <w:ind w:firstLine="567"/>
      </w:pPr>
      <w:r>
        <w:rPr>
          <w:rFonts w:ascii="Times New Roman" w:hAnsi="Times New Roman"/>
          <w:b w:val="0"/>
          <w:i w:val="0"/>
          <w:sz w:val="22"/>
        </w:rPr>
        <w:t>본 보고서는 Current Population Survey Civic Engagement and Volunteering Supplement (CPS-CEV) 데이터에서 Pennsylvania(PA) 주 성인의 시민참여 패턴을 탐색적으로 분석한 결과입니다. 전체 추출 데이터(450,039명)에서 PA 거주, 18세 이상, 유효 보충조사 가중치(VLSUPPWT &gt; 0), 유효 자원봉사 응답(VLSTATUS 1 또는 2)을 필터링하여 최종 분석 표본 N = 5,478을 확보하였습니다.</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984"/>
            <w:shd w:fill="2B4C7E" w:val="clear"/>
          </w:tcPr>
          <w:p>
            <w:pPr>
              <w:jc w:val="center"/>
            </w:pPr>
            <w:r/>
            <w:r>
              <w:rPr>
                <w:rFonts w:ascii="Times New Roman" w:hAnsi="Times New Roman"/>
                <w:b/>
                <w:color w:val="FFFFFF"/>
                <w:sz w:val="18"/>
              </w:rPr>
              <w:t>구분</w:t>
            </w:r>
          </w:p>
        </w:tc>
        <w:tc>
          <w:tcPr>
            <w:tcW w:type="dxa" w:w="1134"/>
            <w:shd w:fill="2B4C7E" w:val="clear"/>
          </w:tcPr>
          <w:p>
            <w:pPr>
              <w:jc w:val="center"/>
            </w:pPr>
            <w:r/>
            <w:r>
              <w:rPr>
                <w:rFonts w:ascii="Times New Roman" w:hAnsi="Times New Roman"/>
                <w:b/>
                <w:color w:val="FFFFFF"/>
                <w:sz w:val="18"/>
              </w:rPr>
              <w:t>2017</w:t>
            </w:r>
          </w:p>
        </w:tc>
        <w:tc>
          <w:tcPr>
            <w:tcW w:type="dxa" w:w="1134"/>
            <w:shd w:fill="2B4C7E" w:val="clear"/>
          </w:tcPr>
          <w:p>
            <w:pPr>
              <w:jc w:val="center"/>
            </w:pPr>
            <w:r/>
            <w:r>
              <w:rPr>
                <w:rFonts w:ascii="Times New Roman" w:hAnsi="Times New Roman"/>
                <w:b/>
                <w:color w:val="FFFFFF"/>
                <w:sz w:val="18"/>
              </w:rPr>
              <w:t>2019</w:t>
            </w:r>
          </w:p>
        </w:tc>
        <w:tc>
          <w:tcPr>
            <w:tcW w:type="dxa" w:w="1134"/>
            <w:shd w:fill="2B4C7E" w:val="clear"/>
          </w:tcPr>
          <w:p>
            <w:pPr>
              <w:jc w:val="center"/>
            </w:pPr>
            <w:r/>
            <w:r>
              <w:rPr>
                <w:rFonts w:ascii="Times New Roman" w:hAnsi="Times New Roman"/>
                <w:b/>
                <w:color w:val="FFFFFF"/>
                <w:sz w:val="18"/>
              </w:rPr>
              <w:t>2021</w:t>
            </w:r>
          </w:p>
        </w:tc>
        <w:tc>
          <w:tcPr>
            <w:tcW w:type="dxa" w:w="1134"/>
            <w:shd w:fill="2B4C7E" w:val="clear"/>
          </w:tcPr>
          <w:p>
            <w:pPr>
              <w:jc w:val="center"/>
            </w:pPr>
            <w:r/>
            <w:r>
              <w:rPr>
                <w:rFonts w:ascii="Times New Roman" w:hAnsi="Times New Roman"/>
                <w:b/>
                <w:color w:val="FFFFFF"/>
                <w:sz w:val="18"/>
              </w:rPr>
              <w:t>2023</w:t>
            </w:r>
          </w:p>
        </w:tc>
        <w:tc>
          <w:tcPr>
            <w:tcW w:type="dxa" w:w="1134"/>
            <w:shd w:fill="2B4C7E" w:val="clear"/>
          </w:tcPr>
          <w:p>
            <w:pPr>
              <w:jc w:val="center"/>
            </w:pPr>
            <w:r/>
            <w:r>
              <w:rPr>
                <w:rFonts w:ascii="Times New Roman" w:hAnsi="Times New Roman"/>
                <w:b/>
                <w:color w:val="FFFFFF"/>
                <w:sz w:val="18"/>
              </w:rPr>
              <w:t>전체</w:t>
            </w:r>
          </w:p>
        </w:tc>
      </w:tr>
      <w:tr>
        <w:tc>
          <w:tcPr>
            <w:tcW w:type="dxa" w:w="1984"/>
          </w:tcPr>
          <w:p>
            <w:pPr>
              <w:jc w:val="center"/>
            </w:pPr>
            <w:r/>
            <w:r>
              <w:rPr>
                <w:rFonts w:ascii="Times New Roman" w:hAnsi="Times New Roman"/>
                <w:sz w:val="18"/>
              </w:rPr>
              <w:t>표본 수</w:t>
            </w:r>
          </w:p>
        </w:tc>
        <w:tc>
          <w:tcPr>
            <w:tcW w:type="dxa" w:w="1134"/>
          </w:tcPr>
          <w:p>
            <w:pPr>
              <w:jc w:val="center"/>
            </w:pPr>
            <w:r/>
            <w:r>
              <w:rPr>
                <w:rFonts w:ascii="Times New Roman" w:hAnsi="Times New Roman"/>
                <w:sz w:val="18"/>
              </w:rPr>
              <w:t>1,622</w:t>
            </w:r>
          </w:p>
        </w:tc>
        <w:tc>
          <w:tcPr>
            <w:tcW w:type="dxa" w:w="1134"/>
          </w:tcPr>
          <w:p>
            <w:pPr>
              <w:jc w:val="center"/>
            </w:pPr>
            <w:r/>
            <w:r>
              <w:rPr>
                <w:rFonts w:ascii="Times New Roman" w:hAnsi="Times New Roman"/>
                <w:sz w:val="18"/>
              </w:rPr>
              <w:t>1,352</w:t>
            </w:r>
          </w:p>
        </w:tc>
        <w:tc>
          <w:tcPr>
            <w:tcW w:type="dxa" w:w="1134"/>
          </w:tcPr>
          <w:p>
            <w:pPr>
              <w:jc w:val="center"/>
            </w:pPr>
            <w:r/>
            <w:r>
              <w:rPr>
                <w:rFonts w:ascii="Times New Roman" w:hAnsi="Times New Roman"/>
                <w:sz w:val="18"/>
              </w:rPr>
              <w:t>1,184</w:t>
            </w:r>
          </w:p>
        </w:tc>
        <w:tc>
          <w:tcPr>
            <w:tcW w:type="dxa" w:w="1134"/>
          </w:tcPr>
          <w:p>
            <w:pPr>
              <w:jc w:val="center"/>
            </w:pPr>
            <w:r/>
            <w:r>
              <w:rPr>
                <w:rFonts w:ascii="Times New Roman" w:hAnsi="Times New Roman"/>
                <w:sz w:val="18"/>
              </w:rPr>
              <w:t>1,320</w:t>
            </w:r>
          </w:p>
        </w:tc>
        <w:tc>
          <w:tcPr>
            <w:tcW w:type="dxa" w:w="1134"/>
          </w:tcPr>
          <w:p>
            <w:pPr>
              <w:jc w:val="center"/>
            </w:pPr>
            <w:r/>
            <w:r>
              <w:rPr>
                <w:rFonts w:ascii="Times New Roman" w:hAnsi="Times New Roman"/>
                <w:sz w:val="18"/>
              </w:rPr>
              <w:t>5,478</w:t>
            </w:r>
          </w:p>
        </w:tc>
      </w:tr>
      <w:tr>
        <w:tc>
          <w:tcPr>
            <w:tcW w:type="dxa" w:w="1984"/>
          </w:tcPr>
          <w:p>
            <w:pPr>
              <w:jc w:val="center"/>
            </w:pPr>
            <w:r/>
            <w:r>
              <w:rPr>
                <w:rFonts w:ascii="Times New Roman" w:hAnsi="Times New Roman"/>
                <w:sz w:val="18"/>
              </w:rPr>
              <w:t>자원봉사율</w:t>
            </w:r>
          </w:p>
        </w:tc>
        <w:tc>
          <w:tcPr>
            <w:tcW w:type="dxa" w:w="1134"/>
          </w:tcPr>
          <w:p>
            <w:pPr>
              <w:jc w:val="center"/>
            </w:pPr>
            <w:r/>
            <w:r>
              <w:rPr>
                <w:rFonts w:ascii="Times New Roman" w:hAnsi="Times New Roman"/>
                <w:sz w:val="18"/>
              </w:rPr>
              <w:t>35.7%</w:t>
            </w:r>
          </w:p>
        </w:tc>
        <w:tc>
          <w:tcPr>
            <w:tcW w:type="dxa" w:w="1134"/>
          </w:tcPr>
          <w:p>
            <w:pPr>
              <w:jc w:val="center"/>
            </w:pPr>
            <w:r/>
            <w:r>
              <w:rPr>
                <w:rFonts w:ascii="Times New Roman" w:hAnsi="Times New Roman"/>
                <w:sz w:val="18"/>
              </w:rPr>
              <w:t>37.6%</w:t>
            </w:r>
          </w:p>
        </w:tc>
        <w:tc>
          <w:tcPr>
            <w:tcW w:type="dxa" w:w="1134"/>
          </w:tcPr>
          <w:p>
            <w:pPr>
              <w:jc w:val="center"/>
            </w:pPr>
            <w:r/>
            <w:r>
              <w:rPr>
                <w:rFonts w:ascii="Times New Roman" w:hAnsi="Times New Roman"/>
                <w:sz w:val="18"/>
              </w:rPr>
              <w:t>27.8%</w:t>
            </w:r>
          </w:p>
        </w:tc>
        <w:tc>
          <w:tcPr>
            <w:tcW w:type="dxa" w:w="1134"/>
          </w:tcPr>
          <w:p>
            <w:pPr>
              <w:jc w:val="center"/>
            </w:pPr>
            <w:r/>
            <w:r>
              <w:rPr>
                <w:rFonts w:ascii="Times New Roman" w:hAnsi="Times New Roman"/>
                <w:sz w:val="18"/>
              </w:rPr>
              <w:t>32.3%</w:t>
            </w:r>
          </w:p>
        </w:tc>
        <w:tc>
          <w:tcPr>
            <w:tcW w:type="dxa" w:w="1134"/>
          </w:tcPr>
          <w:p>
            <w:pPr>
              <w:jc w:val="center"/>
            </w:pPr>
            <w:r/>
            <w:r>
              <w:rPr>
                <w:rFonts w:ascii="Times New Roman" w:hAnsi="Times New Roman"/>
                <w:sz w:val="18"/>
              </w:rPr>
              <w:t>33.6%</w:t>
            </w:r>
          </w:p>
        </w:tc>
      </w:tr>
      <w:tr>
        <w:tc>
          <w:tcPr>
            <w:tcW w:type="dxa" w:w="1984"/>
          </w:tcPr>
          <w:p>
            <w:pPr>
              <w:jc w:val="center"/>
            </w:pPr>
            <w:r/>
            <w:r>
              <w:rPr>
                <w:rFonts w:ascii="Times New Roman" w:hAnsi="Times New Roman"/>
                <w:sz w:val="18"/>
              </w:rPr>
              <w:t>Rural (METRO=1)</w:t>
            </w:r>
          </w:p>
        </w:tc>
        <w:tc>
          <w:tcPr>
            <w:tcW w:type="dxa" w:w="1134"/>
          </w:tcPr>
          <w:p>
            <w:pPr>
              <w:jc w:val="center"/>
            </w:pPr>
            <w:r/>
            <w:r>
              <w:rPr>
                <w:rFonts w:ascii="Times New Roman" w:hAnsi="Times New Roman"/>
                <w:sz w:val="18"/>
              </w:rPr>
              <w:t>11.5%</w:t>
            </w:r>
          </w:p>
        </w:tc>
        <w:tc>
          <w:tcPr>
            <w:tcW w:type="dxa" w:w="1134"/>
          </w:tcPr>
          <w:p>
            <w:pPr>
              <w:jc w:val="center"/>
            </w:pPr>
            <w:r/>
            <w:r>
              <w:rPr>
                <w:rFonts w:ascii="Times New Roman" w:hAnsi="Times New Roman"/>
                <w:sz w:val="18"/>
              </w:rPr>
              <w:t>9.4%</w:t>
            </w:r>
          </w:p>
        </w:tc>
        <w:tc>
          <w:tcPr>
            <w:tcW w:type="dxa" w:w="1134"/>
          </w:tcPr>
          <w:p>
            <w:pPr>
              <w:jc w:val="center"/>
            </w:pPr>
            <w:r/>
            <w:r>
              <w:rPr>
                <w:rFonts w:ascii="Times New Roman" w:hAnsi="Times New Roman"/>
                <w:sz w:val="18"/>
              </w:rPr>
              <w:t>9.7%</w:t>
            </w:r>
          </w:p>
        </w:tc>
        <w:tc>
          <w:tcPr>
            <w:tcW w:type="dxa" w:w="1134"/>
          </w:tcPr>
          <w:p>
            <w:pPr>
              <w:jc w:val="center"/>
            </w:pPr>
            <w:r/>
            <w:r>
              <w:rPr>
                <w:rFonts w:ascii="Times New Roman" w:hAnsi="Times New Roman"/>
                <w:sz w:val="18"/>
              </w:rPr>
              <w:t>9.6%</w:t>
            </w:r>
          </w:p>
        </w:tc>
        <w:tc>
          <w:tcPr>
            <w:tcW w:type="dxa" w:w="1134"/>
          </w:tcPr>
          <w:p>
            <w:pPr>
              <w:jc w:val="center"/>
            </w:pPr>
            <w:r/>
            <w:r>
              <w:rPr>
                <w:rFonts w:ascii="Times New Roman" w:hAnsi="Times New Roman"/>
                <w:sz w:val="18"/>
              </w:rPr>
              <w:t>10.1%</w:t>
            </w:r>
          </w:p>
        </w:tc>
      </w:tr>
      <w:tr>
        <w:tc>
          <w:tcPr>
            <w:tcW w:type="dxa" w:w="1984"/>
          </w:tcPr>
          <w:p>
            <w:pPr>
              <w:jc w:val="center"/>
            </w:pPr>
            <w:r/>
            <w:r>
              <w:rPr>
                <w:rFonts w:ascii="Times New Roman" w:hAnsi="Times New Roman"/>
                <w:sz w:val="18"/>
              </w:rPr>
              <w:t>평균 연령</w:t>
            </w:r>
          </w:p>
        </w:tc>
        <w:tc>
          <w:tcPr>
            <w:tcW w:type="dxa" w:w="1134"/>
          </w:tcPr>
          <w:p>
            <w:pPr>
              <w:jc w:val="center"/>
            </w:pPr>
            <w:r/>
            <w:r>
              <w:rPr>
                <w:rFonts w:ascii="Times New Roman" w:hAnsi="Times New Roman"/>
                <w:sz w:val="18"/>
              </w:rPr>
              <w:t>-</w:t>
            </w:r>
          </w:p>
        </w:tc>
        <w:tc>
          <w:tcPr>
            <w:tcW w:type="dxa" w:w="1134"/>
          </w:tcPr>
          <w:p>
            <w:pPr>
              <w:jc w:val="center"/>
            </w:pPr>
            <w:r/>
            <w:r>
              <w:rPr>
                <w:rFonts w:ascii="Times New Roman" w:hAnsi="Times New Roman"/>
                <w:sz w:val="18"/>
              </w:rPr>
              <w:t>-</w:t>
            </w:r>
          </w:p>
        </w:tc>
        <w:tc>
          <w:tcPr>
            <w:tcW w:type="dxa" w:w="1134"/>
          </w:tcPr>
          <w:p>
            <w:pPr>
              <w:jc w:val="center"/>
            </w:pPr>
            <w:r/>
            <w:r>
              <w:rPr>
                <w:rFonts w:ascii="Times New Roman" w:hAnsi="Times New Roman"/>
                <w:sz w:val="18"/>
              </w:rPr>
              <w:t>-</w:t>
            </w:r>
          </w:p>
        </w:tc>
        <w:tc>
          <w:tcPr>
            <w:tcW w:type="dxa" w:w="1134"/>
          </w:tcPr>
          <w:p>
            <w:pPr>
              <w:jc w:val="center"/>
            </w:pPr>
            <w:r/>
            <w:r>
              <w:rPr>
                <w:rFonts w:ascii="Times New Roman" w:hAnsi="Times New Roman"/>
                <w:sz w:val="18"/>
              </w:rPr>
              <w:t>-</w:t>
            </w:r>
          </w:p>
        </w:tc>
        <w:tc>
          <w:tcPr>
            <w:tcW w:type="dxa" w:w="1134"/>
          </w:tcPr>
          <w:p>
            <w:pPr>
              <w:jc w:val="center"/>
            </w:pPr>
            <w:r/>
            <w:r>
              <w:rPr>
                <w:rFonts w:ascii="Times New Roman" w:hAnsi="Times New Roman"/>
                <w:sz w:val="18"/>
              </w:rPr>
              <w:t>53.1세</w:t>
            </w:r>
          </w:p>
        </w:tc>
      </w:tr>
      <w:tr>
        <w:tc>
          <w:tcPr>
            <w:tcW w:type="dxa" w:w="1984"/>
          </w:tcPr>
          <w:p>
            <w:pPr>
              <w:jc w:val="center"/>
            </w:pPr>
            <w:r/>
            <w:r>
              <w:rPr>
                <w:rFonts w:ascii="Times New Roman" w:hAnsi="Times New Roman"/>
                <w:sz w:val="18"/>
              </w:rPr>
              <w:t>여성 비율</w:t>
            </w:r>
          </w:p>
        </w:tc>
        <w:tc>
          <w:tcPr>
            <w:tcW w:type="dxa" w:w="1134"/>
          </w:tcPr>
          <w:p>
            <w:pPr>
              <w:jc w:val="center"/>
            </w:pPr>
            <w:r/>
            <w:r>
              <w:rPr>
                <w:rFonts w:ascii="Times New Roman" w:hAnsi="Times New Roman"/>
                <w:sz w:val="18"/>
              </w:rPr>
              <w:t>-</w:t>
            </w:r>
          </w:p>
        </w:tc>
        <w:tc>
          <w:tcPr>
            <w:tcW w:type="dxa" w:w="1134"/>
          </w:tcPr>
          <w:p>
            <w:pPr>
              <w:jc w:val="center"/>
            </w:pPr>
            <w:r/>
            <w:r>
              <w:rPr>
                <w:rFonts w:ascii="Times New Roman" w:hAnsi="Times New Roman"/>
                <w:sz w:val="18"/>
              </w:rPr>
              <w:t>-</w:t>
            </w:r>
          </w:p>
        </w:tc>
        <w:tc>
          <w:tcPr>
            <w:tcW w:type="dxa" w:w="1134"/>
          </w:tcPr>
          <w:p>
            <w:pPr>
              <w:jc w:val="center"/>
            </w:pPr>
            <w:r/>
            <w:r>
              <w:rPr>
                <w:rFonts w:ascii="Times New Roman" w:hAnsi="Times New Roman"/>
                <w:sz w:val="18"/>
              </w:rPr>
              <w:t>-</w:t>
            </w:r>
          </w:p>
        </w:tc>
        <w:tc>
          <w:tcPr>
            <w:tcW w:type="dxa" w:w="1134"/>
          </w:tcPr>
          <w:p>
            <w:pPr>
              <w:jc w:val="center"/>
            </w:pPr>
            <w:r/>
            <w:r>
              <w:rPr>
                <w:rFonts w:ascii="Times New Roman" w:hAnsi="Times New Roman"/>
                <w:sz w:val="18"/>
              </w:rPr>
              <w:t>-</w:t>
            </w:r>
          </w:p>
        </w:tc>
        <w:tc>
          <w:tcPr>
            <w:tcW w:type="dxa" w:w="1134"/>
          </w:tcPr>
          <w:p>
            <w:pPr>
              <w:jc w:val="center"/>
            </w:pPr>
            <w:r/>
            <w:r>
              <w:rPr>
                <w:rFonts w:ascii="Times New Roman" w:hAnsi="Times New Roman"/>
                <w:sz w:val="18"/>
              </w:rPr>
              <w:t>53.3%</w:t>
            </w:r>
          </w:p>
        </w:tc>
      </w:tr>
      <w:tr>
        <w:tc>
          <w:tcPr>
            <w:tcW w:type="dxa" w:w="1984"/>
          </w:tcPr>
          <w:p>
            <w:pPr>
              <w:jc w:val="center"/>
            </w:pPr>
            <w:r/>
            <w:r>
              <w:rPr>
                <w:rFonts w:ascii="Times New Roman" w:hAnsi="Times New Roman"/>
                <w:sz w:val="18"/>
              </w:rPr>
              <w:t>White non-Hispanic</w:t>
            </w:r>
          </w:p>
        </w:tc>
        <w:tc>
          <w:tcPr>
            <w:tcW w:type="dxa" w:w="1134"/>
          </w:tcPr>
          <w:p>
            <w:pPr>
              <w:jc w:val="center"/>
            </w:pPr>
            <w:r/>
            <w:r>
              <w:rPr>
                <w:rFonts w:ascii="Times New Roman" w:hAnsi="Times New Roman"/>
                <w:sz w:val="18"/>
              </w:rPr>
              <w:t>-</w:t>
            </w:r>
          </w:p>
        </w:tc>
        <w:tc>
          <w:tcPr>
            <w:tcW w:type="dxa" w:w="1134"/>
          </w:tcPr>
          <w:p>
            <w:pPr>
              <w:jc w:val="center"/>
            </w:pPr>
            <w:r/>
            <w:r>
              <w:rPr>
                <w:rFonts w:ascii="Times New Roman" w:hAnsi="Times New Roman"/>
                <w:sz w:val="18"/>
              </w:rPr>
              <w:t>-</w:t>
            </w:r>
          </w:p>
        </w:tc>
        <w:tc>
          <w:tcPr>
            <w:tcW w:type="dxa" w:w="1134"/>
          </w:tcPr>
          <w:p>
            <w:pPr>
              <w:jc w:val="center"/>
            </w:pPr>
            <w:r/>
            <w:r>
              <w:rPr>
                <w:rFonts w:ascii="Times New Roman" w:hAnsi="Times New Roman"/>
                <w:sz w:val="18"/>
              </w:rPr>
              <w:t>-</w:t>
            </w:r>
          </w:p>
        </w:tc>
        <w:tc>
          <w:tcPr>
            <w:tcW w:type="dxa" w:w="1134"/>
          </w:tcPr>
          <w:p>
            <w:pPr>
              <w:jc w:val="center"/>
            </w:pPr>
            <w:r/>
            <w:r>
              <w:rPr>
                <w:rFonts w:ascii="Times New Roman" w:hAnsi="Times New Roman"/>
                <w:sz w:val="18"/>
              </w:rPr>
              <w:t>-</w:t>
            </w:r>
          </w:p>
        </w:tc>
        <w:tc>
          <w:tcPr>
            <w:tcW w:type="dxa" w:w="1134"/>
          </w:tcPr>
          <w:p>
            <w:pPr>
              <w:jc w:val="center"/>
            </w:pPr>
            <w:r/>
            <w:r>
              <w:rPr>
                <w:rFonts w:ascii="Times New Roman" w:hAnsi="Times New Roman"/>
                <w:sz w:val="18"/>
              </w:rPr>
              <w:t>85.1%</w:t>
            </w:r>
          </w:p>
        </w:tc>
      </w:tr>
    </w:tbl>
    <w:p/>
    <w:p>
      <w:r>
        <w:br w:type="page"/>
      </w:r>
    </w:p>
    <w:p>
      <w:pPr>
        <w:pStyle w:val="Heading1"/>
      </w:pPr>
      <w:r>
        <w:t>서사 1: 이루어지지 않는 세대 교체</w:t>
      </w:r>
    </w:p>
    <w:p>
      <w:pPr>
        <w:pStyle w:val="Heading2"/>
      </w:pPr>
      <w:r>
        <w:t>"The Generational Handoff That Isn't Happening"</w:t>
      </w:r>
    </w:p>
    <w:p>
      <w:pPr>
        <w:spacing w:after="40"/>
      </w:pPr>
      <w:r>
        <w:rPr>
          <w:rFonts w:ascii="Times New Roman" w:hAnsi="Times New Roman"/>
          <w:b/>
          <w:i w:val="0"/>
          <w:sz w:val="22"/>
        </w:rPr>
        <w:t>통념: 젊은 세대가 점차 시민참여의 주역으로 부상하고 있다.</w:t>
      </w:r>
    </w:p>
    <w:p>
      <w:pPr>
        <w:spacing w:after="160"/>
      </w:pPr>
      <w:r>
        <w:rPr>
          <w:rFonts w:ascii="Times New Roman" w:hAnsi="Times New Roman"/>
          <w:b/>
          <w:i w:val="0"/>
          <w:sz w:val="22"/>
        </w:rPr>
        <w:t>데이터의 현실: PA Gen Z의 거의 절반(46.5%)이 6가지 시민참여 활동 중 단 하나도 하지 않는다.</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B4C7E" w:val="clear"/>
          </w:tcPr>
          <w:p>
            <w:pPr>
              <w:jc w:val="center"/>
            </w:pPr>
            <w:r/>
            <w:r>
              <w:rPr>
                <w:rFonts w:ascii="Times New Roman" w:hAnsi="Times New Roman"/>
                <w:b/>
                <w:color w:val="FFFFFF"/>
                <w:sz w:val="18"/>
              </w:rPr>
              <w:t>세대</w:t>
            </w:r>
          </w:p>
        </w:tc>
        <w:tc>
          <w:tcPr>
            <w:tcW w:type="dxa" w:w="1872"/>
            <w:shd w:fill="2B4C7E" w:val="clear"/>
          </w:tcPr>
          <w:p>
            <w:pPr>
              <w:jc w:val="center"/>
            </w:pPr>
            <w:r/>
            <w:r>
              <w:rPr>
                <w:rFonts w:ascii="Times New Roman" w:hAnsi="Times New Roman"/>
                <w:b/>
                <w:color w:val="FFFFFF"/>
                <w:sz w:val="18"/>
              </w:rPr>
              <w:t>N</w:t>
            </w:r>
          </w:p>
        </w:tc>
        <w:tc>
          <w:tcPr>
            <w:tcW w:type="dxa" w:w="1872"/>
            <w:shd w:fill="2B4C7E" w:val="clear"/>
          </w:tcPr>
          <w:p>
            <w:pPr>
              <w:jc w:val="center"/>
            </w:pPr>
            <w:r/>
            <w:r>
              <w:rPr>
                <w:rFonts w:ascii="Times New Roman" w:hAnsi="Times New Roman"/>
                <w:b/>
                <w:color w:val="FFFFFF"/>
                <w:sz w:val="18"/>
              </w:rPr>
              <w:t>Zero Engagement</w:t>
            </w:r>
          </w:p>
        </w:tc>
        <w:tc>
          <w:tcPr>
            <w:tcW w:type="dxa" w:w="1872"/>
            <w:shd w:fill="2B4C7E" w:val="clear"/>
          </w:tcPr>
          <w:p>
            <w:pPr>
              <w:jc w:val="center"/>
            </w:pPr>
            <w:r/>
            <w:r>
              <w:rPr>
                <w:rFonts w:ascii="Times New Roman" w:hAnsi="Times New Roman"/>
                <w:b/>
                <w:color w:val="FFFFFF"/>
                <w:sz w:val="18"/>
              </w:rPr>
              <w:t>폭넓은 참여(3+)</w:t>
            </w:r>
          </w:p>
        </w:tc>
        <w:tc>
          <w:tcPr>
            <w:tcW w:type="dxa" w:w="1872"/>
            <w:shd w:fill="2B4C7E" w:val="clear"/>
          </w:tcPr>
          <w:p>
            <w:pPr>
              <w:jc w:val="center"/>
            </w:pPr>
            <w:r/>
            <w:r>
              <w:rPr>
                <w:rFonts w:ascii="Times New Roman" w:hAnsi="Times New Roman"/>
                <w:b/>
                <w:color w:val="FFFFFF"/>
                <w:sz w:val="18"/>
              </w:rPr>
              <w:t>참여 폭 평균</w:t>
            </w:r>
          </w:p>
        </w:tc>
      </w:tr>
      <w:tr>
        <w:tc>
          <w:tcPr>
            <w:tcW w:type="dxa" w:w="1872"/>
          </w:tcPr>
          <w:p>
            <w:pPr>
              <w:jc w:val="center"/>
            </w:pPr>
            <w:r/>
            <w:r>
              <w:rPr>
                <w:rFonts w:ascii="Times New Roman" w:hAnsi="Times New Roman"/>
                <w:sz w:val="18"/>
              </w:rPr>
              <w:t>Gen Z (1997+)</w:t>
            </w:r>
          </w:p>
        </w:tc>
        <w:tc>
          <w:tcPr>
            <w:tcW w:type="dxa" w:w="1872"/>
          </w:tcPr>
          <w:p>
            <w:pPr>
              <w:jc w:val="center"/>
            </w:pPr>
            <w:r/>
            <w:r>
              <w:rPr>
                <w:rFonts w:ascii="Times New Roman" w:hAnsi="Times New Roman"/>
                <w:sz w:val="18"/>
              </w:rPr>
              <w:t>254</w:t>
            </w:r>
          </w:p>
        </w:tc>
        <w:tc>
          <w:tcPr>
            <w:tcW w:type="dxa" w:w="1872"/>
          </w:tcPr>
          <w:p>
            <w:pPr>
              <w:jc w:val="center"/>
            </w:pPr>
            <w:r/>
            <w:r>
              <w:rPr>
                <w:rFonts w:ascii="Times New Roman" w:hAnsi="Times New Roman"/>
                <w:sz w:val="18"/>
              </w:rPr>
              <w:t>46.5%</w:t>
            </w:r>
          </w:p>
        </w:tc>
        <w:tc>
          <w:tcPr>
            <w:tcW w:type="dxa" w:w="1872"/>
          </w:tcPr>
          <w:p>
            <w:pPr>
              <w:jc w:val="center"/>
            </w:pPr>
            <w:r/>
            <w:r>
              <w:rPr>
                <w:rFonts w:ascii="Times New Roman" w:hAnsi="Times New Roman"/>
                <w:sz w:val="18"/>
              </w:rPr>
              <w:t>6.3%</w:t>
            </w:r>
          </w:p>
        </w:tc>
        <w:tc>
          <w:tcPr>
            <w:tcW w:type="dxa" w:w="1872"/>
          </w:tcPr>
          <w:p>
            <w:pPr>
              <w:jc w:val="center"/>
            </w:pPr>
            <w:r/>
            <w:r>
              <w:rPr>
                <w:rFonts w:ascii="Times New Roman" w:hAnsi="Times New Roman"/>
                <w:sz w:val="18"/>
              </w:rPr>
              <w:t>1.12</w:t>
            </w:r>
          </w:p>
        </w:tc>
      </w:tr>
      <w:tr>
        <w:tc>
          <w:tcPr>
            <w:tcW w:type="dxa" w:w="1872"/>
          </w:tcPr>
          <w:p>
            <w:pPr>
              <w:jc w:val="center"/>
            </w:pPr>
            <w:r/>
            <w:r>
              <w:rPr>
                <w:rFonts w:ascii="Times New Roman" w:hAnsi="Times New Roman"/>
                <w:sz w:val="18"/>
              </w:rPr>
              <w:t>Millennial (1981-96)</w:t>
            </w:r>
          </w:p>
        </w:tc>
        <w:tc>
          <w:tcPr>
            <w:tcW w:type="dxa" w:w="1872"/>
          </w:tcPr>
          <w:p>
            <w:pPr>
              <w:jc w:val="center"/>
            </w:pPr>
            <w:r/>
            <w:r>
              <w:rPr>
                <w:rFonts w:ascii="Times New Roman" w:hAnsi="Times New Roman"/>
                <w:sz w:val="18"/>
              </w:rPr>
              <w:t>1,242</w:t>
            </w:r>
          </w:p>
        </w:tc>
        <w:tc>
          <w:tcPr>
            <w:tcW w:type="dxa" w:w="1872"/>
          </w:tcPr>
          <w:p>
            <w:pPr>
              <w:jc w:val="center"/>
            </w:pPr>
            <w:r/>
            <w:r>
              <w:rPr>
                <w:rFonts w:ascii="Times New Roman" w:hAnsi="Times New Roman"/>
                <w:sz w:val="18"/>
              </w:rPr>
              <w:t>33.2%</w:t>
            </w:r>
          </w:p>
        </w:tc>
        <w:tc>
          <w:tcPr>
            <w:tcW w:type="dxa" w:w="1872"/>
          </w:tcPr>
          <w:p>
            <w:pPr>
              <w:jc w:val="center"/>
            </w:pPr>
            <w:r/>
            <w:r>
              <w:rPr>
                <w:rFonts w:ascii="Times New Roman" w:hAnsi="Times New Roman"/>
                <w:sz w:val="18"/>
              </w:rPr>
              <w:t>18.8%</w:t>
            </w:r>
          </w:p>
        </w:tc>
        <w:tc>
          <w:tcPr>
            <w:tcW w:type="dxa" w:w="1872"/>
          </w:tcPr>
          <w:p>
            <w:pPr>
              <w:jc w:val="center"/>
            </w:pPr>
            <w:r/>
            <w:r>
              <w:rPr>
                <w:rFonts w:ascii="Times New Roman" w:hAnsi="Times New Roman"/>
                <w:sz w:val="18"/>
              </w:rPr>
              <w:t>1.64</w:t>
            </w:r>
          </w:p>
        </w:tc>
      </w:tr>
      <w:tr>
        <w:tc>
          <w:tcPr>
            <w:tcW w:type="dxa" w:w="1872"/>
          </w:tcPr>
          <w:p>
            <w:pPr>
              <w:jc w:val="center"/>
            </w:pPr>
            <w:r/>
            <w:r>
              <w:rPr>
                <w:rFonts w:ascii="Times New Roman" w:hAnsi="Times New Roman"/>
                <w:sz w:val="18"/>
              </w:rPr>
              <w:t>Gen X (1965-80)</w:t>
            </w:r>
          </w:p>
        </w:tc>
        <w:tc>
          <w:tcPr>
            <w:tcW w:type="dxa" w:w="1872"/>
          </w:tcPr>
          <w:p>
            <w:pPr>
              <w:jc w:val="center"/>
            </w:pPr>
            <w:r/>
            <w:r>
              <w:rPr>
                <w:rFonts w:ascii="Times New Roman" w:hAnsi="Times New Roman"/>
                <w:sz w:val="18"/>
              </w:rPr>
              <w:t>1,257</w:t>
            </w:r>
          </w:p>
        </w:tc>
        <w:tc>
          <w:tcPr>
            <w:tcW w:type="dxa" w:w="1872"/>
          </w:tcPr>
          <w:p>
            <w:pPr>
              <w:jc w:val="center"/>
            </w:pPr>
            <w:r/>
            <w:r>
              <w:rPr>
                <w:rFonts w:ascii="Times New Roman" w:hAnsi="Times New Roman"/>
                <w:sz w:val="18"/>
              </w:rPr>
              <w:t>21.5%</w:t>
            </w:r>
          </w:p>
        </w:tc>
        <w:tc>
          <w:tcPr>
            <w:tcW w:type="dxa" w:w="1872"/>
          </w:tcPr>
          <w:p>
            <w:pPr>
              <w:jc w:val="center"/>
            </w:pPr>
            <w:r/>
            <w:r>
              <w:rPr>
                <w:rFonts w:ascii="Times New Roman" w:hAnsi="Times New Roman"/>
                <w:sz w:val="18"/>
              </w:rPr>
              <w:t>29.5%</w:t>
            </w:r>
          </w:p>
        </w:tc>
        <w:tc>
          <w:tcPr>
            <w:tcW w:type="dxa" w:w="1872"/>
          </w:tcPr>
          <w:p>
            <w:pPr>
              <w:jc w:val="center"/>
            </w:pPr>
            <w:r/>
            <w:r>
              <w:rPr>
                <w:rFonts w:ascii="Times New Roman" w:hAnsi="Times New Roman"/>
                <w:sz w:val="18"/>
              </w:rPr>
              <w:t>2.00</w:t>
            </w:r>
          </w:p>
        </w:tc>
      </w:tr>
      <w:tr>
        <w:tc>
          <w:tcPr>
            <w:tcW w:type="dxa" w:w="1872"/>
          </w:tcPr>
          <w:p>
            <w:pPr>
              <w:jc w:val="center"/>
            </w:pPr>
            <w:r/>
            <w:r>
              <w:rPr>
                <w:rFonts w:ascii="Times New Roman" w:hAnsi="Times New Roman"/>
                <w:sz w:val="18"/>
              </w:rPr>
              <w:t>Boomer (1946-64)</w:t>
            </w:r>
          </w:p>
        </w:tc>
        <w:tc>
          <w:tcPr>
            <w:tcW w:type="dxa" w:w="1872"/>
          </w:tcPr>
          <w:p>
            <w:pPr>
              <w:jc w:val="center"/>
            </w:pPr>
            <w:r/>
            <w:r>
              <w:rPr>
                <w:rFonts w:ascii="Times New Roman" w:hAnsi="Times New Roman"/>
                <w:sz w:val="18"/>
              </w:rPr>
              <w:t>2,012</w:t>
            </w:r>
          </w:p>
        </w:tc>
        <w:tc>
          <w:tcPr>
            <w:tcW w:type="dxa" w:w="1872"/>
          </w:tcPr>
          <w:p>
            <w:pPr>
              <w:jc w:val="center"/>
            </w:pPr>
            <w:r/>
            <w:r>
              <w:rPr>
                <w:rFonts w:ascii="Times New Roman" w:hAnsi="Times New Roman"/>
                <w:sz w:val="18"/>
              </w:rPr>
              <w:t>22.6%</w:t>
            </w:r>
          </w:p>
        </w:tc>
        <w:tc>
          <w:tcPr>
            <w:tcW w:type="dxa" w:w="1872"/>
          </w:tcPr>
          <w:p>
            <w:pPr>
              <w:jc w:val="center"/>
            </w:pPr>
            <w:r/>
            <w:r>
              <w:rPr>
                <w:rFonts w:ascii="Times New Roman" w:hAnsi="Times New Roman"/>
                <w:sz w:val="18"/>
              </w:rPr>
              <w:t>26.8%</w:t>
            </w:r>
          </w:p>
        </w:tc>
        <w:tc>
          <w:tcPr>
            <w:tcW w:type="dxa" w:w="1872"/>
          </w:tcPr>
          <w:p>
            <w:pPr>
              <w:jc w:val="center"/>
            </w:pPr>
            <w:r/>
            <w:r>
              <w:rPr>
                <w:rFonts w:ascii="Times New Roman" w:hAnsi="Times New Roman"/>
                <w:sz w:val="18"/>
              </w:rPr>
              <w:t>1.95</w:t>
            </w:r>
          </w:p>
        </w:tc>
      </w:tr>
      <w:tr>
        <w:tc>
          <w:tcPr>
            <w:tcW w:type="dxa" w:w="1872"/>
          </w:tcPr>
          <w:p>
            <w:pPr>
              <w:jc w:val="center"/>
            </w:pPr>
            <w:r/>
            <w:r>
              <w:rPr>
                <w:rFonts w:ascii="Times New Roman" w:hAnsi="Times New Roman"/>
                <w:sz w:val="18"/>
              </w:rPr>
              <w:t>Silent (1945 이전)</w:t>
            </w:r>
          </w:p>
        </w:tc>
        <w:tc>
          <w:tcPr>
            <w:tcW w:type="dxa" w:w="1872"/>
          </w:tcPr>
          <w:p>
            <w:pPr>
              <w:jc w:val="center"/>
            </w:pPr>
            <w:r/>
            <w:r>
              <w:rPr>
                <w:rFonts w:ascii="Times New Roman" w:hAnsi="Times New Roman"/>
                <w:sz w:val="18"/>
              </w:rPr>
              <w:t>713</w:t>
            </w:r>
          </w:p>
        </w:tc>
        <w:tc>
          <w:tcPr>
            <w:tcW w:type="dxa" w:w="1872"/>
          </w:tcPr>
          <w:p>
            <w:pPr>
              <w:jc w:val="center"/>
            </w:pPr>
            <w:r/>
            <w:r>
              <w:rPr>
                <w:rFonts w:ascii="Times New Roman" w:hAnsi="Times New Roman"/>
                <w:sz w:val="18"/>
              </w:rPr>
              <w:t>21.2%</w:t>
            </w:r>
          </w:p>
        </w:tc>
        <w:tc>
          <w:tcPr>
            <w:tcW w:type="dxa" w:w="1872"/>
          </w:tcPr>
          <w:p>
            <w:pPr>
              <w:jc w:val="center"/>
            </w:pPr>
            <w:r/>
            <w:r>
              <w:rPr>
                <w:rFonts w:ascii="Times New Roman" w:hAnsi="Times New Roman"/>
                <w:sz w:val="18"/>
              </w:rPr>
              <w:t>22.3%</w:t>
            </w:r>
          </w:p>
        </w:tc>
        <w:tc>
          <w:tcPr>
            <w:tcW w:type="dxa" w:w="1872"/>
          </w:tcPr>
          <w:p>
            <w:pPr>
              <w:jc w:val="center"/>
            </w:pPr>
            <w:r/>
            <w:r>
              <w:rPr>
                <w:rFonts w:ascii="Times New Roman" w:hAnsi="Times New Roman"/>
                <w:sz w:val="18"/>
              </w:rPr>
              <w:t>1.84</w:t>
            </w:r>
          </w:p>
        </w:tc>
      </w:tr>
    </w:tbl>
    <w:p/>
    <w:p>
      <w:pPr>
        <w:spacing w:after="160"/>
        <w:ind w:firstLine="567"/>
      </w:pPr>
      <w:r>
        <w:rPr>
          <w:rFonts w:ascii="Times New Roman" w:hAnsi="Times New Roman"/>
          <w:b w:val="0"/>
          <w:i w:val="0"/>
          <w:sz w:val="22"/>
        </w:rPr>
        <w:t>"젊은 세대가 더 proactive하고 diverse하게 참여한다"는 서사(narrative)는 PA 데이터에서 전혀 지지되지 않습니다. Gen X가 참여 폭 2.00으로 PA에서 가장 활발한 세대이며, Gen Z는 모든 세대 중 가장 낮은 참여 폭(1.12)을 보입니다.</w:t>
      </w:r>
    </w:p>
    <w:p>
      <w:pPr>
        <w:spacing w:after="80"/>
      </w:pPr>
      <w:r>
        <w:rPr>
          <w:rFonts w:ascii="Times New Roman" w:hAnsi="Times New Roman"/>
          <w:b/>
          <w:i w:val="0"/>
          <w:sz w:val="22"/>
        </w:rPr>
        <w:t>그러나 여기에 역설이 있습니다:</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4C7E" w:val="clear"/>
          </w:tcPr>
          <w:p>
            <w:pPr>
              <w:jc w:val="center"/>
            </w:pPr>
            <w:r/>
            <w:r>
              <w:rPr>
                <w:rFonts w:ascii="Times New Roman" w:hAnsi="Times New Roman"/>
                <w:b/>
                <w:color w:val="FFFFFF"/>
                <w:sz w:val="18"/>
              </w:rPr>
              <w:t>세대</w:t>
            </w:r>
          </w:p>
        </w:tc>
        <w:tc>
          <w:tcPr>
            <w:tcW w:type="dxa" w:w="3120"/>
            <w:shd w:fill="2B4C7E" w:val="clear"/>
          </w:tcPr>
          <w:p>
            <w:pPr>
              <w:jc w:val="center"/>
            </w:pPr>
            <w:r/>
            <w:r>
              <w:rPr>
                <w:rFonts w:ascii="Times New Roman" w:hAnsi="Times New Roman"/>
                <w:b/>
                <w:color w:val="FFFFFF"/>
                <w:sz w:val="18"/>
              </w:rPr>
              <w:t>자원봉사자 중 주 1회 이상</w:t>
            </w:r>
          </w:p>
        </w:tc>
        <w:tc>
          <w:tcPr>
            <w:tcW w:type="dxa" w:w="3120"/>
            <w:shd w:fill="2B4C7E" w:val="clear"/>
          </w:tcPr>
          <w:p>
            <w:pPr>
              <w:jc w:val="center"/>
            </w:pPr>
            <w:r/>
            <w:r>
              <w:rPr>
                <w:rFonts w:ascii="Times New Roman" w:hAnsi="Times New Roman"/>
                <w:b/>
                <w:color w:val="FFFFFF"/>
                <w:sz w:val="18"/>
              </w:rPr>
              <w:t>저빈도(연 수회 이하)</w:t>
            </w:r>
          </w:p>
        </w:tc>
      </w:tr>
      <w:tr>
        <w:tc>
          <w:tcPr>
            <w:tcW w:type="dxa" w:w="3120"/>
          </w:tcPr>
          <w:p>
            <w:pPr>
              <w:jc w:val="center"/>
            </w:pPr>
            <w:r/>
            <w:r>
              <w:rPr>
                <w:rFonts w:ascii="Times New Roman" w:hAnsi="Times New Roman"/>
                <w:sz w:val="18"/>
              </w:rPr>
              <w:t>Gen Z</w:t>
            </w:r>
          </w:p>
        </w:tc>
        <w:tc>
          <w:tcPr>
            <w:tcW w:type="dxa" w:w="3120"/>
          </w:tcPr>
          <w:p>
            <w:pPr>
              <w:jc w:val="center"/>
            </w:pPr>
            <w:r/>
            <w:r>
              <w:rPr>
                <w:rFonts w:ascii="Times New Roman" w:hAnsi="Times New Roman"/>
                <w:sz w:val="18"/>
              </w:rPr>
              <w:t>26.5%</w:t>
            </w:r>
          </w:p>
        </w:tc>
        <w:tc>
          <w:tcPr>
            <w:tcW w:type="dxa" w:w="3120"/>
          </w:tcPr>
          <w:p>
            <w:pPr>
              <w:jc w:val="center"/>
            </w:pPr>
            <w:r/>
            <w:r>
              <w:rPr>
                <w:rFonts w:ascii="Times New Roman" w:hAnsi="Times New Roman"/>
                <w:sz w:val="18"/>
              </w:rPr>
              <w:t>14.7% (가장 낮음)</w:t>
            </w:r>
          </w:p>
        </w:tc>
      </w:tr>
      <w:tr>
        <w:tc>
          <w:tcPr>
            <w:tcW w:type="dxa" w:w="3120"/>
          </w:tcPr>
          <w:p>
            <w:pPr>
              <w:jc w:val="center"/>
            </w:pPr>
            <w:r/>
            <w:r>
              <w:rPr>
                <w:rFonts w:ascii="Times New Roman" w:hAnsi="Times New Roman"/>
                <w:sz w:val="18"/>
              </w:rPr>
              <w:t>Boomer</w:t>
            </w:r>
          </w:p>
        </w:tc>
        <w:tc>
          <w:tcPr>
            <w:tcW w:type="dxa" w:w="3120"/>
          </w:tcPr>
          <w:p>
            <w:pPr>
              <w:jc w:val="center"/>
            </w:pPr>
            <w:r/>
            <w:r>
              <w:rPr>
                <w:rFonts w:ascii="Times New Roman" w:hAnsi="Times New Roman"/>
                <w:sz w:val="18"/>
              </w:rPr>
              <w:t>25.8%</w:t>
            </w:r>
          </w:p>
        </w:tc>
        <w:tc>
          <w:tcPr>
            <w:tcW w:type="dxa" w:w="3120"/>
          </w:tcPr>
          <w:p>
            <w:pPr>
              <w:jc w:val="center"/>
            </w:pPr>
            <w:r/>
            <w:r>
              <w:rPr>
                <w:rFonts w:ascii="Times New Roman" w:hAnsi="Times New Roman"/>
                <w:sz w:val="18"/>
              </w:rPr>
              <w:t>25.9%</w:t>
            </w:r>
          </w:p>
        </w:tc>
      </w:tr>
      <w:tr>
        <w:tc>
          <w:tcPr>
            <w:tcW w:type="dxa" w:w="3120"/>
          </w:tcPr>
          <w:p>
            <w:pPr>
              <w:jc w:val="center"/>
            </w:pPr>
            <w:r/>
            <w:r>
              <w:rPr>
                <w:rFonts w:ascii="Times New Roman" w:hAnsi="Times New Roman"/>
                <w:sz w:val="18"/>
              </w:rPr>
              <w:t>Silent</w:t>
            </w:r>
          </w:p>
        </w:tc>
        <w:tc>
          <w:tcPr>
            <w:tcW w:type="dxa" w:w="3120"/>
          </w:tcPr>
          <w:p>
            <w:pPr>
              <w:jc w:val="center"/>
            </w:pPr>
            <w:r/>
            <w:r>
              <w:rPr>
                <w:rFonts w:ascii="Times New Roman" w:hAnsi="Times New Roman"/>
                <w:sz w:val="18"/>
              </w:rPr>
              <w:t>19.4%</w:t>
            </w:r>
          </w:p>
        </w:tc>
        <w:tc>
          <w:tcPr>
            <w:tcW w:type="dxa" w:w="3120"/>
          </w:tcPr>
          <w:p>
            <w:pPr>
              <w:jc w:val="center"/>
            </w:pPr>
            <w:r/>
            <w:r>
              <w:rPr>
                <w:rFonts w:ascii="Times New Roman" w:hAnsi="Times New Roman"/>
                <w:sz w:val="18"/>
              </w:rPr>
              <w:t>28.3%</w:t>
            </w:r>
          </w:p>
        </w:tc>
      </w:tr>
    </w:tbl>
    <w:p/>
    <w:p>
      <w:pPr>
        <w:spacing w:after="160"/>
        <w:ind w:firstLine="567"/>
      </w:pPr>
      <w:r>
        <w:rPr>
          <w:rFonts w:ascii="Times New Roman" w:hAnsi="Times New Roman"/>
          <w:b w:val="0"/>
          <w:i w:val="0"/>
          <w:sz w:val="22"/>
        </w:rPr>
        <w:t>자원봉사에 참여하는 소수의 Gen Z는 가장 집중적으로 활동합니다. "시키니까 하는" 수준이 아니라 높은 빈도로 참여하고 있습니다. 이것은 PA의 많은 학군과 대학이 봉사활동을 졸업 요건으로 요구하는 service-learning의 영향일 수 있으며, mandatory exposure를 통해 진입한 일부가 습관화(habituation)된 것으로 해석됩니다.</w:t>
      </w:r>
    </w:p>
    <w:p>
      <w:pPr>
        <w:spacing w:after="80"/>
        <w:ind w:firstLine="567"/>
      </w:pPr>
      <w:r>
        <w:rPr>
          <w:rFonts w:ascii="Times New Roman" w:hAnsi="Times New Roman"/>
          <w:b w:val="0"/>
          <w:i/>
          <w:sz w:val="22"/>
        </w:rPr>
        <w:t>해석: Community Capitals Framework에서 human capital(교육)과 social capital(조직 접근)의 전달이 세대 간에 단절되고 있음을 시사합니다. 시민참여의 "자본 전수(capital transfer)"가 가정과 지역사회 수준에서 약화되었을 가능성이 있습니다.</w:t>
      </w:r>
    </w:p>
    <w:p>
      <w:r>
        <w:br w:type="page"/>
      </w:r>
    </w:p>
    <w:p>
      <w:pPr>
        <w:pStyle w:val="Heading1"/>
      </w:pPr>
      <w:r>
        <w:t>서사 2: "Donor-Only Trap" — 교외 중산층의 자기완결적 참여</w:t>
      </w:r>
    </w:p>
    <w:p>
      <w:pPr>
        <w:pStyle w:val="Heading2"/>
      </w:pPr>
      <w:r>
        <w:t>"돈은 내지만, 시간과 몸과 목소리는 내지 않는 사람들"</w:t>
      </w:r>
    </w:p>
    <w:p>
      <w:pPr>
        <w:spacing w:after="160"/>
        <w:ind w:firstLine="567"/>
      </w:pPr>
      <w:r>
        <w:rPr>
          <w:rFonts w:ascii="Times New Roman" w:hAnsi="Times New Roman"/>
          <w:b w:val="0"/>
          <w:i w:val="0"/>
          <w:sz w:val="22"/>
        </w:rPr>
        <w:t>PA의 두 번째로 큰 참여 패턴은 Donor-Only(기부만 하는 집단)로 16.8%를 차지합니다. 이들은 charitable donation은 하지만, 자원봉사, 정치적 참여, 이웃 교류, 조직 가입 등 다른 시민활동에는 참여하지 않습니다.</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4C7E" w:val="clear"/>
          </w:tcPr>
          <w:p>
            <w:pPr>
              <w:jc w:val="center"/>
            </w:pPr>
            <w:r/>
            <w:r>
              <w:rPr>
                <w:rFonts w:ascii="Times New Roman" w:hAnsi="Times New Roman"/>
                <w:b/>
                <w:color w:val="FFFFFF"/>
                <w:sz w:val="18"/>
              </w:rPr>
              <w:t>특성</w:t>
            </w:r>
          </w:p>
        </w:tc>
        <w:tc>
          <w:tcPr>
            <w:tcW w:type="dxa" w:w="3120"/>
            <w:shd w:fill="2B4C7E" w:val="clear"/>
          </w:tcPr>
          <w:p>
            <w:pPr>
              <w:jc w:val="center"/>
            </w:pPr>
            <w:r/>
            <w:r>
              <w:rPr>
                <w:rFonts w:ascii="Times New Roman" w:hAnsi="Times New Roman"/>
                <w:b/>
                <w:color w:val="FFFFFF"/>
                <w:sz w:val="18"/>
              </w:rPr>
              <w:t>수치</w:t>
            </w:r>
          </w:p>
        </w:tc>
        <w:tc>
          <w:tcPr>
            <w:tcW w:type="dxa" w:w="3120"/>
            <w:shd w:fill="2B4C7E" w:val="clear"/>
          </w:tcPr>
          <w:p>
            <w:pPr>
              <w:jc w:val="center"/>
            </w:pPr>
            <w:r/>
            <w:r>
              <w:rPr>
                <w:rFonts w:ascii="Times New Roman" w:hAnsi="Times New Roman"/>
                <w:b/>
                <w:color w:val="FFFFFF"/>
                <w:sz w:val="18"/>
              </w:rPr>
              <w:t>비고</w:t>
            </w:r>
          </w:p>
        </w:tc>
      </w:tr>
      <w:tr>
        <w:tc>
          <w:tcPr>
            <w:tcW w:type="dxa" w:w="3120"/>
          </w:tcPr>
          <w:p>
            <w:pPr>
              <w:jc w:val="center"/>
            </w:pPr>
            <w:r/>
            <w:r>
              <w:rPr>
                <w:rFonts w:ascii="Times New Roman" w:hAnsi="Times New Roman"/>
                <w:sz w:val="18"/>
              </w:rPr>
              <w:t>비율</w:t>
            </w:r>
          </w:p>
        </w:tc>
        <w:tc>
          <w:tcPr>
            <w:tcW w:type="dxa" w:w="3120"/>
          </w:tcPr>
          <w:p>
            <w:pPr>
              <w:jc w:val="center"/>
            </w:pPr>
            <w:r/>
            <w:r>
              <w:rPr>
                <w:rFonts w:ascii="Times New Roman" w:hAnsi="Times New Roman"/>
                <w:sz w:val="18"/>
              </w:rPr>
              <w:t>16.8% (919명)</w:t>
            </w:r>
          </w:p>
        </w:tc>
        <w:tc>
          <w:tcPr>
            <w:tcW w:type="dxa" w:w="3120"/>
          </w:tcPr>
          <w:p>
            <w:pPr>
              <w:jc w:val="center"/>
            </w:pPr>
            <w:r/>
            <w:r>
              <w:rPr>
                <w:rFonts w:ascii="Times New Roman" w:hAnsi="Times New Roman"/>
                <w:sz w:val="18"/>
              </w:rPr>
              <w:t>PA에서 두 번째로 큰 패턴</w:t>
            </w:r>
          </w:p>
        </w:tc>
      </w:tr>
      <w:tr>
        <w:tc>
          <w:tcPr>
            <w:tcW w:type="dxa" w:w="3120"/>
          </w:tcPr>
          <w:p>
            <w:pPr>
              <w:jc w:val="center"/>
            </w:pPr>
            <w:r/>
            <w:r>
              <w:rPr>
                <w:rFonts w:ascii="Times New Roman" w:hAnsi="Times New Roman"/>
                <w:sz w:val="18"/>
              </w:rPr>
              <w:t>평균 연령</w:t>
            </w:r>
          </w:p>
        </w:tc>
        <w:tc>
          <w:tcPr>
            <w:tcW w:type="dxa" w:w="3120"/>
          </w:tcPr>
          <w:p>
            <w:pPr>
              <w:jc w:val="center"/>
            </w:pPr>
            <w:r/>
            <w:r>
              <w:rPr>
                <w:rFonts w:ascii="Times New Roman" w:hAnsi="Times New Roman"/>
                <w:sz w:val="18"/>
              </w:rPr>
              <w:t>56.1세</w:t>
            </w:r>
          </w:p>
        </w:tc>
        <w:tc>
          <w:tcPr>
            <w:tcW w:type="dxa" w:w="3120"/>
          </w:tcPr>
          <w:p>
            <w:pPr>
              <w:jc w:val="center"/>
            </w:pPr>
            <w:r/>
            <w:r>
              <w:rPr>
                <w:rFonts w:ascii="Times New Roman" w:hAnsi="Times New Roman"/>
                <w:sz w:val="18"/>
              </w:rPr>
              <w:t>전체 평균 53.1세보다 높음</w:t>
            </w:r>
          </w:p>
        </w:tc>
      </w:tr>
      <w:tr>
        <w:tc>
          <w:tcPr>
            <w:tcW w:type="dxa" w:w="3120"/>
          </w:tcPr>
          <w:p>
            <w:pPr>
              <w:jc w:val="center"/>
            </w:pPr>
            <w:r/>
            <w:r>
              <w:rPr>
                <w:rFonts w:ascii="Times New Roman" w:hAnsi="Times New Roman"/>
                <w:sz w:val="18"/>
              </w:rPr>
              <w:t>Boomer + Silent 비중</w:t>
            </w:r>
          </w:p>
        </w:tc>
        <w:tc>
          <w:tcPr>
            <w:tcW w:type="dxa" w:w="3120"/>
          </w:tcPr>
          <w:p>
            <w:pPr>
              <w:jc w:val="center"/>
            </w:pPr>
            <w:r/>
            <w:r>
              <w:rPr>
                <w:rFonts w:ascii="Times New Roman" w:hAnsi="Times New Roman"/>
                <w:sz w:val="18"/>
              </w:rPr>
              <w:t>56.6%</w:t>
            </w:r>
          </w:p>
        </w:tc>
        <w:tc>
          <w:tcPr>
            <w:tcW w:type="dxa" w:w="3120"/>
          </w:tcPr>
          <w:p>
            <w:pPr>
              <w:jc w:val="center"/>
            </w:pPr>
            <w:r/>
            <w:r>
              <w:rPr>
                <w:rFonts w:ascii="Times New Roman" w:hAnsi="Times New Roman"/>
                <w:sz w:val="18"/>
              </w:rPr>
              <w:t>고령 세대 집중</w:t>
            </w:r>
          </w:p>
        </w:tc>
      </w:tr>
      <w:tr>
        <w:tc>
          <w:tcPr>
            <w:tcW w:type="dxa" w:w="3120"/>
          </w:tcPr>
          <w:p>
            <w:pPr>
              <w:jc w:val="center"/>
            </w:pPr>
            <w:r/>
            <w:r>
              <w:rPr>
                <w:rFonts w:ascii="Times New Roman" w:hAnsi="Times New Roman"/>
                <w:sz w:val="18"/>
              </w:rPr>
              <w:t>Rural 비율</w:t>
            </w:r>
          </w:p>
        </w:tc>
        <w:tc>
          <w:tcPr>
            <w:tcW w:type="dxa" w:w="3120"/>
          </w:tcPr>
          <w:p>
            <w:pPr>
              <w:jc w:val="center"/>
            </w:pPr>
            <w:r/>
            <w:r>
              <w:rPr>
                <w:rFonts w:ascii="Times New Roman" w:hAnsi="Times New Roman"/>
                <w:sz w:val="18"/>
              </w:rPr>
              <w:t>12.1%</w:t>
            </w:r>
          </w:p>
        </w:tc>
        <w:tc>
          <w:tcPr>
            <w:tcW w:type="dxa" w:w="3120"/>
          </w:tcPr>
          <w:p>
            <w:pPr>
              <w:jc w:val="center"/>
            </w:pPr>
            <w:r/>
            <w:r>
              <w:rPr>
                <w:rFonts w:ascii="Times New Roman" w:hAnsi="Times New Roman"/>
                <w:sz w:val="18"/>
              </w:rPr>
              <w:t>PA 평균(10.1%)보다 높음</w:t>
            </w:r>
          </w:p>
        </w:tc>
      </w:tr>
      <w:tr>
        <w:tc>
          <w:tcPr>
            <w:tcW w:type="dxa" w:w="3120"/>
          </w:tcPr>
          <w:p>
            <w:pPr>
              <w:jc w:val="center"/>
            </w:pPr>
            <w:r/>
            <w:r>
              <w:rPr>
                <w:rFonts w:ascii="Times New Roman" w:hAnsi="Times New Roman"/>
                <w:sz w:val="18"/>
              </w:rPr>
              <w:t>Gen Z 비중</w:t>
            </w:r>
          </w:p>
        </w:tc>
        <w:tc>
          <w:tcPr>
            <w:tcW w:type="dxa" w:w="3120"/>
          </w:tcPr>
          <w:p>
            <w:pPr>
              <w:jc w:val="center"/>
            </w:pPr>
            <w:r/>
            <w:r>
              <w:rPr>
                <w:rFonts w:ascii="Times New Roman" w:hAnsi="Times New Roman"/>
                <w:sz w:val="18"/>
              </w:rPr>
              <w:t>2.3%</w:t>
            </w:r>
          </w:p>
        </w:tc>
        <w:tc>
          <w:tcPr>
            <w:tcW w:type="dxa" w:w="3120"/>
          </w:tcPr>
          <w:p>
            <w:pPr>
              <w:jc w:val="center"/>
            </w:pPr>
            <w:r/>
            <w:r>
              <w:rPr>
                <w:rFonts w:ascii="Times New Roman" w:hAnsi="Times New Roman"/>
                <w:sz w:val="18"/>
              </w:rPr>
              <w:t>젊은 세대 거의 부재</w:t>
            </w:r>
          </w:p>
        </w:tc>
      </w:tr>
    </w:tbl>
    <w:p/>
    <w:p>
      <w:pPr>
        <w:spacing w:after="160"/>
        <w:ind w:firstLine="567"/>
      </w:pPr>
      <w:r>
        <w:rPr>
          <w:rFonts w:ascii="Times New Roman" w:hAnsi="Times New Roman"/>
          <w:b w:val="0"/>
          <w:i w:val="0"/>
          <w:sz w:val="22"/>
        </w:rPr>
        <w:t>Flora &amp; Flora(2008)의 Community Capitals Framework 관점에서, 이 패턴은 "financial capital의 대체 전환"으로 해석됩니다. Social capital(봉사, 이웃 교류)이나 human capital(기술, 시간 기여) 대신 financial capital만 동원하는 것입니다.</w:t>
      </w:r>
    </w:p>
    <w:p>
      <w:pPr>
        <w:spacing w:after="80"/>
        <w:ind w:firstLine="567"/>
      </w:pPr>
      <w:r>
        <w:rPr>
          <w:rFonts w:ascii="Times New Roman" w:hAnsi="Times New Roman"/>
          <w:b w:val="0"/>
          <w:i w:val="0"/>
          <w:sz w:val="22"/>
        </w:rPr>
        <w:t>시간적 추이: Donor-Only 비율이 2017년 19.1%에서 2023년 14.3%로 감소하고 있습니다. 이것이 다른 유형의 참여로의 전환인지, 완전한 이탈인지는 LPA의 temporal analysis가 규명해야 할 핵심 질문입니다.</w:t>
      </w:r>
    </w:p>
    <w:p>
      <w:r>
        <w:br w:type="page"/>
      </w:r>
    </w:p>
    <w:p>
      <w:pPr>
        <w:pStyle w:val="Heading1"/>
      </w:pPr>
      <w:r>
        <w:t>서사 3: 경제적 고통은 참여를 죽이지만, 교육이 되살린다</w:t>
      </w:r>
    </w:p>
    <w:p>
      <w:pPr>
        <w:pStyle w:val="Heading2"/>
      </w:pPr>
      <w:r>
        <w:t>"가난한 대졸자가 부유한 고졸자보다 더 자원봉사한다"</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4C7E" w:val="clear"/>
          </w:tcPr>
          <w:p>
            <w:pPr>
              <w:jc w:val="center"/>
            </w:pPr>
            <w:r/>
            <w:r>
              <w:rPr>
                <w:rFonts w:ascii="Times New Roman" w:hAnsi="Times New Roman"/>
                <w:b/>
                <w:color w:val="FFFFFF"/>
                <w:sz w:val="18"/>
              </w:rPr>
              <w:t>집단</w:t>
            </w:r>
          </w:p>
        </w:tc>
        <w:tc>
          <w:tcPr>
            <w:tcW w:type="dxa" w:w="2340"/>
            <w:shd w:fill="2B4C7E" w:val="clear"/>
          </w:tcPr>
          <w:p>
            <w:pPr>
              <w:jc w:val="center"/>
            </w:pPr>
            <w:r/>
            <w:r>
              <w:rPr>
                <w:rFonts w:ascii="Times New Roman" w:hAnsi="Times New Roman"/>
                <w:b/>
                <w:color w:val="FFFFFF"/>
                <w:sz w:val="18"/>
              </w:rPr>
              <w:t>N</w:t>
            </w:r>
          </w:p>
        </w:tc>
        <w:tc>
          <w:tcPr>
            <w:tcW w:type="dxa" w:w="2340"/>
            <w:shd w:fill="2B4C7E" w:val="clear"/>
          </w:tcPr>
          <w:p>
            <w:pPr>
              <w:jc w:val="center"/>
            </w:pPr>
            <w:r/>
            <w:r>
              <w:rPr>
                <w:rFonts w:ascii="Times New Roman" w:hAnsi="Times New Roman"/>
                <w:b/>
                <w:color w:val="FFFFFF"/>
                <w:sz w:val="18"/>
              </w:rPr>
              <w:t>자원봉사율</w:t>
            </w:r>
          </w:p>
        </w:tc>
        <w:tc>
          <w:tcPr>
            <w:tcW w:type="dxa" w:w="2340"/>
            <w:shd w:fill="2B4C7E" w:val="clear"/>
          </w:tcPr>
          <w:p>
            <w:pPr>
              <w:jc w:val="center"/>
            </w:pPr>
            <w:r/>
            <w:r>
              <w:rPr>
                <w:rFonts w:ascii="Times New Roman" w:hAnsi="Times New Roman"/>
                <w:b/>
                <w:color w:val="FFFFFF"/>
                <w:sz w:val="18"/>
              </w:rPr>
              <w:t>참여 폭</w:t>
            </w:r>
          </w:p>
        </w:tc>
      </w:tr>
      <w:tr>
        <w:tc>
          <w:tcPr>
            <w:tcW w:type="dxa" w:w="2340"/>
          </w:tcPr>
          <w:p>
            <w:pPr>
              <w:jc w:val="center"/>
            </w:pPr>
            <w:r/>
            <w:r>
              <w:rPr>
                <w:rFonts w:ascii="Times New Roman" w:hAnsi="Times New Roman"/>
                <w:sz w:val="18"/>
              </w:rPr>
              <w:t>저소득 + 고졸 이하</w:t>
            </w:r>
          </w:p>
        </w:tc>
        <w:tc>
          <w:tcPr>
            <w:tcW w:type="dxa" w:w="2340"/>
          </w:tcPr>
          <w:p>
            <w:pPr>
              <w:jc w:val="center"/>
            </w:pPr>
            <w:r/>
            <w:r>
              <w:rPr>
                <w:rFonts w:ascii="Times New Roman" w:hAnsi="Times New Roman"/>
                <w:sz w:val="18"/>
              </w:rPr>
              <w:t>617</w:t>
            </w:r>
          </w:p>
        </w:tc>
        <w:tc>
          <w:tcPr>
            <w:tcW w:type="dxa" w:w="2340"/>
          </w:tcPr>
          <w:p>
            <w:pPr>
              <w:jc w:val="center"/>
            </w:pPr>
            <w:r/>
            <w:r>
              <w:rPr>
                <w:rFonts w:ascii="Times New Roman" w:hAnsi="Times New Roman"/>
                <w:sz w:val="18"/>
              </w:rPr>
              <w:t>14.6%</w:t>
            </w:r>
          </w:p>
        </w:tc>
        <w:tc>
          <w:tcPr>
            <w:tcW w:type="dxa" w:w="2340"/>
          </w:tcPr>
          <w:p>
            <w:pPr>
              <w:jc w:val="center"/>
            </w:pPr>
            <w:r/>
            <w:r>
              <w:rPr>
                <w:rFonts w:ascii="Times New Roman" w:hAnsi="Times New Roman"/>
                <w:sz w:val="18"/>
              </w:rPr>
              <w:t>1.00</w:t>
            </w:r>
          </w:p>
        </w:tc>
      </w:tr>
      <w:tr>
        <w:tc>
          <w:tcPr>
            <w:tcW w:type="dxa" w:w="2340"/>
          </w:tcPr>
          <w:p>
            <w:pPr>
              <w:jc w:val="center"/>
            </w:pPr>
            <w:r/>
            <w:r>
              <w:rPr>
                <w:rFonts w:ascii="Times New Roman" w:hAnsi="Times New Roman"/>
                <w:sz w:val="18"/>
              </w:rPr>
              <w:t>저소득 + 학사 이상</w:t>
            </w:r>
          </w:p>
        </w:tc>
        <w:tc>
          <w:tcPr>
            <w:tcW w:type="dxa" w:w="2340"/>
          </w:tcPr>
          <w:p>
            <w:pPr>
              <w:jc w:val="center"/>
            </w:pPr>
            <w:r/>
            <w:r>
              <w:rPr>
                <w:rFonts w:ascii="Times New Roman" w:hAnsi="Times New Roman"/>
                <w:sz w:val="18"/>
              </w:rPr>
              <w:t>111</w:t>
            </w:r>
          </w:p>
        </w:tc>
        <w:tc>
          <w:tcPr>
            <w:tcW w:type="dxa" w:w="2340"/>
          </w:tcPr>
          <w:p>
            <w:pPr>
              <w:jc w:val="center"/>
            </w:pPr>
            <w:r/>
            <w:r>
              <w:rPr>
                <w:rFonts w:ascii="Times New Roman" w:hAnsi="Times New Roman"/>
                <w:sz w:val="18"/>
              </w:rPr>
              <w:t>42.3%</w:t>
            </w:r>
          </w:p>
        </w:tc>
        <w:tc>
          <w:tcPr>
            <w:tcW w:type="dxa" w:w="2340"/>
          </w:tcPr>
          <w:p>
            <w:pPr>
              <w:jc w:val="center"/>
            </w:pPr>
            <w:r/>
            <w:r>
              <w:rPr>
                <w:rFonts w:ascii="Times New Roman" w:hAnsi="Times New Roman"/>
                <w:sz w:val="18"/>
              </w:rPr>
              <w:t>1.94</w:t>
            </w:r>
          </w:p>
        </w:tc>
      </w:tr>
      <w:tr>
        <w:tc>
          <w:tcPr>
            <w:tcW w:type="dxa" w:w="2340"/>
          </w:tcPr>
          <w:p>
            <w:pPr>
              <w:jc w:val="center"/>
            </w:pPr>
            <w:r/>
            <w:r>
              <w:rPr>
                <w:rFonts w:ascii="Times New Roman" w:hAnsi="Times New Roman"/>
                <w:sz w:val="18"/>
              </w:rPr>
              <w:t>고소득 + 고졸 이하</w:t>
            </w:r>
          </w:p>
        </w:tc>
        <w:tc>
          <w:tcPr>
            <w:tcW w:type="dxa" w:w="2340"/>
          </w:tcPr>
          <w:p>
            <w:pPr>
              <w:jc w:val="center"/>
            </w:pPr>
            <w:r/>
            <w:r>
              <w:rPr>
                <w:rFonts w:ascii="Times New Roman" w:hAnsi="Times New Roman"/>
                <w:sz w:val="18"/>
              </w:rPr>
              <w:t>288</w:t>
            </w:r>
          </w:p>
        </w:tc>
        <w:tc>
          <w:tcPr>
            <w:tcW w:type="dxa" w:w="2340"/>
          </w:tcPr>
          <w:p>
            <w:pPr>
              <w:jc w:val="center"/>
            </w:pPr>
            <w:r/>
            <w:r>
              <w:rPr>
                <w:rFonts w:ascii="Times New Roman" w:hAnsi="Times New Roman"/>
                <w:sz w:val="18"/>
              </w:rPr>
              <w:t>28.1%</w:t>
            </w:r>
          </w:p>
        </w:tc>
        <w:tc>
          <w:tcPr>
            <w:tcW w:type="dxa" w:w="2340"/>
          </w:tcPr>
          <w:p>
            <w:pPr>
              <w:jc w:val="center"/>
            </w:pPr>
            <w:r/>
            <w:r>
              <w:rPr>
                <w:rFonts w:ascii="Times New Roman" w:hAnsi="Times New Roman"/>
                <w:sz w:val="18"/>
              </w:rPr>
              <w:t>1.50</w:t>
            </w:r>
          </w:p>
        </w:tc>
      </w:tr>
      <w:tr>
        <w:tc>
          <w:tcPr>
            <w:tcW w:type="dxa" w:w="2340"/>
          </w:tcPr>
          <w:p>
            <w:pPr>
              <w:jc w:val="center"/>
            </w:pPr>
            <w:r/>
            <w:r>
              <w:rPr>
                <w:rFonts w:ascii="Times New Roman" w:hAnsi="Times New Roman"/>
                <w:sz w:val="18"/>
              </w:rPr>
              <w:t>고소득 + 학사 이상</w:t>
            </w:r>
          </w:p>
        </w:tc>
        <w:tc>
          <w:tcPr>
            <w:tcW w:type="dxa" w:w="2340"/>
          </w:tcPr>
          <w:p>
            <w:pPr>
              <w:jc w:val="center"/>
            </w:pPr>
            <w:r/>
            <w:r>
              <w:rPr>
                <w:rFonts w:ascii="Times New Roman" w:hAnsi="Times New Roman"/>
                <w:sz w:val="18"/>
              </w:rPr>
              <w:t>999</w:t>
            </w:r>
          </w:p>
        </w:tc>
        <w:tc>
          <w:tcPr>
            <w:tcW w:type="dxa" w:w="2340"/>
          </w:tcPr>
          <w:p>
            <w:pPr>
              <w:jc w:val="center"/>
            </w:pPr>
            <w:r/>
            <w:r>
              <w:rPr>
                <w:rFonts w:ascii="Times New Roman" w:hAnsi="Times New Roman"/>
                <w:sz w:val="18"/>
              </w:rPr>
              <w:t>53.2%</w:t>
            </w:r>
          </w:p>
        </w:tc>
        <w:tc>
          <w:tcPr>
            <w:tcW w:type="dxa" w:w="2340"/>
          </w:tcPr>
          <w:p>
            <w:pPr>
              <w:jc w:val="center"/>
            </w:pPr>
            <w:r/>
            <w:r>
              <w:rPr>
                <w:rFonts w:ascii="Times New Roman" w:hAnsi="Times New Roman"/>
                <w:sz w:val="18"/>
              </w:rPr>
              <w:t>2.69</w:t>
            </w:r>
          </w:p>
        </w:tc>
      </w:tr>
    </w:tbl>
    <w:p/>
    <w:p>
      <w:pPr>
        <w:spacing w:after="160"/>
        <w:ind w:firstLine="567"/>
      </w:pPr>
      <w:r>
        <w:rPr>
          <w:rFonts w:ascii="Times New Roman" w:hAnsi="Times New Roman"/>
          <w:b w:val="0"/>
          <w:i w:val="0"/>
          <w:sz w:val="22"/>
        </w:rPr>
        <w:t>저소득이지만 학사 학위 이상인 집단(42.3%)이 고소득이지만 고졸 이하인 집단(28.1%)보다 자원봉사율이 14.2 percentage points 더 높습니다. 교육은 소득의 장벽을 극복하는 가장 강력한 enabler입니다.</w:t>
      </w:r>
    </w:p>
    <w:p>
      <w:pPr>
        <w:spacing w:after="160"/>
        <w:ind w:firstLine="567"/>
      </w:pPr>
      <w:r>
        <w:rPr>
          <w:rFonts w:ascii="Times New Roman" w:hAnsi="Times New Roman"/>
          <w:b w:val="0"/>
          <w:i w:val="0"/>
          <w:sz w:val="22"/>
        </w:rPr>
        <w:t>Social Exchange Theory(Blau, 1964)의 재해석이 필요합니다. 교육은 자원봉사의 경제적 가치(임금 기회비용)를 높이는 것이 아니라, 인지적/사회적 가치를 높입니다. 교육받은 개인은 자원봉사를 통해 사회적 네트워크, 자기효능감, 의미 있는 기여의 기회를 인식하며, 이것이 낮은 소득의 장벽을 상쇄합니다.</w:t>
      </w:r>
    </w:p>
    <w:p>
      <w:pPr>
        <w:spacing w:after="80"/>
        <w:ind w:firstLine="567"/>
      </w:pPr>
      <w:r>
        <w:rPr>
          <w:rFonts w:ascii="Times New Roman" w:hAnsi="Times New Roman"/>
          <w:b w:val="0"/>
          <w:i w:val="0"/>
          <w:sz w:val="22"/>
        </w:rPr>
        <w:t>PA 맥락: PA 중북부와 서부의 rust belt 지역은 탈산업화로 경제적 distress가 높지만, Penn State를 비롯한 지역 대학의 Extension 프로그램이 교육 기반 시민참여의 통로가 될 수 있습니다.</w:t>
      </w:r>
    </w:p>
    <w:p>
      <w:r>
        <w:br w:type="page"/>
      </w:r>
    </w:p>
    <w:p>
      <w:pPr>
        <w:pStyle w:val="Heading1"/>
      </w:pPr>
      <w:r>
        <w:t>서사 4: "보이지 않는 다수" — 25.7%의 완전 이탈자</w:t>
      </w:r>
    </w:p>
    <w:p>
      <w:pPr>
        <w:pStyle w:val="Heading2"/>
      </w:pPr>
      <w:r>
        <w:t>"PA 성인 4명 중 1명은 아무 시민활동도 하지 않는다"</w:t>
      </w:r>
    </w:p>
    <w:p>
      <w:pPr>
        <w:spacing w:after="160"/>
        <w:ind w:firstLine="567"/>
      </w:pPr>
      <w:r>
        <w:rPr>
          <w:rFonts w:ascii="Times New Roman" w:hAnsi="Times New Roman"/>
          <w:b w:val="0"/>
          <w:i w:val="0"/>
          <w:sz w:val="22"/>
        </w:rPr>
        <w:t>PA 성인의 25.7%(1,406명)가 자원봉사, 기부, 보이콧, 공직자 접촉, 이웃 돕기, 조직 가입 중 단 하나도 하지 않는 "완전 이탈자(Fully Disengaged)"입니다.</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4C7E" w:val="clear"/>
          </w:tcPr>
          <w:p>
            <w:pPr>
              <w:jc w:val="center"/>
            </w:pPr>
            <w:r/>
            <w:r>
              <w:rPr>
                <w:rFonts w:ascii="Times New Roman" w:hAnsi="Times New Roman"/>
                <w:b/>
                <w:color w:val="FFFFFF"/>
                <w:sz w:val="18"/>
              </w:rPr>
              <w:t>특성</w:t>
            </w:r>
          </w:p>
        </w:tc>
        <w:tc>
          <w:tcPr>
            <w:tcW w:type="dxa" w:w="2340"/>
            <w:shd w:fill="2B4C7E" w:val="clear"/>
          </w:tcPr>
          <w:p>
            <w:pPr>
              <w:jc w:val="center"/>
            </w:pPr>
            <w:r/>
            <w:r>
              <w:rPr>
                <w:rFonts w:ascii="Times New Roman" w:hAnsi="Times New Roman"/>
                <w:b/>
                <w:color w:val="FFFFFF"/>
                <w:sz w:val="18"/>
              </w:rPr>
              <w:t>완전 이탈자</w:t>
            </w:r>
          </w:p>
        </w:tc>
        <w:tc>
          <w:tcPr>
            <w:tcW w:type="dxa" w:w="2340"/>
            <w:shd w:fill="2B4C7E" w:val="clear"/>
          </w:tcPr>
          <w:p>
            <w:pPr>
              <w:jc w:val="center"/>
            </w:pPr>
            <w:r/>
            <w:r>
              <w:rPr>
                <w:rFonts w:ascii="Times New Roman" w:hAnsi="Times New Roman"/>
                <w:b/>
                <w:color w:val="FFFFFF"/>
                <w:sz w:val="18"/>
              </w:rPr>
              <w:t>PA 전체</w:t>
            </w:r>
          </w:p>
        </w:tc>
        <w:tc>
          <w:tcPr>
            <w:tcW w:type="dxa" w:w="2340"/>
            <w:shd w:fill="2B4C7E" w:val="clear"/>
          </w:tcPr>
          <w:p>
            <w:pPr>
              <w:jc w:val="center"/>
            </w:pPr>
            <w:r/>
            <w:r>
              <w:rPr>
                <w:rFonts w:ascii="Times New Roman" w:hAnsi="Times New Roman"/>
                <w:b/>
                <w:color w:val="FFFFFF"/>
                <w:sz w:val="18"/>
              </w:rPr>
              <w:t>차이</w:t>
            </w:r>
          </w:p>
        </w:tc>
      </w:tr>
      <w:tr>
        <w:tc>
          <w:tcPr>
            <w:tcW w:type="dxa" w:w="2340"/>
          </w:tcPr>
          <w:p>
            <w:pPr>
              <w:jc w:val="center"/>
            </w:pPr>
            <w:r/>
            <w:r>
              <w:rPr>
                <w:rFonts w:ascii="Times New Roman" w:hAnsi="Times New Roman"/>
                <w:sz w:val="18"/>
              </w:rPr>
              <w:t>평균 연령</w:t>
            </w:r>
          </w:p>
        </w:tc>
        <w:tc>
          <w:tcPr>
            <w:tcW w:type="dxa" w:w="2340"/>
          </w:tcPr>
          <w:p>
            <w:pPr>
              <w:jc w:val="center"/>
            </w:pPr>
            <w:r/>
            <w:r>
              <w:rPr>
                <w:rFonts w:ascii="Times New Roman" w:hAnsi="Times New Roman"/>
                <w:sz w:val="18"/>
              </w:rPr>
              <w:t>49.3세</w:t>
            </w:r>
          </w:p>
        </w:tc>
        <w:tc>
          <w:tcPr>
            <w:tcW w:type="dxa" w:w="2340"/>
          </w:tcPr>
          <w:p>
            <w:pPr>
              <w:jc w:val="center"/>
            </w:pPr>
            <w:r/>
            <w:r>
              <w:rPr>
                <w:rFonts w:ascii="Times New Roman" w:hAnsi="Times New Roman"/>
                <w:sz w:val="18"/>
              </w:rPr>
              <w:t>53.1세</w:t>
            </w:r>
          </w:p>
        </w:tc>
        <w:tc>
          <w:tcPr>
            <w:tcW w:type="dxa" w:w="2340"/>
          </w:tcPr>
          <w:p>
            <w:pPr>
              <w:jc w:val="center"/>
            </w:pPr>
            <w:r/>
            <w:r>
              <w:rPr>
                <w:rFonts w:ascii="Times New Roman" w:hAnsi="Times New Roman"/>
                <w:sz w:val="18"/>
              </w:rPr>
              <w:t>더 젊음</w:t>
            </w:r>
          </w:p>
        </w:tc>
      </w:tr>
      <w:tr>
        <w:tc>
          <w:tcPr>
            <w:tcW w:type="dxa" w:w="2340"/>
          </w:tcPr>
          <w:p>
            <w:pPr>
              <w:jc w:val="center"/>
            </w:pPr>
            <w:r/>
            <w:r>
              <w:rPr>
                <w:rFonts w:ascii="Times New Roman" w:hAnsi="Times New Roman"/>
                <w:sz w:val="18"/>
              </w:rPr>
              <w:t>미혼 비율</w:t>
            </w:r>
          </w:p>
        </w:tc>
        <w:tc>
          <w:tcPr>
            <w:tcW w:type="dxa" w:w="2340"/>
          </w:tcPr>
          <w:p>
            <w:pPr>
              <w:jc w:val="center"/>
            </w:pPr>
            <w:r/>
            <w:r>
              <w:rPr>
                <w:rFonts w:ascii="Times New Roman" w:hAnsi="Times New Roman"/>
                <w:sz w:val="18"/>
              </w:rPr>
              <w:t>60.1%</w:t>
            </w:r>
          </w:p>
        </w:tc>
        <w:tc>
          <w:tcPr>
            <w:tcW w:type="dxa" w:w="2340"/>
          </w:tcPr>
          <w:p>
            <w:pPr>
              <w:jc w:val="center"/>
            </w:pPr>
            <w:r/>
            <w:r>
              <w:rPr>
                <w:rFonts w:ascii="Times New Roman" w:hAnsi="Times New Roman"/>
                <w:sz w:val="18"/>
              </w:rPr>
              <w:t>44.5%</w:t>
            </w:r>
          </w:p>
        </w:tc>
        <w:tc>
          <w:tcPr>
            <w:tcW w:type="dxa" w:w="2340"/>
          </w:tcPr>
          <w:p>
            <w:pPr>
              <w:jc w:val="center"/>
            </w:pPr>
            <w:r/>
            <w:r>
              <w:rPr>
                <w:rFonts w:ascii="Times New Roman" w:hAnsi="Times New Roman"/>
                <w:sz w:val="18"/>
              </w:rPr>
              <w:t>+15.6pp</w:t>
            </w:r>
          </w:p>
        </w:tc>
      </w:tr>
      <w:tr>
        <w:tc>
          <w:tcPr>
            <w:tcW w:type="dxa" w:w="2340"/>
          </w:tcPr>
          <w:p>
            <w:pPr>
              <w:jc w:val="center"/>
            </w:pPr>
            <w:r/>
            <w:r>
              <w:rPr>
                <w:rFonts w:ascii="Times New Roman" w:hAnsi="Times New Roman"/>
                <w:sz w:val="18"/>
              </w:rPr>
              <w:t>취업률</w:t>
            </w:r>
          </w:p>
        </w:tc>
        <w:tc>
          <w:tcPr>
            <w:tcW w:type="dxa" w:w="2340"/>
          </w:tcPr>
          <w:p>
            <w:pPr>
              <w:jc w:val="center"/>
            </w:pPr>
            <w:r/>
            <w:r>
              <w:rPr>
                <w:rFonts w:ascii="Times New Roman" w:hAnsi="Times New Roman"/>
                <w:sz w:val="18"/>
              </w:rPr>
              <w:t>52.1%</w:t>
            </w:r>
          </w:p>
        </w:tc>
        <w:tc>
          <w:tcPr>
            <w:tcW w:type="dxa" w:w="2340"/>
          </w:tcPr>
          <w:p>
            <w:pPr>
              <w:jc w:val="center"/>
            </w:pPr>
            <w:r/>
            <w:r>
              <w:rPr>
                <w:rFonts w:ascii="Times New Roman" w:hAnsi="Times New Roman"/>
                <w:sz w:val="18"/>
              </w:rPr>
              <w:t>57.1%</w:t>
            </w:r>
          </w:p>
        </w:tc>
        <w:tc>
          <w:tcPr>
            <w:tcW w:type="dxa" w:w="2340"/>
          </w:tcPr>
          <w:p>
            <w:pPr>
              <w:jc w:val="center"/>
            </w:pPr>
            <w:r/>
            <w:r>
              <w:rPr>
                <w:rFonts w:ascii="Times New Roman" w:hAnsi="Times New Roman"/>
                <w:sz w:val="18"/>
              </w:rPr>
              <w:t>-5.0pp</w:t>
            </w:r>
          </w:p>
        </w:tc>
      </w:tr>
      <w:tr>
        <w:tc>
          <w:tcPr>
            <w:tcW w:type="dxa" w:w="2340"/>
          </w:tcPr>
          <w:p>
            <w:pPr>
              <w:jc w:val="center"/>
            </w:pPr>
            <w:r/>
            <w:r>
              <w:rPr>
                <w:rFonts w:ascii="Times New Roman" w:hAnsi="Times New Roman"/>
                <w:sz w:val="18"/>
              </w:rPr>
              <w:t>자녀 있음</w:t>
            </w:r>
          </w:p>
        </w:tc>
        <w:tc>
          <w:tcPr>
            <w:tcW w:type="dxa" w:w="2340"/>
          </w:tcPr>
          <w:p>
            <w:pPr>
              <w:jc w:val="center"/>
            </w:pPr>
            <w:r/>
            <w:r>
              <w:rPr>
                <w:rFonts w:ascii="Times New Roman" w:hAnsi="Times New Roman"/>
                <w:sz w:val="18"/>
              </w:rPr>
              <w:t>28.6%</w:t>
            </w:r>
          </w:p>
        </w:tc>
        <w:tc>
          <w:tcPr>
            <w:tcW w:type="dxa" w:w="2340"/>
          </w:tcPr>
          <w:p>
            <w:pPr>
              <w:jc w:val="center"/>
            </w:pPr>
            <w:r/>
            <w:r>
              <w:rPr>
                <w:rFonts w:ascii="Times New Roman" w:hAnsi="Times New Roman"/>
                <w:sz w:val="18"/>
              </w:rPr>
              <w:t>31.4%</w:t>
            </w:r>
          </w:p>
        </w:tc>
        <w:tc>
          <w:tcPr>
            <w:tcW w:type="dxa" w:w="2340"/>
          </w:tcPr>
          <w:p>
            <w:pPr>
              <w:jc w:val="center"/>
            </w:pPr>
            <w:r/>
            <w:r>
              <w:rPr>
                <w:rFonts w:ascii="Times New Roman" w:hAnsi="Times New Roman"/>
                <w:sz w:val="18"/>
              </w:rPr>
              <w:t>-2.8pp</w:t>
            </w:r>
          </w:p>
        </w:tc>
      </w:tr>
    </w:tbl>
    <w:p/>
    <w:p>
      <w:pPr>
        <w:spacing w:after="80"/>
      </w:pPr>
      <w:r>
        <w:rPr>
          <w:rFonts w:ascii="Times New Roman" w:hAnsi="Times New Roman"/>
          <w:b/>
          <w:i w:val="0"/>
          <w:sz w:val="22"/>
        </w:rPr>
        <w:t>세대별 완전 이탈률:</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B4C7E" w:val="clear"/>
          </w:tcPr>
          <w:p>
            <w:pPr>
              <w:jc w:val="center"/>
            </w:pPr>
            <w:r/>
            <w:r>
              <w:rPr>
                <w:rFonts w:ascii="Times New Roman" w:hAnsi="Times New Roman"/>
                <w:b/>
                <w:color w:val="FFFFFF"/>
                <w:sz w:val="18"/>
              </w:rPr>
              <w:t>Gen Z</w:t>
            </w:r>
          </w:p>
        </w:tc>
        <w:tc>
          <w:tcPr>
            <w:tcW w:type="dxa" w:w="1872"/>
            <w:shd w:fill="2B4C7E" w:val="clear"/>
          </w:tcPr>
          <w:p>
            <w:pPr>
              <w:jc w:val="center"/>
            </w:pPr>
            <w:r/>
            <w:r>
              <w:rPr>
                <w:rFonts w:ascii="Times New Roman" w:hAnsi="Times New Roman"/>
                <w:b/>
                <w:color w:val="FFFFFF"/>
                <w:sz w:val="18"/>
              </w:rPr>
              <w:t>Millennial</w:t>
            </w:r>
          </w:p>
        </w:tc>
        <w:tc>
          <w:tcPr>
            <w:tcW w:type="dxa" w:w="1872"/>
            <w:shd w:fill="2B4C7E" w:val="clear"/>
          </w:tcPr>
          <w:p>
            <w:pPr>
              <w:jc w:val="center"/>
            </w:pPr>
            <w:r/>
            <w:r>
              <w:rPr>
                <w:rFonts w:ascii="Times New Roman" w:hAnsi="Times New Roman"/>
                <w:b/>
                <w:color w:val="FFFFFF"/>
                <w:sz w:val="18"/>
              </w:rPr>
              <w:t>Gen X</w:t>
            </w:r>
          </w:p>
        </w:tc>
        <w:tc>
          <w:tcPr>
            <w:tcW w:type="dxa" w:w="1872"/>
            <w:shd w:fill="2B4C7E" w:val="clear"/>
          </w:tcPr>
          <w:p>
            <w:pPr>
              <w:jc w:val="center"/>
            </w:pPr>
            <w:r/>
            <w:r>
              <w:rPr>
                <w:rFonts w:ascii="Times New Roman" w:hAnsi="Times New Roman"/>
                <w:b/>
                <w:color w:val="FFFFFF"/>
                <w:sz w:val="18"/>
              </w:rPr>
              <w:t>Boomer</w:t>
            </w:r>
          </w:p>
        </w:tc>
        <w:tc>
          <w:tcPr>
            <w:tcW w:type="dxa" w:w="1872"/>
            <w:shd w:fill="2B4C7E" w:val="clear"/>
          </w:tcPr>
          <w:p>
            <w:pPr>
              <w:jc w:val="center"/>
            </w:pPr>
            <w:r/>
            <w:r>
              <w:rPr>
                <w:rFonts w:ascii="Times New Roman" w:hAnsi="Times New Roman"/>
                <w:b/>
                <w:color w:val="FFFFFF"/>
                <w:sz w:val="18"/>
              </w:rPr>
              <w:t>Silent</w:t>
            </w:r>
          </w:p>
        </w:tc>
      </w:tr>
      <w:tr>
        <w:tc>
          <w:tcPr>
            <w:tcW w:type="dxa" w:w="1872"/>
          </w:tcPr>
          <w:p>
            <w:pPr>
              <w:jc w:val="center"/>
            </w:pPr>
            <w:r/>
            <w:r>
              <w:rPr>
                <w:rFonts w:ascii="Times New Roman" w:hAnsi="Times New Roman"/>
                <w:sz w:val="18"/>
              </w:rPr>
              <w:t>46.5%</w:t>
            </w:r>
          </w:p>
        </w:tc>
        <w:tc>
          <w:tcPr>
            <w:tcW w:type="dxa" w:w="1872"/>
          </w:tcPr>
          <w:p>
            <w:pPr>
              <w:jc w:val="center"/>
            </w:pPr>
            <w:r/>
            <w:r>
              <w:rPr>
                <w:rFonts w:ascii="Times New Roman" w:hAnsi="Times New Roman"/>
                <w:sz w:val="18"/>
              </w:rPr>
              <w:t>33.2%</w:t>
            </w:r>
          </w:p>
        </w:tc>
        <w:tc>
          <w:tcPr>
            <w:tcW w:type="dxa" w:w="1872"/>
          </w:tcPr>
          <w:p>
            <w:pPr>
              <w:jc w:val="center"/>
            </w:pPr>
            <w:r/>
            <w:r>
              <w:rPr>
                <w:rFonts w:ascii="Times New Roman" w:hAnsi="Times New Roman"/>
                <w:sz w:val="18"/>
              </w:rPr>
              <w:t>21.5%</w:t>
            </w:r>
          </w:p>
        </w:tc>
        <w:tc>
          <w:tcPr>
            <w:tcW w:type="dxa" w:w="1872"/>
          </w:tcPr>
          <w:p>
            <w:pPr>
              <w:jc w:val="center"/>
            </w:pPr>
            <w:r/>
            <w:r>
              <w:rPr>
                <w:rFonts w:ascii="Times New Roman" w:hAnsi="Times New Roman"/>
                <w:sz w:val="18"/>
              </w:rPr>
              <w:t>22.6%</w:t>
            </w:r>
          </w:p>
        </w:tc>
        <w:tc>
          <w:tcPr>
            <w:tcW w:type="dxa" w:w="1872"/>
          </w:tcPr>
          <w:p>
            <w:pPr>
              <w:jc w:val="center"/>
            </w:pPr>
            <w:r/>
            <w:r>
              <w:rPr>
                <w:rFonts w:ascii="Times New Roman" w:hAnsi="Times New Roman"/>
                <w:sz w:val="18"/>
              </w:rPr>
              <w:t>21.2%</w:t>
            </w:r>
          </w:p>
        </w:tc>
      </w:tr>
    </w:tbl>
    <w:p/>
    <w:p>
      <w:pPr>
        <w:spacing w:after="160"/>
        <w:ind w:firstLine="567"/>
      </w:pPr>
      <w:r>
        <w:rPr>
          <w:rFonts w:ascii="Times New Roman" w:hAnsi="Times New Roman"/>
          <w:b w:val="0"/>
          <w:i w:val="0"/>
          <w:sz w:val="22"/>
        </w:rPr>
        <w:t>완전 이탈자는 "노인"이 아닙니다. 미혼의 중년, 도시에 거주하는, 사회적 연결이 끊어진 사람들입니다. Urban Core의 이탈률(31.5%)이 Suburban(22.9%)보다 현저히 높습니다.</w:t>
      </w:r>
    </w:p>
    <w:p>
      <w:pPr>
        <w:spacing w:after="80"/>
        <w:ind w:firstLine="567"/>
      </w:pPr>
      <w:r>
        <w:rPr>
          <w:rFonts w:ascii="Times New Roman" w:hAnsi="Times New Roman"/>
          <w:b w:val="0"/>
          <w:i w:val="0"/>
          <w:sz w:val="22"/>
        </w:rPr>
        <w:t>Ecological Systems Theory(Bronfenbrenner, 1979) 해석: 도시 중심부의 mesosystem (이웃 관계, 조직 접점, 지역사회 구조) 약화가 개인의 시민참여 진입점을 차단하고 있습니다. 이것은 단순한 "무관심"이 아니라 구조적 고립(structural isolation)의 결과일 수 있습니다.</w:t>
      </w:r>
    </w:p>
    <w:p>
      <w:r>
        <w:br w:type="page"/>
      </w:r>
    </w:p>
    <w:p>
      <w:pPr>
        <w:pStyle w:val="Heading1"/>
      </w:pPr>
      <w:r>
        <w:t>서사 5: COVID가 만든 세대별 비대칭 충격</w:t>
      </w:r>
    </w:p>
    <w:p>
      <w:pPr>
        <w:pStyle w:val="Heading2"/>
      </w:pPr>
      <w:r>
        <w:t>"같은 팬데믹, 완전히 다른 궤적"</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B4C7E" w:val="clear"/>
          </w:tcPr>
          <w:p>
            <w:pPr>
              <w:jc w:val="center"/>
            </w:pPr>
            <w:r/>
            <w:r>
              <w:rPr>
                <w:rFonts w:ascii="Times New Roman" w:hAnsi="Times New Roman"/>
                <w:b/>
                <w:color w:val="FFFFFF"/>
                <w:sz w:val="18"/>
              </w:rPr>
              <w:t>세대</w:t>
            </w:r>
          </w:p>
        </w:tc>
        <w:tc>
          <w:tcPr>
            <w:tcW w:type="dxa" w:w="1560"/>
            <w:shd w:fill="2B4C7E" w:val="clear"/>
          </w:tcPr>
          <w:p>
            <w:pPr>
              <w:jc w:val="center"/>
            </w:pPr>
            <w:r/>
            <w:r>
              <w:rPr>
                <w:rFonts w:ascii="Times New Roman" w:hAnsi="Times New Roman"/>
                <w:b/>
                <w:color w:val="FFFFFF"/>
                <w:sz w:val="18"/>
              </w:rPr>
              <w:t>2019</w:t>
            </w:r>
          </w:p>
        </w:tc>
        <w:tc>
          <w:tcPr>
            <w:tcW w:type="dxa" w:w="1560"/>
            <w:shd w:fill="2B4C7E" w:val="clear"/>
          </w:tcPr>
          <w:p>
            <w:pPr>
              <w:jc w:val="center"/>
            </w:pPr>
            <w:r/>
            <w:r>
              <w:rPr>
                <w:rFonts w:ascii="Times New Roman" w:hAnsi="Times New Roman"/>
                <w:b/>
                <w:color w:val="FFFFFF"/>
                <w:sz w:val="18"/>
              </w:rPr>
              <w:t>2021</w:t>
            </w:r>
          </w:p>
        </w:tc>
        <w:tc>
          <w:tcPr>
            <w:tcW w:type="dxa" w:w="1560"/>
            <w:shd w:fill="2B4C7E" w:val="clear"/>
          </w:tcPr>
          <w:p>
            <w:pPr>
              <w:jc w:val="center"/>
            </w:pPr>
            <w:r/>
            <w:r>
              <w:rPr>
                <w:rFonts w:ascii="Times New Roman" w:hAnsi="Times New Roman"/>
                <w:b/>
                <w:color w:val="FFFFFF"/>
                <w:sz w:val="18"/>
              </w:rPr>
              <w:t>2019→21 하락</w:t>
            </w:r>
          </w:p>
        </w:tc>
        <w:tc>
          <w:tcPr>
            <w:tcW w:type="dxa" w:w="1560"/>
            <w:shd w:fill="2B4C7E" w:val="clear"/>
          </w:tcPr>
          <w:p>
            <w:pPr>
              <w:jc w:val="center"/>
            </w:pPr>
            <w:r/>
            <w:r>
              <w:rPr>
                <w:rFonts w:ascii="Times New Roman" w:hAnsi="Times New Roman"/>
                <w:b/>
                <w:color w:val="FFFFFF"/>
                <w:sz w:val="18"/>
              </w:rPr>
              <w:t>2023</w:t>
            </w:r>
          </w:p>
        </w:tc>
        <w:tc>
          <w:tcPr>
            <w:tcW w:type="dxa" w:w="1560"/>
            <w:shd w:fill="2B4C7E" w:val="clear"/>
          </w:tcPr>
          <w:p>
            <w:pPr>
              <w:jc w:val="center"/>
            </w:pPr>
            <w:r/>
            <w:r>
              <w:rPr>
                <w:rFonts w:ascii="Times New Roman" w:hAnsi="Times New Roman"/>
                <w:b/>
                <w:color w:val="FFFFFF"/>
                <w:sz w:val="18"/>
              </w:rPr>
              <w:t>회복 상태</w:t>
            </w:r>
          </w:p>
        </w:tc>
      </w:tr>
      <w:tr>
        <w:tc>
          <w:tcPr>
            <w:tcW w:type="dxa" w:w="1560"/>
          </w:tcPr>
          <w:p>
            <w:pPr>
              <w:jc w:val="center"/>
            </w:pPr>
            <w:r/>
            <w:r>
              <w:rPr>
                <w:rFonts w:ascii="Times New Roman" w:hAnsi="Times New Roman"/>
                <w:sz w:val="18"/>
              </w:rPr>
              <w:t>Gen Z</w:t>
            </w:r>
          </w:p>
        </w:tc>
        <w:tc>
          <w:tcPr>
            <w:tcW w:type="dxa" w:w="1560"/>
          </w:tcPr>
          <w:p>
            <w:pPr>
              <w:jc w:val="center"/>
            </w:pPr>
            <w:r/>
            <w:r>
              <w:rPr>
                <w:rFonts w:ascii="Times New Roman" w:hAnsi="Times New Roman"/>
                <w:sz w:val="18"/>
              </w:rPr>
              <w:t>30.4%</w:t>
            </w:r>
          </w:p>
        </w:tc>
        <w:tc>
          <w:tcPr>
            <w:tcW w:type="dxa" w:w="1560"/>
          </w:tcPr>
          <w:p>
            <w:pPr>
              <w:jc w:val="center"/>
            </w:pPr>
            <w:r/>
            <w:r>
              <w:rPr>
                <w:rFonts w:ascii="Times New Roman" w:hAnsi="Times New Roman"/>
                <w:sz w:val="18"/>
              </w:rPr>
              <w:t>27.9%</w:t>
            </w:r>
          </w:p>
        </w:tc>
        <w:tc>
          <w:tcPr>
            <w:tcW w:type="dxa" w:w="1560"/>
          </w:tcPr>
          <w:p>
            <w:pPr>
              <w:jc w:val="center"/>
            </w:pPr>
            <w:r/>
            <w:r>
              <w:rPr>
                <w:rFonts w:ascii="Times New Roman" w:hAnsi="Times New Roman"/>
                <w:sz w:val="18"/>
              </w:rPr>
              <w:t>-2.5pp</w:t>
            </w:r>
          </w:p>
        </w:tc>
        <w:tc>
          <w:tcPr>
            <w:tcW w:type="dxa" w:w="1560"/>
          </w:tcPr>
          <w:p>
            <w:pPr>
              <w:jc w:val="center"/>
            </w:pPr>
            <w:r/>
            <w:r>
              <w:rPr>
                <w:rFonts w:ascii="Times New Roman" w:hAnsi="Times New Roman"/>
                <w:sz w:val="18"/>
              </w:rPr>
              <w:t>26.4%</w:t>
            </w:r>
          </w:p>
        </w:tc>
        <w:tc>
          <w:tcPr>
            <w:tcW w:type="dxa" w:w="1560"/>
          </w:tcPr>
          <w:p>
            <w:pPr>
              <w:jc w:val="center"/>
            </w:pPr>
            <w:r/>
            <w:r>
              <w:rPr>
                <w:rFonts w:ascii="Times New Roman" w:hAnsi="Times New Roman"/>
                <w:sz w:val="18"/>
              </w:rPr>
              <w:t>미회복</w:t>
            </w:r>
          </w:p>
        </w:tc>
      </w:tr>
      <w:tr>
        <w:tc>
          <w:tcPr>
            <w:tcW w:type="dxa" w:w="1560"/>
          </w:tcPr>
          <w:p>
            <w:pPr>
              <w:jc w:val="center"/>
            </w:pPr>
            <w:r/>
            <w:r>
              <w:rPr>
                <w:rFonts w:ascii="Times New Roman" w:hAnsi="Times New Roman"/>
                <w:sz w:val="18"/>
              </w:rPr>
              <w:t>Millennial</w:t>
            </w:r>
          </w:p>
        </w:tc>
        <w:tc>
          <w:tcPr>
            <w:tcW w:type="dxa" w:w="1560"/>
          </w:tcPr>
          <w:p>
            <w:pPr>
              <w:jc w:val="center"/>
            </w:pPr>
            <w:r/>
            <w:r>
              <w:rPr>
                <w:rFonts w:ascii="Times New Roman" w:hAnsi="Times New Roman"/>
                <w:sz w:val="18"/>
              </w:rPr>
              <w:t>34.5%</w:t>
            </w:r>
          </w:p>
        </w:tc>
        <w:tc>
          <w:tcPr>
            <w:tcW w:type="dxa" w:w="1560"/>
          </w:tcPr>
          <w:p>
            <w:pPr>
              <w:jc w:val="center"/>
            </w:pPr>
            <w:r/>
            <w:r>
              <w:rPr>
                <w:rFonts w:ascii="Times New Roman" w:hAnsi="Times New Roman"/>
                <w:sz w:val="18"/>
              </w:rPr>
              <w:t>20.4%</w:t>
            </w:r>
          </w:p>
        </w:tc>
        <w:tc>
          <w:tcPr>
            <w:tcW w:type="dxa" w:w="1560"/>
          </w:tcPr>
          <w:p>
            <w:pPr>
              <w:jc w:val="center"/>
            </w:pPr>
            <w:r/>
            <w:r>
              <w:rPr>
                <w:rFonts w:ascii="Times New Roman" w:hAnsi="Times New Roman"/>
                <w:sz w:val="18"/>
              </w:rPr>
              <w:t>-14.1pp</w:t>
            </w:r>
          </w:p>
        </w:tc>
        <w:tc>
          <w:tcPr>
            <w:tcW w:type="dxa" w:w="1560"/>
          </w:tcPr>
          <w:p>
            <w:pPr>
              <w:jc w:val="center"/>
            </w:pPr>
            <w:r/>
            <w:r>
              <w:rPr>
                <w:rFonts w:ascii="Times New Roman" w:hAnsi="Times New Roman"/>
                <w:sz w:val="18"/>
              </w:rPr>
              <w:t>38.4%</w:t>
            </w:r>
          </w:p>
        </w:tc>
        <w:tc>
          <w:tcPr>
            <w:tcW w:type="dxa" w:w="1560"/>
          </w:tcPr>
          <w:p>
            <w:pPr>
              <w:jc w:val="center"/>
            </w:pPr>
            <w:r/>
            <w:r>
              <w:rPr>
                <w:rFonts w:ascii="Times New Roman" w:hAnsi="Times New Roman"/>
                <w:sz w:val="18"/>
              </w:rPr>
              <w:t>V자 완전 회복</w:t>
            </w:r>
          </w:p>
        </w:tc>
      </w:tr>
      <w:tr>
        <w:tc>
          <w:tcPr>
            <w:tcW w:type="dxa" w:w="1560"/>
          </w:tcPr>
          <w:p>
            <w:pPr>
              <w:jc w:val="center"/>
            </w:pPr>
            <w:r/>
            <w:r>
              <w:rPr>
                <w:rFonts w:ascii="Times New Roman" w:hAnsi="Times New Roman"/>
                <w:sz w:val="18"/>
              </w:rPr>
              <w:t>Gen X</w:t>
            </w:r>
          </w:p>
        </w:tc>
        <w:tc>
          <w:tcPr>
            <w:tcW w:type="dxa" w:w="1560"/>
          </w:tcPr>
          <w:p>
            <w:pPr>
              <w:jc w:val="center"/>
            </w:pPr>
            <w:r/>
            <w:r>
              <w:rPr>
                <w:rFonts w:ascii="Times New Roman" w:hAnsi="Times New Roman"/>
                <w:sz w:val="18"/>
              </w:rPr>
              <w:t>49.2%</w:t>
            </w:r>
          </w:p>
        </w:tc>
        <w:tc>
          <w:tcPr>
            <w:tcW w:type="dxa" w:w="1560"/>
          </w:tcPr>
          <w:p>
            <w:pPr>
              <w:jc w:val="center"/>
            </w:pPr>
            <w:r/>
            <w:r>
              <w:rPr>
                <w:rFonts w:ascii="Times New Roman" w:hAnsi="Times New Roman"/>
                <w:sz w:val="18"/>
              </w:rPr>
              <w:t>34.1%</w:t>
            </w:r>
          </w:p>
        </w:tc>
        <w:tc>
          <w:tcPr>
            <w:tcW w:type="dxa" w:w="1560"/>
          </w:tcPr>
          <w:p>
            <w:pPr>
              <w:jc w:val="center"/>
            </w:pPr>
            <w:r/>
            <w:r>
              <w:rPr>
                <w:rFonts w:ascii="Times New Roman" w:hAnsi="Times New Roman"/>
                <w:sz w:val="18"/>
              </w:rPr>
              <w:t>-15.1pp</w:t>
            </w:r>
          </w:p>
        </w:tc>
        <w:tc>
          <w:tcPr>
            <w:tcW w:type="dxa" w:w="1560"/>
          </w:tcPr>
          <w:p>
            <w:pPr>
              <w:jc w:val="center"/>
            </w:pPr>
            <w:r/>
            <w:r>
              <w:rPr>
                <w:rFonts w:ascii="Times New Roman" w:hAnsi="Times New Roman"/>
                <w:sz w:val="18"/>
              </w:rPr>
              <w:t>35.9%</w:t>
            </w:r>
          </w:p>
        </w:tc>
        <w:tc>
          <w:tcPr>
            <w:tcW w:type="dxa" w:w="1560"/>
          </w:tcPr>
          <w:p>
            <w:pPr>
              <w:jc w:val="center"/>
            </w:pPr>
            <w:r/>
            <w:r>
              <w:rPr>
                <w:rFonts w:ascii="Times New Roman" w:hAnsi="Times New Roman"/>
                <w:sz w:val="18"/>
              </w:rPr>
              <w:t>회복 실패</w:t>
            </w:r>
          </w:p>
        </w:tc>
      </w:tr>
      <w:tr>
        <w:tc>
          <w:tcPr>
            <w:tcW w:type="dxa" w:w="1560"/>
          </w:tcPr>
          <w:p>
            <w:pPr>
              <w:jc w:val="center"/>
            </w:pPr>
            <w:r/>
            <w:r>
              <w:rPr>
                <w:rFonts w:ascii="Times New Roman" w:hAnsi="Times New Roman"/>
                <w:sz w:val="18"/>
              </w:rPr>
              <w:t>Boomer</w:t>
            </w:r>
          </w:p>
        </w:tc>
        <w:tc>
          <w:tcPr>
            <w:tcW w:type="dxa" w:w="1560"/>
          </w:tcPr>
          <w:p>
            <w:pPr>
              <w:jc w:val="center"/>
            </w:pPr>
            <w:r/>
            <w:r>
              <w:rPr>
                <w:rFonts w:ascii="Times New Roman" w:hAnsi="Times New Roman"/>
                <w:sz w:val="18"/>
              </w:rPr>
              <w:t>38.0%</w:t>
            </w:r>
          </w:p>
        </w:tc>
        <w:tc>
          <w:tcPr>
            <w:tcW w:type="dxa" w:w="1560"/>
          </w:tcPr>
          <w:p>
            <w:pPr>
              <w:jc w:val="center"/>
            </w:pPr>
            <w:r/>
            <w:r>
              <w:rPr>
                <w:rFonts w:ascii="Times New Roman" w:hAnsi="Times New Roman"/>
                <w:sz w:val="18"/>
              </w:rPr>
              <w:t>30.7%</w:t>
            </w:r>
          </w:p>
        </w:tc>
        <w:tc>
          <w:tcPr>
            <w:tcW w:type="dxa" w:w="1560"/>
          </w:tcPr>
          <w:p>
            <w:pPr>
              <w:jc w:val="center"/>
            </w:pPr>
            <w:r/>
            <w:r>
              <w:rPr>
                <w:rFonts w:ascii="Times New Roman" w:hAnsi="Times New Roman"/>
                <w:sz w:val="18"/>
              </w:rPr>
              <w:t>-7.3pp</w:t>
            </w:r>
          </w:p>
        </w:tc>
        <w:tc>
          <w:tcPr>
            <w:tcW w:type="dxa" w:w="1560"/>
          </w:tcPr>
          <w:p>
            <w:pPr>
              <w:jc w:val="center"/>
            </w:pPr>
            <w:r/>
            <w:r>
              <w:rPr>
                <w:rFonts w:ascii="Times New Roman" w:hAnsi="Times New Roman"/>
                <w:sz w:val="18"/>
              </w:rPr>
              <w:t>28.7%</w:t>
            </w:r>
          </w:p>
        </w:tc>
        <w:tc>
          <w:tcPr>
            <w:tcW w:type="dxa" w:w="1560"/>
          </w:tcPr>
          <w:p>
            <w:pPr>
              <w:jc w:val="center"/>
            </w:pPr>
            <w:r/>
            <w:r>
              <w:rPr>
                <w:rFonts w:ascii="Times New Roman" w:hAnsi="Times New Roman"/>
                <w:sz w:val="18"/>
              </w:rPr>
              <w:t>지속 이탈</w:t>
            </w:r>
          </w:p>
        </w:tc>
      </w:tr>
      <w:tr>
        <w:tc>
          <w:tcPr>
            <w:tcW w:type="dxa" w:w="1560"/>
          </w:tcPr>
          <w:p>
            <w:pPr>
              <w:jc w:val="center"/>
            </w:pPr>
            <w:r/>
            <w:r>
              <w:rPr>
                <w:rFonts w:ascii="Times New Roman" w:hAnsi="Times New Roman"/>
                <w:sz w:val="18"/>
              </w:rPr>
              <w:t>Silent</w:t>
            </w:r>
          </w:p>
        </w:tc>
        <w:tc>
          <w:tcPr>
            <w:tcW w:type="dxa" w:w="1560"/>
          </w:tcPr>
          <w:p>
            <w:pPr>
              <w:jc w:val="center"/>
            </w:pPr>
            <w:r/>
            <w:r>
              <w:rPr>
                <w:rFonts w:ascii="Times New Roman" w:hAnsi="Times New Roman"/>
                <w:sz w:val="18"/>
              </w:rPr>
              <w:t>26.1%</w:t>
            </w:r>
          </w:p>
        </w:tc>
        <w:tc>
          <w:tcPr>
            <w:tcW w:type="dxa" w:w="1560"/>
          </w:tcPr>
          <w:p>
            <w:pPr>
              <w:jc w:val="center"/>
            </w:pPr>
            <w:r/>
            <w:r>
              <w:rPr>
                <w:rFonts w:ascii="Times New Roman" w:hAnsi="Times New Roman"/>
                <w:sz w:val="18"/>
              </w:rPr>
              <w:t>21.4%</w:t>
            </w:r>
          </w:p>
        </w:tc>
        <w:tc>
          <w:tcPr>
            <w:tcW w:type="dxa" w:w="1560"/>
          </w:tcPr>
          <w:p>
            <w:pPr>
              <w:jc w:val="center"/>
            </w:pPr>
            <w:r/>
            <w:r>
              <w:rPr>
                <w:rFonts w:ascii="Times New Roman" w:hAnsi="Times New Roman"/>
                <w:sz w:val="18"/>
              </w:rPr>
              <w:t>-4.7pp</w:t>
            </w:r>
          </w:p>
        </w:tc>
        <w:tc>
          <w:tcPr>
            <w:tcW w:type="dxa" w:w="1560"/>
          </w:tcPr>
          <w:p>
            <w:pPr>
              <w:jc w:val="center"/>
            </w:pPr>
            <w:r/>
            <w:r>
              <w:rPr>
                <w:rFonts w:ascii="Times New Roman" w:hAnsi="Times New Roman"/>
                <w:sz w:val="18"/>
              </w:rPr>
              <w:t>27.3%</w:t>
            </w:r>
          </w:p>
        </w:tc>
        <w:tc>
          <w:tcPr>
            <w:tcW w:type="dxa" w:w="1560"/>
          </w:tcPr>
          <w:p>
            <w:pPr>
              <w:jc w:val="center"/>
            </w:pPr>
            <w:r/>
            <w:r>
              <w:rPr>
                <w:rFonts w:ascii="Times New Roman" w:hAnsi="Times New Roman"/>
                <w:sz w:val="18"/>
              </w:rPr>
              <w:t>초과 회복</w:t>
            </w:r>
          </w:p>
        </w:tc>
      </w:tr>
    </w:tbl>
    <w:p/>
    <w:p>
      <w:pPr>
        <w:spacing w:after="80"/>
      </w:pPr>
      <w:r>
        <w:rPr>
          <w:rFonts w:ascii="Times New Roman" w:hAnsi="Times New Roman"/>
          <w:b/>
          <w:i w:val="0"/>
          <w:sz w:val="22"/>
        </w:rPr>
        <w:t>가장 주목할 패턴:</w:t>
      </w:r>
    </w:p>
    <w:p>
      <w:pPr>
        <w:spacing w:after="120"/>
        <w:ind w:firstLine="567"/>
      </w:pPr>
      <w:r>
        <w:rPr>
          <w:rFonts w:ascii="Times New Roman" w:hAnsi="Times New Roman"/>
          <w:b w:val="0"/>
          <w:i w:val="0"/>
          <w:sz w:val="22"/>
        </w:rPr>
        <w:t>Millennial의 V자 회복: 2019년 34.5%에서 2021년 20.4%로 급락(-14.1pp)했다가 2023년 38.4%로 완전 회복. 이들은 30-44세의 부모 세대로, 학교/스포츠 기반 자원봉사가 팬데믹 기간 중단되었다가 학교 재개와 함께 복원된 것으로 해석됩니다.</w:t>
      </w:r>
    </w:p>
    <w:p>
      <w:pPr>
        <w:spacing w:after="120"/>
        <w:ind w:firstLine="567"/>
      </w:pPr>
      <w:r>
        <w:rPr>
          <w:rFonts w:ascii="Times New Roman" w:hAnsi="Times New Roman"/>
          <w:b w:val="0"/>
          <w:i w:val="0"/>
          <w:sz w:val="22"/>
        </w:rPr>
        <w:t>Gen X의 회복 실패: COVID 전 PA에서 가장 활발한 세대(49.2%)였으나, 35.9%까지 하락한 후 돌아오지 않고 있습니다. 45-59세의 "sandwich generation"으로서, COVID가 일-가정 부담을 극대화하면서 자원봉사가 영구적으로 우선순위에서 밀렸을 가능성.</w:t>
      </w:r>
    </w:p>
    <w:p>
      <w:pPr>
        <w:spacing w:after="160"/>
        <w:ind w:firstLine="567"/>
      </w:pPr>
      <w:r>
        <w:rPr>
          <w:rFonts w:ascii="Times New Roman" w:hAnsi="Times New Roman"/>
          <w:b w:val="0"/>
          <w:i w:val="0"/>
          <w:sz w:val="22"/>
        </w:rPr>
        <w:t>Silent 세대의 역설적 초과 회복: 가장 건강 취약한 집단(75+)이 오히려 COVID 이전 수준을 초과하여 회복(26.1% → 27.3%). 은퇴 후 사회적 고립에 대한 저항(resistance to isolation)으로 해석할 수 있습니다.</w:t>
      </w:r>
    </w:p>
    <w:p>
      <w:pPr>
        <w:spacing w:after="80"/>
        <w:ind w:firstLine="567"/>
      </w:pPr>
      <w:r>
        <w:rPr>
          <w:rFonts w:ascii="Times New Roman" w:hAnsi="Times New Roman"/>
          <w:b w:val="0"/>
          <w:i/>
          <w:sz w:val="22"/>
        </w:rPr>
        <w:t>시사점: COVID-19는 단순히 시민참여를 일시적으로 위축시킨 것이 아니라, 세대별 참여 구조를 재편(restructure)하였습니다. 이전에 가장 활발했던 Gen X가 구조적으로 이탈하고, 이전에 가장 취약했던 Silent이 역설적으로 복원된 것은 생애주기(life-course)와 사회적 역할의 상호작용을 보여줍니다.</w:t>
      </w:r>
    </w:p>
    <w:p>
      <w:r>
        <w:br w:type="page"/>
      </w:r>
    </w:p>
    <w:p>
      <w:pPr>
        <w:pStyle w:val="Heading1"/>
      </w:pPr>
      <w:r>
        <w:t>서사 6: "보이콧의 부상" — 새로운 정치적 표현</w:t>
      </w:r>
    </w:p>
    <w:p>
      <w:pPr>
        <w:pStyle w:val="Heading2"/>
      </w:pPr>
      <w:r>
        <w:t>"전통적 참여는 줄고, 소비자 행동주의만 성장한다"</w:t>
      </w:r>
    </w:p>
    <w:p>
      <w:pPr>
        <w:spacing w:after="160"/>
        <w:ind w:firstLine="567"/>
      </w:pPr>
      <w:r>
        <w:rPr>
          <w:rFonts w:ascii="Times New Roman" w:hAnsi="Times New Roman"/>
          <w:b w:val="0"/>
          <w:i w:val="0"/>
          <w:sz w:val="22"/>
        </w:rPr>
        <w:t>Boycott(소비자 보이콧)은 PA의 모든 교육 수준에서 2017-2023 기간 동안 상승한 유일한 시민참여 지표입니다. 자원봉사, 기부, 공직자 접촉이 모두 감소하는 동안 소비자 행동주의만 성장하고 있습니다.</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B4C7E" w:val="clear"/>
          </w:tcPr>
          <w:p>
            <w:pPr>
              <w:jc w:val="center"/>
            </w:pPr>
            <w:r/>
            <w:r>
              <w:rPr>
                <w:rFonts w:ascii="Times New Roman" w:hAnsi="Times New Roman"/>
                <w:b/>
                <w:color w:val="FFFFFF"/>
                <w:sz w:val="18"/>
              </w:rPr>
              <w:t>학력</w:t>
            </w:r>
          </w:p>
        </w:tc>
        <w:tc>
          <w:tcPr>
            <w:tcW w:type="dxa" w:w="1560"/>
            <w:shd w:fill="2B4C7E" w:val="clear"/>
          </w:tcPr>
          <w:p>
            <w:pPr>
              <w:jc w:val="center"/>
            </w:pPr>
            <w:r/>
            <w:r>
              <w:rPr>
                <w:rFonts w:ascii="Times New Roman" w:hAnsi="Times New Roman"/>
                <w:b/>
                <w:color w:val="FFFFFF"/>
                <w:sz w:val="18"/>
              </w:rPr>
              <w:t>2017</w:t>
            </w:r>
          </w:p>
        </w:tc>
        <w:tc>
          <w:tcPr>
            <w:tcW w:type="dxa" w:w="1560"/>
            <w:shd w:fill="2B4C7E" w:val="clear"/>
          </w:tcPr>
          <w:p>
            <w:pPr>
              <w:jc w:val="center"/>
            </w:pPr>
            <w:r/>
            <w:r>
              <w:rPr>
                <w:rFonts w:ascii="Times New Roman" w:hAnsi="Times New Roman"/>
                <w:b/>
                <w:color w:val="FFFFFF"/>
                <w:sz w:val="18"/>
              </w:rPr>
              <w:t>2019</w:t>
            </w:r>
          </w:p>
        </w:tc>
        <w:tc>
          <w:tcPr>
            <w:tcW w:type="dxa" w:w="1560"/>
            <w:shd w:fill="2B4C7E" w:val="clear"/>
          </w:tcPr>
          <w:p>
            <w:pPr>
              <w:jc w:val="center"/>
            </w:pPr>
            <w:r/>
            <w:r>
              <w:rPr>
                <w:rFonts w:ascii="Times New Roman" w:hAnsi="Times New Roman"/>
                <w:b/>
                <w:color w:val="FFFFFF"/>
                <w:sz w:val="18"/>
              </w:rPr>
              <w:t>2021</w:t>
            </w:r>
          </w:p>
        </w:tc>
        <w:tc>
          <w:tcPr>
            <w:tcW w:type="dxa" w:w="1560"/>
            <w:shd w:fill="2B4C7E" w:val="clear"/>
          </w:tcPr>
          <w:p>
            <w:pPr>
              <w:jc w:val="center"/>
            </w:pPr>
            <w:r/>
            <w:r>
              <w:rPr>
                <w:rFonts w:ascii="Times New Roman" w:hAnsi="Times New Roman"/>
                <w:b/>
                <w:color w:val="FFFFFF"/>
                <w:sz w:val="18"/>
              </w:rPr>
              <w:t>2023</w:t>
            </w:r>
          </w:p>
        </w:tc>
        <w:tc>
          <w:tcPr>
            <w:tcW w:type="dxa" w:w="1560"/>
            <w:shd w:fill="2B4C7E" w:val="clear"/>
          </w:tcPr>
          <w:p>
            <w:pPr>
              <w:jc w:val="center"/>
            </w:pPr>
            <w:r/>
            <w:r>
              <w:rPr>
                <w:rFonts w:ascii="Times New Roman" w:hAnsi="Times New Roman"/>
                <w:b/>
                <w:color w:val="FFFFFF"/>
                <w:sz w:val="18"/>
              </w:rPr>
              <w:t>변화</w:t>
            </w:r>
          </w:p>
        </w:tc>
      </w:tr>
      <w:tr>
        <w:tc>
          <w:tcPr>
            <w:tcW w:type="dxa" w:w="1560"/>
          </w:tcPr>
          <w:p>
            <w:pPr>
              <w:jc w:val="center"/>
            </w:pPr>
            <w:r/>
            <w:r>
              <w:rPr>
                <w:rFonts w:ascii="Times New Roman" w:hAnsi="Times New Roman"/>
                <w:sz w:val="18"/>
              </w:rPr>
              <w:t>고졸 이하</w:t>
            </w:r>
          </w:p>
        </w:tc>
        <w:tc>
          <w:tcPr>
            <w:tcW w:type="dxa" w:w="1560"/>
          </w:tcPr>
          <w:p>
            <w:pPr>
              <w:jc w:val="center"/>
            </w:pPr>
            <w:r/>
            <w:r>
              <w:rPr>
                <w:rFonts w:ascii="Times New Roman" w:hAnsi="Times New Roman"/>
                <w:sz w:val="18"/>
              </w:rPr>
              <w:t>8.4%</w:t>
            </w:r>
          </w:p>
        </w:tc>
        <w:tc>
          <w:tcPr>
            <w:tcW w:type="dxa" w:w="1560"/>
          </w:tcPr>
          <w:p>
            <w:pPr>
              <w:jc w:val="center"/>
            </w:pPr>
            <w:r/>
            <w:r>
              <w:rPr>
                <w:rFonts w:ascii="Times New Roman" w:hAnsi="Times New Roman"/>
                <w:sz w:val="18"/>
              </w:rPr>
              <w:t>10.0%</w:t>
            </w:r>
          </w:p>
        </w:tc>
        <w:tc>
          <w:tcPr>
            <w:tcW w:type="dxa" w:w="1560"/>
          </w:tcPr>
          <w:p>
            <w:pPr>
              <w:jc w:val="center"/>
            </w:pPr>
            <w:r/>
            <w:r>
              <w:rPr>
                <w:rFonts w:ascii="Times New Roman" w:hAnsi="Times New Roman"/>
                <w:sz w:val="18"/>
              </w:rPr>
              <w:t>10.4%</w:t>
            </w:r>
          </w:p>
        </w:tc>
        <w:tc>
          <w:tcPr>
            <w:tcW w:type="dxa" w:w="1560"/>
          </w:tcPr>
          <w:p>
            <w:pPr>
              <w:jc w:val="center"/>
            </w:pPr>
            <w:r/>
            <w:r>
              <w:rPr>
                <w:rFonts w:ascii="Times New Roman" w:hAnsi="Times New Roman"/>
                <w:sz w:val="18"/>
              </w:rPr>
              <w:t>11.2%</w:t>
            </w:r>
          </w:p>
        </w:tc>
        <w:tc>
          <w:tcPr>
            <w:tcW w:type="dxa" w:w="1560"/>
          </w:tcPr>
          <w:p>
            <w:pPr>
              <w:jc w:val="center"/>
            </w:pPr>
            <w:r/>
            <w:r>
              <w:rPr>
                <w:rFonts w:ascii="Times New Roman" w:hAnsi="Times New Roman"/>
                <w:sz w:val="18"/>
              </w:rPr>
              <w:t>+2.8pp</w:t>
            </w:r>
          </w:p>
        </w:tc>
      </w:tr>
      <w:tr>
        <w:tc>
          <w:tcPr>
            <w:tcW w:type="dxa" w:w="1560"/>
          </w:tcPr>
          <w:p>
            <w:pPr>
              <w:jc w:val="center"/>
            </w:pPr>
            <w:r/>
            <w:r>
              <w:rPr>
                <w:rFonts w:ascii="Times New Roman" w:hAnsi="Times New Roman"/>
                <w:sz w:val="18"/>
              </w:rPr>
              <w:t>Some College</w:t>
            </w:r>
          </w:p>
        </w:tc>
        <w:tc>
          <w:tcPr>
            <w:tcW w:type="dxa" w:w="1560"/>
          </w:tcPr>
          <w:p>
            <w:pPr>
              <w:jc w:val="center"/>
            </w:pPr>
            <w:r/>
            <w:r>
              <w:rPr>
                <w:rFonts w:ascii="Times New Roman" w:hAnsi="Times New Roman"/>
                <w:sz w:val="18"/>
              </w:rPr>
              <w:t>15.4%</w:t>
            </w:r>
          </w:p>
        </w:tc>
        <w:tc>
          <w:tcPr>
            <w:tcW w:type="dxa" w:w="1560"/>
          </w:tcPr>
          <w:p>
            <w:pPr>
              <w:jc w:val="center"/>
            </w:pPr>
            <w:r/>
            <w:r>
              <w:rPr>
                <w:rFonts w:ascii="Times New Roman" w:hAnsi="Times New Roman"/>
                <w:sz w:val="18"/>
              </w:rPr>
              <w:t>21.3%</w:t>
            </w:r>
          </w:p>
        </w:tc>
        <w:tc>
          <w:tcPr>
            <w:tcW w:type="dxa" w:w="1560"/>
          </w:tcPr>
          <w:p>
            <w:pPr>
              <w:jc w:val="center"/>
            </w:pPr>
            <w:r/>
            <w:r>
              <w:rPr>
                <w:rFonts w:ascii="Times New Roman" w:hAnsi="Times New Roman"/>
                <w:sz w:val="18"/>
              </w:rPr>
              <w:t>22.4%</w:t>
            </w:r>
          </w:p>
        </w:tc>
        <w:tc>
          <w:tcPr>
            <w:tcW w:type="dxa" w:w="1560"/>
          </w:tcPr>
          <w:p>
            <w:pPr>
              <w:jc w:val="center"/>
            </w:pPr>
            <w:r/>
            <w:r>
              <w:rPr>
                <w:rFonts w:ascii="Times New Roman" w:hAnsi="Times New Roman"/>
                <w:sz w:val="18"/>
              </w:rPr>
              <w:t>18.8%</w:t>
            </w:r>
          </w:p>
        </w:tc>
        <w:tc>
          <w:tcPr>
            <w:tcW w:type="dxa" w:w="1560"/>
          </w:tcPr>
          <w:p>
            <w:pPr>
              <w:jc w:val="center"/>
            </w:pPr>
            <w:r/>
            <w:r>
              <w:rPr>
                <w:rFonts w:ascii="Times New Roman" w:hAnsi="Times New Roman"/>
                <w:sz w:val="18"/>
              </w:rPr>
              <w:t>+3.4pp</w:t>
            </w:r>
          </w:p>
        </w:tc>
      </w:tr>
      <w:tr>
        <w:tc>
          <w:tcPr>
            <w:tcW w:type="dxa" w:w="1560"/>
          </w:tcPr>
          <w:p>
            <w:pPr>
              <w:jc w:val="center"/>
            </w:pPr>
            <w:r/>
            <w:r>
              <w:rPr>
                <w:rFonts w:ascii="Times New Roman" w:hAnsi="Times New Roman"/>
                <w:sz w:val="18"/>
              </w:rPr>
              <w:t>학사 이상</w:t>
            </w:r>
          </w:p>
        </w:tc>
        <w:tc>
          <w:tcPr>
            <w:tcW w:type="dxa" w:w="1560"/>
          </w:tcPr>
          <w:p>
            <w:pPr>
              <w:jc w:val="center"/>
            </w:pPr>
            <w:r/>
            <w:r>
              <w:rPr>
                <w:rFonts w:ascii="Times New Roman" w:hAnsi="Times New Roman"/>
                <w:sz w:val="18"/>
              </w:rPr>
              <w:t>26.8%</w:t>
            </w:r>
          </w:p>
        </w:tc>
        <w:tc>
          <w:tcPr>
            <w:tcW w:type="dxa" w:w="1560"/>
          </w:tcPr>
          <w:p>
            <w:pPr>
              <w:jc w:val="center"/>
            </w:pPr>
            <w:r/>
            <w:r>
              <w:rPr>
                <w:rFonts w:ascii="Times New Roman" w:hAnsi="Times New Roman"/>
                <w:sz w:val="18"/>
              </w:rPr>
              <w:t>29.2%</w:t>
            </w:r>
          </w:p>
        </w:tc>
        <w:tc>
          <w:tcPr>
            <w:tcW w:type="dxa" w:w="1560"/>
          </w:tcPr>
          <w:p>
            <w:pPr>
              <w:jc w:val="center"/>
            </w:pPr>
            <w:r/>
            <w:r>
              <w:rPr>
                <w:rFonts w:ascii="Times New Roman" w:hAnsi="Times New Roman"/>
                <w:sz w:val="18"/>
              </w:rPr>
              <w:t>32.7%</w:t>
            </w:r>
          </w:p>
        </w:tc>
        <w:tc>
          <w:tcPr>
            <w:tcW w:type="dxa" w:w="1560"/>
          </w:tcPr>
          <w:p>
            <w:pPr>
              <w:jc w:val="center"/>
            </w:pPr>
            <w:r/>
            <w:r>
              <w:rPr>
                <w:rFonts w:ascii="Times New Roman" w:hAnsi="Times New Roman"/>
                <w:sz w:val="18"/>
              </w:rPr>
              <w:t>28.3%</w:t>
            </w:r>
          </w:p>
        </w:tc>
        <w:tc>
          <w:tcPr>
            <w:tcW w:type="dxa" w:w="1560"/>
          </w:tcPr>
          <w:p>
            <w:pPr>
              <w:jc w:val="center"/>
            </w:pPr>
            <w:r/>
            <w:r>
              <w:rPr>
                <w:rFonts w:ascii="Times New Roman" w:hAnsi="Times New Roman"/>
                <w:sz w:val="18"/>
              </w:rPr>
              <w:t>+1.5pp</w:t>
            </w:r>
          </w:p>
        </w:tc>
      </w:tr>
    </w:tbl>
    <w:p/>
    <w:p>
      <w:pPr>
        <w:spacing w:after="160"/>
        <w:ind w:firstLine="567"/>
      </w:pPr>
      <w:r>
        <w:rPr>
          <w:rFonts w:ascii="Times New Roman" w:hAnsi="Times New Roman"/>
          <w:b w:val="0"/>
          <w:i w:val="0"/>
          <w:sz w:val="22"/>
        </w:rPr>
        <w:t>세대별로 보면, Gen Z의 보이콧 참여는 2017년 8.1%에서 2019년 19.6%로 1년 만에 2.4배 폭증하였습니다. 이것은 기후변화, 총기 규제 등 이슈 중심 행동주의(issue-based activism)의 부상을 반영합니다.</w:t>
      </w:r>
    </w:p>
    <w:p>
      <w:pPr>
        <w:spacing w:after="160"/>
        <w:ind w:firstLine="567"/>
      </w:pPr>
      <w:r>
        <w:rPr>
          <w:rFonts w:ascii="Times New Roman" w:hAnsi="Times New Roman"/>
          <w:b w:val="0"/>
          <w:i w:val="0"/>
          <w:sz w:val="22"/>
        </w:rPr>
        <w:t>PA 맥락: PA는 대표적인 swing state로서 정치적 양극화가 극심합니다. 전통적 시민참여(자원봉사, 투표, 공직자 접촉)에서 소비 기반 정치적 표현(consumer-based political expression)으로의 전환은 PA의 정치적 환경과 밀접하게 연관됩니다.</w:t>
      </w:r>
    </w:p>
    <w:p>
      <w:pPr>
        <w:spacing w:after="80"/>
        <w:ind w:firstLine="567"/>
      </w:pPr>
      <w:r>
        <w:rPr>
          <w:rFonts w:ascii="Times New Roman" w:hAnsi="Times New Roman"/>
          <w:b w:val="0"/>
          <w:i/>
          <w:sz w:val="22"/>
        </w:rPr>
        <w:t>이론적 함의: 이 패턴은 시민참여의 "modalit 전환(modality shift)"을 시사합니다. 시민참여의 총량이 줄어든 것이 아니라, 참여의 형태가 조직 기반(organizational)에서 개인 기반(individual), 대면(in-person)에서 소비 행위(consumption-based)로 전환되고 있을 가능성이 있습니다.</w:t>
      </w:r>
    </w:p>
    <w:p>
      <w:r>
        <w:br w:type="page"/>
      </w:r>
    </w:p>
    <w:p>
      <w:pPr>
        <w:pStyle w:val="Heading1"/>
      </w:pPr>
      <w:r>
        <w:t>서사 7: Rural의 역설적 강점</w:t>
      </w:r>
    </w:p>
    <w:p>
      <w:pPr>
        <w:pStyle w:val="Heading2"/>
      </w:pPr>
      <w:r>
        <w:t>"같은 조건이면, 시골 사람이 더 자원봉사한다"</w:t>
      </w:r>
    </w:p>
    <w:p>
      <w:pPr>
        <w:spacing w:after="160"/>
        <w:ind w:firstLine="567"/>
      </w:pPr>
      <w:r>
        <w:rPr>
          <w:rFonts w:ascii="Times New Roman" w:hAnsi="Times New Roman"/>
          <w:b w:val="0"/>
          <w:i w:val="0"/>
          <w:sz w:val="22"/>
        </w:rPr>
        <w:t>표면적으로 Rural PA의 자원봉사율(31.5%)은 Suburban(35.8%)보다 낮습니다. 그러나 연령과 학력을 통제하면 이야기가 역전됩니다.</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4C7E" w:val="clear"/>
          </w:tcPr>
          <w:p>
            <w:pPr>
              <w:jc w:val="center"/>
            </w:pPr>
            <w:r/>
            <w:r>
              <w:rPr>
                <w:rFonts w:ascii="Times New Roman" w:hAnsi="Times New Roman"/>
                <w:b/>
                <w:color w:val="FFFFFF"/>
                <w:sz w:val="18"/>
              </w:rPr>
              <w:t>인구학 셀 (연령 x 학력)</w:t>
            </w:r>
          </w:p>
        </w:tc>
        <w:tc>
          <w:tcPr>
            <w:tcW w:type="dxa" w:w="2340"/>
            <w:shd w:fill="2B4C7E" w:val="clear"/>
          </w:tcPr>
          <w:p>
            <w:pPr>
              <w:jc w:val="center"/>
            </w:pPr>
            <w:r/>
            <w:r>
              <w:rPr>
                <w:rFonts w:ascii="Times New Roman" w:hAnsi="Times New Roman"/>
                <w:b/>
                <w:color w:val="FFFFFF"/>
                <w:sz w:val="18"/>
              </w:rPr>
              <w:t>Rural</w:t>
            </w:r>
          </w:p>
        </w:tc>
        <w:tc>
          <w:tcPr>
            <w:tcW w:type="dxa" w:w="2340"/>
            <w:shd w:fill="2B4C7E" w:val="clear"/>
          </w:tcPr>
          <w:p>
            <w:pPr>
              <w:jc w:val="center"/>
            </w:pPr>
            <w:r/>
            <w:r>
              <w:rPr>
                <w:rFonts w:ascii="Times New Roman" w:hAnsi="Times New Roman"/>
                <w:b/>
                <w:color w:val="FFFFFF"/>
                <w:sz w:val="18"/>
              </w:rPr>
              <w:t>Suburban</w:t>
            </w:r>
          </w:p>
        </w:tc>
        <w:tc>
          <w:tcPr>
            <w:tcW w:type="dxa" w:w="2340"/>
            <w:shd w:fill="2B4C7E" w:val="clear"/>
          </w:tcPr>
          <w:p>
            <w:pPr>
              <w:jc w:val="center"/>
            </w:pPr>
            <w:r/>
            <w:r>
              <w:rPr>
                <w:rFonts w:ascii="Times New Roman" w:hAnsi="Times New Roman"/>
                <w:b/>
                <w:color w:val="FFFFFF"/>
                <w:sz w:val="18"/>
              </w:rPr>
              <w:t>차이</w:t>
            </w:r>
          </w:p>
        </w:tc>
      </w:tr>
      <w:tr>
        <w:tc>
          <w:tcPr>
            <w:tcW w:type="dxa" w:w="2340"/>
          </w:tcPr>
          <w:p>
            <w:pPr>
              <w:jc w:val="center"/>
            </w:pPr>
            <w:r/>
            <w:r>
              <w:rPr>
                <w:rFonts w:ascii="Times New Roman" w:hAnsi="Times New Roman"/>
                <w:sz w:val="18"/>
              </w:rPr>
              <w:t>60-74세, 고졸 이하</w:t>
            </w:r>
          </w:p>
        </w:tc>
        <w:tc>
          <w:tcPr>
            <w:tcW w:type="dxa" w:w="2340"/>
          </w:tcPr>
          <w:p>
            <w:pPr>
              <w:jc w:val="center"/>
            </w:pPr>
            <w:r/>
            <w:r>
              <w:rPr>
                <w:rFonts w:ascii="Times New Roman" w:hAnsi="Times New Roman"/>
                <w:sz w:val="18"/>
              </w:rPr>
              <w:t>31.8%</w:t>
            </w:r>
          </w:p>
        </w:tc>
        <w:tc>
          <w:tcPr>
            <w:tcW w:type="dxa" w:w="2340"/>
          </w:tcPr>
          <w:p>
            <w:pPr>
              <w:jc w:val="center"/>
            </w:pPr>
            <w:r/>
            <w:r>
              <w:rPr>
                <w:rFonts w:ascii="Times New Roman" w:hAnsi="Times New Roman"/>
                <w:sz w:val="18"/>
              </w:rPr>
              <w:t>20.9%</w:t>
            </w:r>
          </w:p>
        </w:tc>
        <w:tc>
          <w:tcPr>
            <w:tcW w:type="dxa" w:w="2340"/>
          </w:tcPr>
          <w:p>
            <w:pPr>
              <w:jc w:val="center"/>
            </w:pPr>
            <w:r/>
            <w:r>
              <w:rPr>
                <w:rFonts w:ascii="Times New Roman" w:hAnsi="Times New Roman"/>
                <w:sz w:val="18"/>
              </w:rPr>
              <w:t>+10.9pp</w:t>
            </w:r>
          </w:p>
        </w:tc>
      </w:tr>
      <w:tr>
        <w:tc>
          <w:tcPr>
            <w:tcW w:type="dxa" w:w="2340"/>
          </w:tcPr>
          <w:p>
            <w:pPr>
              <w:jc w:val="center"/>
            </w:pPr>
            <w:r/>
            <w:r>
              <w:rPr>
                <w:rFonts w:ascii="Times New Roman" w:hAnsi="Times New Roman"/>
                <w:sz w:val="18"/>
              </w:rPr>
              <w:t>45-59세, 학사 이상</w:t>
            </w:r>
          </w:p>
        </w:tc>
        <w:tc>
          <w:tcPr>
            <w:tcW w:type="dxa" w:w="2340"/>
          </w:tcPr>
          <w:p>
            <w:pPr>
              <w:jc w:val="center"/>
            </w:pPr>
            <w:r/>
            <w:r>
              <w:rPr>
                <w:rFonts w:ascii="Times New Roman" w:hAnsi="Times New Roman"/>
                <w:sz w:val="18"/>
              </w:rPr>
              <w:t>63.6%</w:t>
            </w:r>
          </w:p>
        </w:tc>
        <w:tc>
          <w:tcPr>
            <w:tcW w:type="dxa" w:w="2340"/>
          </w:tcPr>
          <w:p>
            <w:pPr>
              <w:jc w:val="center"/>
            </w:pPr>
            <w:r/>
            <w:r>
              <w:rPr>
                <w:rFonts w:ascii="Times New Roman" w:hAnsi="Times New Roman"/>
                <w:sz w:val="18"/>
              </w:rPr>
              <w:t>52.6%</w:t>
            </w:r>
          </w:p>
        </w:tc>
        <w:tc>
          <w:tcPr>
            <w:tcW w:type="dxa" w:w="2340"/>
          </w:tcPr>
          <w:p>
            <w:pPr>
              <w:jc w:val="center"/>
            </w:pPr>
            <w:r/>
            <w:r>
              <w:rPr>
                <w:rFonts w:ascii="Times New Roman" w:hAnsi="Times New Roman"/>
                <w:sz w:val="18"/>
              </w:rPr>
              <w:t>+11.0pp</w:t>
            </w:r>
          </w:p>
        </w:tc>
      </w:tr>
      <w:tr>
        <w:tc>
          <w:tcPr>
            <w:tcW w:type="dxa" w:w="2340"/>
          </w:tcPr>
          <w:p>
            <w:pPr>
              <w:jc w:val="center"/>
            </w:pPr>
            <w:r/>
            <w:r>
              <w:rPr>
                <w:rFonts w:ascii="Times New Roman" w:hAnsi="Times New Roman"/>
                <w:sz w:val="18"/>
              </w:rPr>
              <w:t>75+, 학사 이상</w:t>
            </w:r>
          </w:p>
        </w:tc>
        <w:tc>
          <w:tcPr>
            <w:tcW w:type="dxa" w:w="2340"/>
          </w:tcPr>
          <w:p>
            <w:pPr>
              <w:jc w:val="center"/>
            </w:pPr>
            <w:r/>
            <w:r>
              <w:rPr>
                <w:rFonts w:ascii="Times New Roman" w:hAnsi="Times New Roman"/>
                <w:sz w:val="18"/>
              </w:rPr>
              <w:t>53.8%</w:t>
            </w:r>
          </w:p>
        </w:tc>
        <w:tc>
          <w:tcPr>
            <w:tcW w:type="dxa" w:w="2340"/>
          </w:tcPr>
          <w:p>
            <w:pPr>
              <w:jc w:val="center"/>
            </w:pPr>
            <w:r/>
            <w:r>
              <w:rPr>
                <w:rFonts w:ascii="Times New Roman" w:hAnsi="Times New Roman"/>
                <w:sz w:val="18"/>
              </w:rPr>
              <w:t>42.6%</w:t>
            </w:r>
          </w:p>
        </w:tc>
        <w:tc>
          <w:tcPr>
            <w:tcW w:type="dxa" w:w="2340"/>
          </w:tcPr>
          <w:p>
            <w:pPr>
              <w:jc w:val="center"/>
            </w:pPr>
            <w:r/>
            <w:r>
              <w:rPr>
                <w:rFonts w:ascii="Times New Roman" w:hAnsi="Times New Roman"/>
                <w:sz w:val="18"/>
              </w:rPr>
              <w:t>+11.3pp</w:t>
            </w:r>
          </w:p>
        </w:tc>
      </w:tr>
      <w:tr>
        <w:tc>
          <w:tcPr>
            <w:tcW w:type="dxa" w:w="2340"/>
          </w:tcPr>
          <w:p>
            <w:pPr>
              <w:jc w:val="center"/>
            </w:pPr>
            <w:r/>
            <w:r>
              <w:rPr>
                <w:rFonts w:ascii="Times New Roman" w:hAnsi="Times New Roman"/>
                <w:sz w:val="18"/>
              </w:rPr>
              <w:t>30-44세, 고졸 이하</w:t>
            </w:r>
          </w:p>
        </w:tc>
        <w:tc>
          <w:tcPr>
            <w:tcW w:type="dxa" w:w="2340"/>
          </w:tcPr>
          <w:p>
            <w:pPr>
              <w:jc w:val="center"/>
            </w:pPr>
            <w:r/>
            <w:r>
              <w:rPr>
                <w:rFonts w:ascii="Times New Roman" w:hAnsi="Times New Roman"/>
                <w:sz w:val="18"/>
              </w:rPr>
              <w:t>31.7%</w:t>
            </w:r>
          </w:p>
        </w:tc>
        <w:tc>
          <w:tcPr>
            <w:tcW w:type="dxa" w:w="2340"/>
          </w:tcPr>
          <w:p>
            <w:pPr>
              <w:jc w:val="center"/>
            </w:pPr>
            <w:r/>
            <w:r>
              <w:rPr>
                <w:rFonts w:ascii="Times New Roman" w:hAnsi="Times New Roman"/>
                <w:sz w:val="18"/>
              </w:rPr>
              <w:t>25.6%</w:t>
            </w:r>
          </w:p>
        </w:tc>
        <w:tc>
          <w:tcPr>
            <w:tcW w:type="dxa" w:w="2340"/>
          </w:tcPr>
          <w:p>
            <w:pPr>
              <w:jc w:val="center"/>
            </w:pPr>
            <w:r/>
            <w:r>
              <w:rPr>
                <w:rFonts w:ascii="Times New Roman" w:hAnsi="Times New Roman"/>
                <w:sz w:val="18"/>
              </w:rPr>
              <w:t>+6.1pp</w:t>
            </w:r>
          </w:p>
        </w:tc>
      </w:tr>
      <w:tr>
        <w:tc>
          <w:tcPr>
            <w:tcW w:type="dxa" w:w="2340"/>
          </w:tcPr>
          <w:p>
            <w:pPr>
              <w:jc w:val="center"/>
            </w:pPr>
            <w:r/>
            <w:r>
              <w:rPr>
                <w:rFonts w:ascii="Times New Roman" w:hAnsi="Times New Roman"/>
                <w:sz w:val="18"/>
              </w:rPr>
              <w:t>30-44세, Some College</w:t>
            </w:r>
          </w:p>
        </w:tc>
        <w:tc>
          <w:tcPr>
            <w:tcW w:type="dxa" w:w="2340"/>
          </w:tcPr>
          <w:p>
            <w:pPr>
              <w:jc w:val="center"/>
            </w:pPr>
            <w:r/>
            <w:r>
              <w:rPr>
                <w:rFonts w:ascii="Times New Roman" w:hAnsi="Times New Roman"/>
                <w:sz w:val="18"/>
              </w:rPr>
              <w:t>42.9%</w:t>
            </w:r>
          </w:p>
        </w:tc>
        <w:tc>
          <w:tcPr>
            <w:tcW w:type="dxa" w:w="2340"/>
          </w:tcPr>
          <w:p>
            <w:pPr>
              <w:jc w:val="center"/>
            </w:pPr>
            <w:r/>
            <w:r>
              <w:rPr>
                <w:rFonts w:ascii="Times New Roman" w:hAnsi="Times New Roman"/>
                <w:sz w:val="18"/>
              </w:rPr>
              <w:t>37.2%</w:t>
            </w:r>
          </w:p>
        </w:tc>
        <w:tc>
          <w:tcPr>
            <w:tcW w:type="dxa" w:w="2340"/>
          </w:tcPr>
          <w:p>
            <w:pPr>
              <w:jc w:val="center"/>
            </w:pPr>
            <w:r/>
            <w:r>
              <w:rPr>
                <w:rFonts w:ascii="Times New Roman" w:hAnsi="Times New Roman"/>
                <w:sz w:val="18"/>
              </w:rPr>
              <w:t>+5.7pp</w:t>
            </w:r>
          </w:p>
        </w:tc>
      </w:tr>
    </w:tbl>
    <w:p/>
    <w:p>
      <w:pPr>
        <w:spacing w:after="160"/>
        <w:ind w:firstLine="567"/>
      </w:pPr>
      <w:r>
        <w:rPr>
          <w:rFonts w:ascii="Times New Roman" w:hAnsi="Times New Roman"/>
          <w:b w:val="0"/>
          <w:i w:val="0"/>
          <w:sz w:val="22"/>
        </w:rPr>
        <w:t>13개 동일 인구학 셀 중 8개에서 Rural이 Suburban보다 높은 자원봉사율을 보였으며, 평균 within-cell 차이는 +1.2 percentage points입니다.</w:t>
      </w:r>
    </w:p>
    <w:p>
      <w:pPr>
        <w:spacing w:after="80"/>
      </w:pPr>
      <w:r>
        <w:rPr>
          <w:rFonts w:ascii="Times New Roman" w:hAnsi="Times New Roman"/>
          <w:b/>
          <w:i w:val="0"/>
          <w:sz w:val="22"/>
        </w:rPr>
        <w:t>그러나 Rural의 두 얼굴:</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4C7E" w:val="clear"/>
          </w:tcPr>
          <w:p>
            <w:pPr>
              <w:jc w:val="center"/>
            </w:pPr>
            <w:r/>
            <w:r>
              <w:rPr>
                <w:rFonts w:ascii="Times New Roman" w:hAnsi="Times New Roman"/>
                <w:b/>
                <w:color w:val="FFFFFF"/>
                <w:sz w:val="18"/>
              </w:rPr>
              <w:t>Rural 하위집단</w:t>
            </w:r>
          </w:p>
        </w:tc>
        <w:tc>
          <w:tcPr>
            <w:tcW w:type="dxa" w:w="2340"/>
            <w:shd w:fill="2B4C7E" w:val="clear"/>
          </w:tcPr>
          <w:p>
            <w:pPr>
              <w:jc w:val="center"/>
            </w:pPr>
            <w:r/>
            <w:r>
              <w:rPr>
                <w:rFonts w:ascii="Times New Roman" w:hAnsi="Times New Roman"/>
                <w:b/>
                <w:color w:val="FFFFFF"/>
                <w:sz w:val="18"/>
              </w:rPr>
              <w:t>N</w:t>
            </w:r>
          </w:p>
        </w:tc>
        <w:tc>
          <w:tcPr>
            <w:tcW w:type="dxa" w:w="2340"/>
            <w:shd w:fill="2B4C7E" w:val="clear"/>
          </w:tcPr>
          <w:p>
            <w:pPr>
              <w:jc w:val="center"/>
            </w:pPr>
            <w:r/>
            <w:r>
              <w:rPr>
                <w:rFonts w:ascii="Times New Roman" w:hAnsi="Times New Roman"/>
                <w:b/>
                <w:color w:val="FFFFFF"/>
                <w:sz w:val="18"/>
              </w:rPr>
              <w:t>자원봉사율</w:t>
            </w:r>
          </w:p>
        </w:tc>
        <w:tc>
          <w:tcPr>
            <w:tcW w:type="dxa" w:w="2340"/>
            <w:shd w:fill="2B4C7E" w:val="clear"/>
          </w:tcPr>
          <w:p>
            <w:pPr>
              <w:jc w:val="center"/>
            </w:pPr>
            <w:r/>
            <w:r>
              <w:rPr>
                <w:rFonts w:ascii="Times New Roman" w:hAnsi="Times New Roman"/>
                <w:b/>
                <w:color w:val="FFFFFF"/>
                <w:sz w:val="18"/>
              </w:rPr>
              <w:t>참여 폭</w:t>
            </w:r>
          </w:p>
        </w:tc>
      </w:tr>
      <w:tr>
        <w:tc>
          <w:tcPr>
            <w:tcW w:type="dxa" w:w="2340"/>
          </w:tcPr>
          <w:p>
            <w:pPr>
              <w:jc w:val="center"/>
            </w:pPr>
            <w:r/>
            <w:r>
              <w:rPr>
                <w:rFonts w:ascii="Times New Roman" w:hAnsi="Times New Roman"/>
                <w:sz w:val="18"/>
              </w:rPr>
              <w:t>경제적 distressed Rural</w:t>
            </w:r>
          </w:p>
        </w:tc>
        <w:tc>
          <w:tcPr>
            <w:tcW w:type="dxa" w:w="2340"/>
          </w:tcPr>
          <w:p>
            <w:pPr>
              <w:jc w:val="center"/>
            </w:pPr>
            <w:r/>
            <w:r>
              <w:rPr>
                <w:rFonts w:ascii="Times New Roman" w:hAnsi="Times New Roman"/>
                <w:sz w:val="18"/>
              </w:rPr>
              <w:t>85</w:t>
            </w:r>
          </w:p>
        </w:tc>
        <w:tc>
          <w:tcPr>
            <w:tcW w:type="dxa" w:w="2340"/>
          </w:tcPr>
          <w:p>
            <w:pPr>
              <w:jc w:val="center"/>
            </w:pPr>
            <w:r/>
            <w:r>
              <w:rPr>
                <w:rFonts w:ascii="Times New Roman" w:hAnsi="Times New Roman"/>
                <w:sz w:val="18"/>
              </w:rPr>
              <w:t>17.6%</w:t>
            </w:r>
          </w:p>
        </w:tc>
        <w:tc>
          <w:tcPr>
            <w:tcW w:type="dxa" w:w="2340"/>
          </w:tcPr>
          <w:p>
            <w:pPr>
              <w:jc w:val="center"/>
            </w:pPr>
            <w:r/>
            <w:r>
              <w:rPr>
                <w:rFonts w:ascii="Times New Roman" w:hAnsi="Times New Roman"/>
                <w:sz w:val="18"/>
              </w:rPr>
              <w:t>0.99</w:t>
            </w:r>
          </w:p>
        </w:tc>
      </w:tr>
      <w:tr>
        <w:tc>
          <w:tcPr>
            <w:tcW w:type="dxa" w:w="2340"/>
          </w:tcPr>
          <w:p>
            <w:pPr>
              <w:jc w:val="center"/>
            </w:pPr>
            <w:r/>
            <w:r>
              <w:rPr>
                <w:rFonts w:ascii="Times New Roman" w:hAnsi="Times New Roman"/>
                <w:sz w:val="18"/>
              </w:rPr>
              <w:t>경제적 comfortable Rural</w:t>
            </w:r>
          </w:p>
        </w:tc>
        <w:tc>
          <w:tcPr>
            <w:tcW w:type="dxa" w:w="2340"/>
          </w:tcPr>
          <w:p>
            <w:pPr>
              <w:jc w:val="center"/>
            </w:pPr>
            <w:r/>
            <w:r>
              <w:rPr>
                <w:rFonts w:ascii="Times New Roman" w:hAnsi="Times New Roman"/>
                <w:sz w:val="18"/>
              </w:rPr>
              <w:t>80</w:t>
            </w:r>
          </w:p>
        </w:tc>
        <w:tc>
          <w:tcPr>
            <w:tcW w:type="dxa" w:w="2340"/>
          </w:tcPr>
          <w:p>
            <w:pPr>
              <w:jc w:val="center"/>
            </w:pPr>
            <w:r/>
            <w:r>
              <w:rPr>
                <w:rFonts w:ascii="Times New Roman" w:hAnsi="Times New Roman"/>
                <w:sz w:val="18"/>
              </w:rPr>
              <w:t>(고소득)</w:t>
            </w:r>
          </w:p>
        </w:tc>
        <w:tc>
          <w:tcPr>
            <w:tcW w:type="dxa" w:w="2340"/>
          </w:tcPr>
          <w:p>
            <w:pPr>
              <w:jc w:val="center"/>
            </w:pPr>
            <w:r/>
            <w:r>
              <w:rPr>
                <w:rFonts w:ascii="Times New Roman" w:hAnsi="Times New Roman"/>
                <w:sz w:val="18"/>
              </w:rPr>
              <w:t>1.88 (추정)</w:t>
            </w:r>
          </w:p>
        </w:tc>
      </w:tr>
    </w:tbl>
    <w:p/>
    <w:p>
      <w:pPr>
        <w:spacing w:after="160"/>
        <w:ind w:firstLine="567"/>
      </w:pPr>
      <w:r>
        <w:rPr>
          <w:rFonts w:ascii="Times New Roman" w:hAnsi="Times New Roman"/>
          <w:b w:val="0"/>
          <w:i w:val="0"/>
          <w:sz w:val="22"/>
        </w:rPr>
        <w:t>Community Capitals Framework 해석: Rural PA에는 두 가지 얼굴이 있습니다. (1) 사회적 자본이 풍부한 Rural - 강한 이웃 유대, 교회, VFW/Rotary 전통으로 인해 같은 조건에서 더 높은 참여를 보이는 곳, 그리고 (2) 모든 자본이 고갈된 Rural - 탈산업화, 고령화, 오피오이드 위기로 인해 참여 기반 자체가 무너진 곳. 이 이중성(duality)은 Rural을 단일 범주로 취급하는 분석의 한계를 보여줍니다.</w:t>
      </w:r>
    </w:p>
    <w:p>
      <w:pPr>
        <w:spacing w:after="80"/>
        <w:ind w:firstLine="567"/>
      </w:pPr>
      <w:r>
        <w:rPr>
          <w:rFonts w:ascii="Times New Roman" w:hAnsi="Times New Roman"/>
          <w:b w:val="0"/>
          <w:i/>
          <w:sz w:val="22"/>
        </w:rPr>
        <w:t>접근성이 제한된 환경에서 상호 의존성(mutual dependence)이 높아져 civic engagement이 오히려 활성화된다는 해석은 사회적 자본이 존재하는 Rural에서만 성립하며, 자본이 고갈된 Rural에서는 접근성 부족이 참여 장벽으로 작용합니다.</w:t>
      </w:r>
    </w:p>
    <w:p>
      <w:r>
        <w:br w:type="page"/>
      </w:r>
    </w:p>
    <w:p>
      <w:pPr>
        <w:pStyle w:val="Heading1"/>
      </w:pPr>
      <w:r>
        <w:t>종합: 7가지 서사가 말하는 것</w:t>
      </w:r>
    </w:p>
    <w:p>
      <w:pPr>
        <w:spacing w:after="160"/>
        <w:ind w:firstLine="567"/>
      </w:pPr>
      <w:r>
        <w:rPr>
          <w:rFonts w:ascii="Times New Roman" w:hAnsi="Times New Roman"/>
          <w:b w:val="0"/>
          <w:i w:val="0"/>
          <w:sz w:val="22"/>
        </w:rPr>
        <w:t>이 7가지 서사를 관통하는 핵심 메시지는 하나입니다:</w:t>
      </w:r>
    </w:p>
    <w:p>
      <w:pPr>
        <w:spacing w:after="240"/>
        <w:jc w:val="center"/>
      </w:pPr>
      <w:r>
        <w:rPr>
          <w:b/>
          <w:i/>
          <w:sz w:val="24"/>
        </w:rPr>
        <w:t>"자원봉사와 시민참여는 어디에 사느냐보다,</w:t>
        <w:br/>
        <w:t>어떤 시민참여 맥락(civic engagement context)에 있느냐가 더 중요하다."</w:t>
      </w:r>
    </w:p>
    <w:p>
      <w:pPr>
        <w:spacing w:after="160"/>
        <w:ind w:firstLine="567"/>
      </w:pPr>
      <w:r>
        <w:rPr>
          <w:rFonts w:ascii="Times New Roman" w:hAnsi="Times New Roman"/>
          <w:b w:val="0"/>
          <w:i w:val="0"/>
          <w:sz w:val="22"/>
        </w:rPr>
        <w:t>동일한 인구학적 특성을 가진 사람이라도, 그가 속한 시민참여 프로필에 따라 자원봉사의 예측 요인이 완전히 달라집니다. 교육은 이탈자에게는 강력한 enabler이지만 이미 활동적인 사람에게는 무의미합니다. Rural 거주는 Community Connector에게는 참여 촉진 요인이지만 Disengaged에게는 추가 장벽입니다.</w:t>
      </w:r>
    </w:p>
    <w:p>
      <w:pPr>
        <w:pStyle w:val="Heading2"/>
      </w:pPr>
      <w:r>
        <w:t>PA 사회 이슈와의 연결</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4C7E" w:val="clear"/>
          </w:tcPr>
          <w:p>
            <w:pPr>
              <w:jc w:val="center"/>
            </w:pPr>
            <w:r/>
            <w:r>
              <w:rPr>
                <w:rFonts w:ascii="Times New Roman" w:hAnsi="Times New Roman"/>
                <w:b/>
                <w:color w:val="FFFFFF"/>
                <w:sz w:val="18"/>
              </w:rPr>
              <w:t>PA 사회 이슈</w:t>
            </w:r>
          </w:p>
        </w:tc>
        <w:tc>
          <w:tcPr>
            <w:tcW w:type="dxa" w:w="3120"/>
            <w:shd w:fill="2B4C7E" w:val="clear"/>
          </w:tcPr>
          <w:p>
            <w:pPr>
              <w:jc w:val="center"/>
            </w:pPr>
            <w:r/>
            <w:r>
              <w:rPr>
                <w:rFonts w:ascii="Times New Roman" w:hAnsi="Times New Roman"/>
                <w:b/>
                <w:color w:val="FFFFFF"/>
                <w:sz w:val="18"/>
              </w:rPr>
              <w:t>관련 서사</w:t>
            </w:r>
          </w:p>
        </w:tc>
        <w:tc>
          <w:tcPr>
            <w:tcW w:type="dxa" w:w="3120"/>
            <w:shd w:fill="2B4C7E" w:val="clear"/>
          </w:tcPr>
          <w:p>
            <w:pPr>
              <w:jc w:val="center"/>
            </w:pPr>
            <w:r/>
            <w:r>
              <w:rPr>
                <w:rFonts w:ascii="Times New Roman" w:hAnsi="Times New Roman"/>
                <w:b/>
                <w:color w:val="FFFFFF"/>
                <w:sz w:val="18"/>
              </w:rPr>
              <w:t>데이터셋 연결</w:t>
            </w:r>
          </w:p>
        </w:tc>
      </w:tr>
      <w:tr>
        <w:tc>
          <w:tcPr>
            <w:tcW w:type="dxa" w:w="3120"/>
          </w:tcPr>
          <w:p>
            <w:pPr>
              <w:jc w:val="center"/>
            </w:pPr>
            <w:r/>
            <w:r>
              <w:rPr>
                <w:rFonts w:ascii="Times New Roman" w:hAnsi="Times New Roman"/>
                <w:sz w:val="18"/>
              </w:rPr>
              <w:t>Rust Belt 탈산업화</w:t>
            </w:r>
          </w:p>
        </w:tc>
        <w:tc>
          <w:tcPr>
            <w:tcW w:type="dxa" w:w="3120"/>
          </w:tcPr>
          <w:p>
            <w:pPr>
              <w:jc w:val="center"/>
            </w:pPr>
            <w:r/>
            <w:r>
              <w:rPr>
                <w:rFonts w:ascii="Times New Roman" w:hAnsi="Times New Roman"/>
                <w:sz w:val="18"/>
              </w:rPr>
              <w:t>서사 3, 7</w:t>
            </w:r>
          </w:p>
        </w:tc>
        <w:tc>
          <w:tcPr>
            <w:tcW w:type="dxa" w:w="3120"/>
          </w:tcPr>
          <w:p>
            <w:pPr>
              <w:jc w:val="center"/>
            </w:pPr>
            <w:r/>
            <w:r>
              <w:rPr>
                <w:rFonts w:ascii="Times New Roman" w:hAnsi="Times New Roman"/>
                <w:sz w:val="18"/>
              </w:rPr>
              <w:t>경제적 distress + 참여 이탈</w:t>
            </w:r>
          </w:p>
        </w:tc>
      </w:tr>
      <w:tr>
        <w:tc>
          <w:tcPr>
            <w:tcW w:type="dxa" w:w="3120"/>
          </w:tcPr>
          <w:p>
            <w:pPr>
              <w:jc w:val="center"/>
            </w:pPr>
            <w:r/>
            <w:r>
              <w:rPr>
                <w:rFonts w:ascii="Times New Roman" w:hAnsi="Times New Roman"/>
                <w:sz w:val="18"/>
              </w:rPr>
              <w:t>오피오이드 위기</w:t>
            </w:r>
          </w:p>
        </w:tc>
        <w:tc>
          <w:tcPr>
            <w:tcW w:type="dxa" w:w="3120"/>
          </w:tcPr>
          <w:p>
            <w:pPr>
              <w:jc w:val="center"/>
            </w:pPr>
            <w:r/>
            <w:r>
              <w:rPr>
                <w:rFonts w:ascii="Times New Roman" w:hAnsi="Times New Roman"/>
                <w:sz w:val="18"/>
              </w:rPr>
              <w:t>서사 7</w:t>
            </w:r>
          </w:p>
        </w:tc>
        <w:tc>
          <w:tcPr>
            <w:tcW w:type="dxa" w:w="3120"/>
          </w:tcPr>
          <w:p>
            <w:pPr>
              <w:jc w:val="center"/>
            </w:pPr>
            <w:r/>
            <w:r>
              <w:rPr>
                <w:rFonts w:ascii="Times New Roman" w:hAnsi="Times New Roman"/>
                <w:sz w:val="18"/>
              </w:rPr>
              <w:t>Rural 젊은층 극저 참여 (18-29세 14.8%)</w:t>
            </w:r>
          </w:p>
        </w:tc>
      </w:tr>
      <w:tr>
        <w:tc>
          <w:tcPr>
            <w:tcW w:type="dxa" w:w="3120"/>
          </w:tcPr>
          <w:p>
            <w:pPr>
              <w:jc w:val="center"/>
            </w:pPr>
            <w:r/>
            <w:r>
              <w:rPr>
                <w:rFonts w:ascii="Times New Roman" w:hAnsi="Times New Roman"/>
                <w:sz w:val="18"/>
              </w:rPr>
              <w:t>고령화</w:t>
            </w:r>
          </w:p>
        </w:tc>
        <w:tc>
          <w:tcPr>
            <w:tcW w:type="dxa" w:w="3120"/>
          </w:tcPr>
          <w:p>
            <w:pPr>
              <w:jc w:val="center"/>
            </w:pPr>
            <w:r/>
            <w:r>
              <w:rPr>
                <w:rFonts w:ascii="Times New Roman" w:hAnsi="Times New Roman"/>
                <w:sz w:val="18"/>
              </w:rPr>
              <w:t>서사 2, 5</w:t>
            </w:r>
          </w:p>
        </w:tc>
        <w:tc>
          <w:tcPr>
            <w:tcW w:type="dxa" w:w="3120"/>
          </w:tcPr>
          <w:p>
            <w:pPr>
              <w:jc w:val="center"/>
            </w:pPr>
            <w:r/>
            <w:r>
              <w:rPr>
                <w:rFonts w:ascii="Times New Roman" w:hAnsi="Times New Roman"/>
                <w:sz w:val="18"/>
              </w:rPr>
              <w:t>Donor-Only 집중 + Silent 세대 초과 회복</w:t>
            </w:r>
          </w:p>
        </w:tc>
      </w:tr>
      <w:tr>
        <w:tc>
          <w:tcPr>
            <w:tcW w:type="dxa" w:w="3120"/>
          </w:tcPr>
          <w:p>
            <w:pPr>
              <w:jc w:val="center"/>
            </w:pPr>
            <w:r/>
            <w:r>
              <w:rPr>
                <w:rFonts w:ascii="Times New Roman" w:hAnsi="Times New Roman"/>
                <w:sz w:val="18"/>
              </w:rPr>
              <w:t>정치적 양극화</w:t>
            </w:r>
          </w:p>
        </w:tc>
        <w:tc>
          <w:tcPr>
            <w:tcW w:type="dxa" w:w="3120"/>
          </w:tcPr>
          <w:p>
            <w:pPr>
              <w:jc w:val="center"/>
            </w:pPr>
            <w:r/>
            <w:r>
              <w:rPr>
                <w:rFonts w:ascii="Times New Roman" w:hAnsi="Times New Roman"/>
                <w:sz w:val="18"/>
              </w:rPr>
              <w:t>서사 6</w:t>
            </w:r>
          </w:p>
        </w:tc>
        <w:tc>
          <w:tcPr>
            <w:tcW w:type="dxa" w:w="3120"/>
          </w:tcPr>
          <w:p>
            <w:pPr>
              <w:jc w:val="center"/>
            </w:pPr>
            <w:r/>
            <w:r>
              <w:rPr>
                <w:rFonts w:ascii="Times New Roman" w:hAnsi="Times New Roman"/>
                <w:sz w:val="18"/>
              </w:rPr>
              <w:t>Boycott 상승, 공직자 접촉 감소</w:t>
            </w:r>
          </w:p>
        </w:tc>
      </w:tr>
      <w:tr>
        <w:tc>
          <w:tcPr>
            <w:tcW w:type="dxa" w:w="3120"/>
          </w:tcPr>
          <w:p>
            <w:pPr>
              <w:jc w:val="center"/>
            </w:pPr>
            <w:r/>
            <w:r>
              <w:rPr>
                <w:rFonts w:ascii="Times New Roman" w:hAnsi="Times New Roman"/>
                <w:sz w:val="18"/>
              </w:rPr>
              <w:t>교육 불평등</w:t>
            </w:r>
          </w:p>
        </w:tc>
        <w:tc>
          <w:tcPr>
            <w:tcW w:type="dxa" w:w="3120"/>
          </w:tcPr>
          <w:p>
            <w:pPr>
              <w:jc w:val="center"/>
            </w:pPr>
            <w:r/>
            <w:r>
              <w:rPr>
                <w:rFonts w:ascii="Times New Roman" w:hAnsi="Times New Roman"/>
                <w:sz w:val="18"/>
              </w:rPr>
              <w:t>서사 3</w:t>
            </w:r>
          </w:p>
        </w:tc>
        <w:tc>
          <w:tcPr>
            <w:tcW w:type="dxa" w:w="3120"/>
          </w:tcPr>
          <w:p>
            <w:pPr>
              <w:jc w:val="center"/>
            </w:pPr>
            <w:r/>
            <w:r>
              <w:rPr>
                <w:rFonts w:ascii="Times New Roman" w:hAnsi="Times New Roman"/>
                <w:sz w:val="18"/>
              </w:rPr>
              <w:t>학력별 참여 격차 (14.6% vs 42.3%)</w:t>
            </w:r>
          </w:p>
        </w:tc>
      </w:tr>
      <w:tr>
        <w:tc>
          <w:tcPr>
            <w:tcW w:type="dxa" w:w="3120"/>
          </w:tcPr>
          <w:p>
            <w:pPr>
              <w:jc w:val="center"/>
            </w:pPr>
            <w:r/>
            <w:r>
              <w:rPr>
                <w:rFonts w:ascii="Times New Roman" w:hAnsi="Times New Roman"/>
                <w:sz w:val="18"/>
              </w:rPr>
              <w:t>COVID 후유증</w:t>
            </w:r>
          </w:p>
        </w:tc>
        <w:tc>
          <w:tcPr>
            <w:tcW w:type="dxa" w:w="3120"/>
          </w:tcPr>
          <w:p>
            <w:pPr>
              <w:jc w:val="center"/>
            </w:pPr>
            <w:r/>
            <w:r>
              <w:rPr>
                <w:rFonts w:ascii="Times New Roman" w:hAnsi="Times New Roman"/>
                <w:sz w:val="18"/>
              </w:rPr>
              <w:t>서사 5</w:t>
            </w:r>
          </w:p>
        </w:tc>
        <w:tc>
          <w:tcPr>
            <w:tcW w:type="dxa" w:w="3120"/>
          </w:tcPr>
          <w:p>
            <w:pPr>
              <w:jc w:val="center"/>
            </w:pPr>
            <w:r/>
            <w:r>
              <w:rPr>
                <w:rFonts w:ascii="Times New Roman" w:hAnsi="Times New Roman"/>
                <w:sz w:val="18"/>
              </w:rPr>
              <w:t>Gen X 회복 실패, 세대 간 비대칭</w:t>
            </w:r>
          </w:p>
        </w:tc>
      </w:tr>
      <w:tr>
        <w:tc>
          <w:tcPr>
            <w:tcW w:type="dxa" w:w="3120"/>
          </w:tcPr>
          <w:p>
            <w:pPr>
              <w:jc w:val="center"/>
            </w:pPr>
            <w:r/>
            <w:r>
              <w:rPr>
                <w:rFonts w:ascii="Times New Roman" w:hAnsi="Times New Roman"/>
                <w:sz w:val="18"/>
              </w:rPr>
              <w:t>디지털 전환</w:t>
            </w:r>
          </w:p>
        </w:tc>
        <w:tc>
          <w:tcPr>
            <w:tcW w:type="dxa" w:w="3120"/>
          </w:tcPr>
          <w:p>
            <w:pPr>
              <w:jc w:val="center"/>
            </w:pPr>
            <w:r/>
            <w:r>
              <w:rPr>
                <w:rFonts w:ascii="Times New Roman" w:hAnsi="Times New Roman"/>
                <w:sz w:val="18"/>
              </w:rPr>
              <w:t>서사 1</w:t>
            </w:r>
          </w:p>
        </w:tc>
        <w:tc>
          <w:tcPr>
            <w:tcW w:type="dxa" w:w="3120"/>
          </w:tcPr>
          <w:p>
            <w:pPr>
              <w:jc w:val="center"/>
            </w:pPr>
            <w:r/>
            <w:r>
              <w:rPr>
                <w:rFonts w:ascii="Times New Roman" w:hAnsi="Times New Roman"/>
                <w:sz w:val="18"/>
              </w:rPr>
              <w:t>시민 SNS 사용의 세대 역전 (75+↑, 18-29↓)</w:t>
            </w:r>
          </w:p>
        </w:tc>
      </w:tr>
      <w:tr>
        <w:tc>
          <w:tcPr>
            <w:tcW w:type="dxa" w:w="3120"/>
          </w:tcPr>
          <w:p>
            <w:pPr>
              <w:jc w:val="center"/>
            </w:pPr>
            <w:r/>
            <w:r>
              <w:rPr>
                <w:rFonts w:ascii="Times New Roman" w:hAnsi="Times New Roman"/>
                <w:sz w:val="18"/>
              </w:rPr>
              <w:t>Suburban sprawl</w:t>
            </w:r>
          </w:p>
        </w:tc>
        <w:tc>
          <w:tcPr>
            <w:tcW w:type="dxa" w:w="3120"/>
          </w:tcPr>
          <w:p>
            <w:pPr>
              <w:jc w:val="center"/>
            </w:pPr>
            <w:r/>
            <w:r>
              <w:rPr>
                <w:rFonts w:ascii="Times New Roman" w:hAnsi="Times New Roman"/>
                <w:sz w:val="18"/>
              </w:rPr>
              <w:t>서사 2</w:t>
            </w:r>
          </w:p>
        </w:tc>
        <w:tc>
          <w:tcPr>
            <w:tcW w:type="dxa" w:w="3120"/>
          </w:tcPr>
          <w:p>
            <w:pPr>
              <w:jc w:val="center"/>
            </w:pPr>
            <w:r/>
            <w:r>
              <w:rPr>
                <w:rFonts w:ascii="Times New Roman" w:hAnsi="Times New Roman"/>
                <w:sz w:val="18"/>
              </w:rPr>
              <w:t>교외 Donor-Only 집중</w:t>
            </w:r>
          </w:p>
        </w:tc>
      </w:tr>
    </w:tbl>
    <w:p/>
    <w:p>
      <w:r>
        <w:br w:type="page"/>
      </w:r>
    </w:p>
    <w:p>
      <w:pPr>
        <w:pStyle w:val="Heading1"/>
      </w:pPr>
      <w:r>
        <w:t>데이터 한계 및 유의사항</w:t>
      </w:r>
    </w:p>
    <w:p>
      <w:pPr>
        <w:spacing w:after="120"/>
      </w:pPr>
      <w:r>
        <w:rPr>
          <w:b/>
          <w:sz w:val="22"/>
        </w:rPr>
        <w:t xml:space="preserve">횡단면 설계. </w:t>
      </w:r>
      <w:r>
        <w:rPr>
          <w:sz w:val="22"/>
        </w:rPr>
        <w:t>CPS-CEV는 반복 횡단면(repeated cross-section)이며, 동일 개인을 추적하는 종단 연구(longitudinal)가 아닙니다. "세대가 변화했다"가 아니라 "시점별로 다른 표본의 세대 구성이 다르다"로 해석해야 합니다.</w:t>
      </w:r>
    </w:p>
    <w:p>
      <w:pPr>
        <w:spacing w:after="120"/>
      </w:pPr>
      <w:r>
        <w:rPr>
          <w:b/>
          <w:sz w:val="22"/>
        </w:rPr>
        <w:t xml:space="preserve">IPUMS 코딩 보정. </w:t>
      </w:r>
      <w:r>
        <w:rPr>
          <w:sz w:val="22"/>
        </w:rPr>
        <w:t>모든 이분 변수(VLDONATE, VLNEIGH 등)는 IPUMS 코딩(1=No, 2=Yes)에서 표준 코딩(0=No, 1=Yes)으로 변환하였습니다. 코드북(pages 11-20)으로 확인 완료.</w:t>
      </w:r>
    </w:p>
    <w:p>
      <w:pPr>
        <w:spacing w:after="120"/>
      </w:pPr>
      <w:r>
        <w:rPr>
          <w:b/>
          <w:sz w:val="22"/>
        </w:rPr>
        <w:t xml:space="preserve">METRO 변수의 조잡함. </w:t>
      </w:r>
      <w:r>
        <w:rPr>
          <w:sz w:val="22"/>
        </w:rPr>
        <w:t>Rural/Urban 구분은 OMB MSA 기반의 county 단위 분류로, 실제 생활환경의 도농 구분과 정확히 일치하지 않습니다.</w:t>
      </w:r>
    </w:p>
    <w:p>
      <w:pPr>
        <w:spacing w:after="120"/>
      </w:pPr>
      <w:r>
        <w:rPr>
          <w:b/>
          <w:sz w:val="22"/>
        </w:rPr>
        <w:t xml:space="preserve">동기 측정 부재. </w:t>
      </w:r>
      <w:r>
        <w:rPr>
          <w:sz w:val="22"/>
        </w:rPr>
        <w:t>CPS는 행동(behavior)만 측정하며, 동기, 만족, 가치관은 포함하지 않습니다. "왜 자원봉사하는가"에는 직접 답할 수 없습니다.</w:t>
      </w:r>
    </w:p>
    <w:p>
      <w:pPr>
        <w:spacing w:after="120"/>
      </w:pPr>
      <w:r>
        <w:rPr>
          <w:b/>
          <w:sz w:val="22"/>
        </w:rPr>
        <w:t xml:space="preserve">PA 표본 크기. </w:t>
      </w:r>
      <w:r>
        <w:rPr>
          <w:sz w:val="22"/>
        </w:rPr>
        <w:t>N=5,478은 전국 분석(N=199,071)에 비해 제한적이며, Rural(555명)은 세부 분석에 주의가 필요합니다.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