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Times New Roman" w:hAnsi="Times New Roman"/>
          <w:b/>
          <w:i w:val="0"/>
          <w:sz w:val="24"/>
        </w:rPr>
        <w:t>Bowling Alone, Scrolling Together:</w:t>
      </w:r>
    </w:p>
    <w:p>
      <w:pPr>
        <w:spacing w:after="480"/>
        <w:jc w:val="center"/>
      </w:pPr>
      <w:r>
        <w:rPr>
          <w:rFonts w:ascii="Times New Roman" w:hAnsi="Times New Roman"/>
          <w:b/>
          <w:i w:val="0"/>
          <w:sz w:val="24"/>
        </w:rPr>
        <w:t>Social Isolation and the Generational Fracture of Civic Engagement in America</w:t>
      </w:r>
    </w:p>
    <w:p>
      <w:pPr>
        <w:spacing w:after="480"/>
        <w:jc w:val="center"/>
      </w:pPr>
      <w:r>
        <w:rPr>
          <w:rFonts w:ascii="Times New Roman" w:hAnsi="Times New Roman"/>
          <w:b w:val="0"/>
          <w:i/>
          <w:sz w:val="24"/>
        </w:rPr>
        <w:t>Research Proposal and Exploratory Findings</w:t>
      </w:r>
    </w:p>
    <w:p>
      <w:pPr>
        <w:spacing w:after="120"/>
        <w:jc w:val="center"/>
      </w:pPr>
      <w:r>
        <w:rPr>
          <w:rFonts w:ascii="Times New Roman" w:hAnsi="Times New Roman"/>
          <w:b w:val="0"/>
          <w:i w:val="0"/>
          <w:sz w:val="24"/>
        </w:rPr>
        <w:t>Hosung You and Suzanna Windon</w:t>
      </w:r>
    </w:p>
    <w:p>
      <w:pPr>
        <w:spacing w:after="120"/>
        <w:jc w:val="center"/>
      </w:pPr>
      <w:r>
        <w:rPr>
          <w:rFonts w:ascii="Times New Roman" w:hAnsi="Times New Roman"/>
          <w:b w:val="0"/>
          <w:i w:val="0"/>
          <w:sz w:val="24"/>
        </w:rPr>
        <w:t>Department of Agricultural Economics, Sociology, and Education</w:t>
      </w:r>
    </w:p>
    <w:p>
      <w:pPr>
        <w:spacing w:after="480"/>
        <w:jc w:val="center"/>
      </w:pPr>
      <w:r>
        <w:rPr>
          <w:rFonts w:ascii="Times New Roman" w:hAnsi="Times New Roman"/>
          <w:b w:val="0"/>
          <w:i w:val="0"/>
          <w:sz w:val="24"/>
        </w:rPr>
        <w:t>The Pennsylvania State University</w:t>
      </w:r>
    </w:p>
    <w:p>
      <w:pPr>
        <w:spacing w:after="120"/>
        <w:jc w:val="center"/>
      </w:pPr>
      <w:r>
        <w:rPr>
          <w:rFonts w:ascii="Times New Roman" w:hAnsi="Times New Roman"/>
          <w:b w:val="0"/>
          <w:i w:val="0"/>
          <w:sz w:val="24"/>
        </w:rPr>
        <w:t>March 2026</w:t>
      </w:r>
    </w:p>
    <w:p>
      <w:pPr>
        <w:spacing w:after="120"/>
        <w:jc w:val="center"/>
      </w:pPr>
      <w:r>
        <w:rPr>
          <w:rFonts w:ascii="Times New Roman" w:hAnsi="Times New Roman"/>
          <w:b w:val="0"/>
          <w:i/>
          <w:sz w:val="24"/>
        </w:rPr>
        <w:t>Data Source: Current Population Survey — Civic Engagement and Volunteering Supplement (CPS-CEV), 2017, 2019, 2021, 2023</w:t>
      </w:r>
    </w:p>
    <w:p>
      <w:r>
        <w:br w:type="page"/>
      </w:r>
    </w:p>
    <w:p>
      <w:pPr>
        <w:pStyle w:val="Heading1"/>
      </w:pPr>
      <w:r>
        <w:rPr>
          <w:rFonts w:ascii="Times New Roman" w:hAnsi="Times New Roman"/>
          <w:color w:val="000000"/>
        </w:rPr>
        <w:t>1. Introduction</w:t>
      </w:r>
    </w:p>
    <w:p>
      <w:r>
        <w:rPr>
          <w:rFonts w:ascii="Times New Roman" w:hAnsi="Times New Roman"/>
          <w:b w:val="0"/>
          <w:i w:val="0"/>
          <w:sz w:val="24"/>
        </w:rPr>
        <w:t>While exploring the CPS-CEV data for our civic engagement project, we encountered a finding that reframes the entire study. The data reveals a phenomenon far more consequential than state-level variation in volunteering patterns: social isolation is the strongest behavioral correlate of civic disengagement across all generations, and Generation Z stands at the epicenter of a socialization crisis that education, employment, and digital connectivity fail to resolve.</w:t>
      </w:r>
    </w:p>
    <w:p>
      <w:r>
        <w:rPr>
          <w:rFonts w:ascii="Times New Roman" w:hAnsi="Times New Roman"/>
          <w:b w:val="0"/>
          <w:i w:val="0"/>
          <w:sz w:val="24"/>
        </w:rPr>
        <w:t>This document presents exploratory descriptive analyses conducted to understand the data structure and identify promising research directions. The statistics reported here are based on cross-tabulations and frequency distributions; the formal analytical methods (Latent Profile Analysis, Gradient Boosting Machines with SHAP decomposition) differ substantially and are specified in the Methods section.</w:t>
      </w:r>
    </w:p>
    <w:p>
      <w:pPr>
        <w:pStyle w:val="Heading1"/>
      </w:pPr>
      <w:r>
        <w:rPr>
          <w:rFonts w:ascii="Times New Roman" w:hAnsi="Times New Roman"/>
          <w:color w:val="000000"/>
        </w:rPr>
        <w:t>2. Theoretical Foundations</w:t>
      </w:r>
    </w:p>
    <w:p>
      <w:pPr>
        <w:pStyle w:val="Heading2"/>
      </w:pPr>
      <w:r>
        <w:rPr>
          <w:rFonts w:ascii="Times New Roman" w:hAnsi="Times New Roman"/>
          <w:color w:val="000000"/>
        </w:rPr>
        <w:t>2.1 Social Capital and Democratic Participation</w:t>
      </w:r>
    </w:p>
    <w:p>
      <w:r>
        <w:rPr>
          <w:rFonts w:ascii="Times New Roman" w:hAnsi="Times New Roman"/>
          <w:b w:val="0"/>
          <w:i w:val="0"/>
          <w:sz w:val="24"/>
        </w:rPr>
        <w:t>The relationship between social connectedness and civic participation has deep theoretical roots. Putnam (2000) documented the broad decline of associational life in late 20th-century America, arguing that weakening social networks eroded both bonding capital (solidarity within groups) and bridging capital (connections across diverse groups). His framework predicts that declines in face-to-face social interaction should produce downstream reductions in civic engagement—a prediction our data strongly supports.</w:t>
      </w:r>
    </w:p>
    <w:p>
      <w:r>
        <w:rPr>
          <w:rFonts w:ascii="Times New Roman" w:hAnsi="Times New Roman"/>
          <w:b w:val="0"/>
          <w:i w:val="0"/>
          <w:sz w:val="24"/>
        </w:rPr>
        <w:t>Coleman (1988) established the theoretical link between social capital and human capital formation, arguing that social networks create obligations, expectations, and information channels that facilitate collective action. Granovetter's (1973) insight that "weak ties" often matter more than strong ties for accessing new information and opportunities is particularly relevant: the transition from zero social contact to even minimal contact activates weak-tie networks that may channel civic recruitment.</w:t>
      </w:r>
    </w:p>
    <w:p>
      <w:pPr>
        <w:pStyle w:val="Heading2"/>
      </w:pPr>
      <w:r>
        <w:rPr>
          <w:rFonts w:ascii="Times New Roman" w:hAnsi="Times New Roman"/>
          <w:color w:val="000000"/>
        </w:rPr>
        <w:t>2.2 The Civic Voluntarism Model</w:t>
      </w:r>
    </w:p>
    <w:p>
      <w:r>
        <w:rPr>
          <w:rFonts w:ascii="Times New Roman" w:hAnsi="Times New Roman"/>
          <w:b w:val="0"/>
          <w:i w:val="0"/>
          <w:sz w:val="24"/>
        </w:rPr>
        <w:t>Verba et al. (1995) identified three categories of factors predicting civic participation: resources (time, money, civic skills), engagement (political interest, civic duty), and recruitment (being asked to participate through social networks). Our finding that socialization frequency is the strongest correlate of volunteering across all generations aligns with the recruitment mechanism: social interaction creates the occasions through which individuals are recruited into civic activities. Brady et al. (1995) further demonstrated that civic skills acquired through organizational involvement mediate the education-participation relationship—a mechanism that requires social connection as a prerequisite.</w:t>
      </w:r>
    </w:p>
    <w:p>
      <w:pPr>
        <w:pStyle w:val="Heading2"/>
      </w:pPr>
      <w:r>
        <w:rPr>
          <w:rFonts w:ascii="Times New Roman" w:hAnsi="Times New Roman"/>
          <w:color w:val="000000"/>
        </w:rPr>
        <w:t>2.3 The Loneliness Epidemic and Democratic Health</w:t>
      </w:r>
    </w:p>
    <w:p>
      <w:r>
        <w:rPr>
          <w:rFonts w:ascii="Times New Roman" w:hAnsi="Times New Roman"/>
          <w:b w:val="0"/>
          <w:i w:val="0"/>
          <w:sz w:val="24"/>
        </w:rPr>
        <w:t>The U.S. Surgeon General's 2023 advisory declared loneliness and social isolation a public health epidemic, documenting extensive consequences for mental and physical health (Office of the Surgeon General, 2023). However, the advisory focused almost exclusively on health outcomes. The civic consequences of the loneliness epidemic—its implications for democratic participation, community capacity, and collective governance—remain largely unexamined. Our study addresses this gap by connecting nationally representative data on social isolation to measurable civic engagement outcomes.</w:t>
      </w:r>
    </w:p>
    <w:p>
      <w:pPr>
        <w:pStyle w:val="Heading2"/>
      </w:pPr>
      <w:r>
        <w:rPr>
          <w:rFonts w:ascii="Times New Roman" w:hAnsi="Times New Roman"/>
          <w:color w:val="000000"/>
        </w:rPr>
        <w:t>2.4 Generational Shifts in Civic Engagement</w:t>
      </w:r>
    </w:p>
    <w:p>
      <w:r>
        <w:rPr>
          <w:rFonts w:ascii="Times New Roman" w:hAnsi="Times New Roman"/>
          <w:b w:val="0"/>
          <w:i w:val="0"/>
          <w:sz w:val="24"/>
        </w:rPr>
        <w:t>Zukin et al. (2006) documented generational differences in civic participation styles, finding that younger cohorts favored volunteering and community service over electoral participation. Skocpol (2003) traced the broader shift from membership-based civic organizations to professionally managed advocacy groups. Twenge (2017) identified smartphone adoption as a potential inflection point in adolescent social behavior, with sharp declines in face-to-face socializing beginning around 2012. Bennett and Segerberg (2012) theorized the rise of "connective action"—individualized, digitally mediated civic expression that operates through personal sharing rather than organizational mobilization—as a complement or substitute for traditional collective action.</w:t>
      </w:r>
    </w:p>
    <w:p>
      <w:r>
        <w:rPr>
          <w:rFonts w:ascii="Times New Roman" w:hAnsi="Times New Roman"/>
          <w:b w:val="0"/>
          <w:i w:val="0"/>
          <w:sz w:val="24"/>
        </w:rPr>
        <w:t>Our exploratory analysis integrates these perspectives by examining how social isolation, generational membership, and digital connectivity jointly shape civic engagement patterns in a nationally representative sample spanning the COVID-19 pandemic.</w:t>
      </w:r>
    </w:p>
    <w:p>
      <w:pPr>
        <w:pStyle w:val="Heading1"/>
      </w:pPr>
      <w:r>
        <w:rPr>
          <w:rFonts w:ascii="Times New Roman" w:hAnsi="Times New Roman"/>
          <w:color w:val="000000"/>
        </w:rPr>
        <w:t>3. Data and Methods Overview</w:t>
      </w:r>
    </w:p>
    <w:p>
      <w:pPr>
        <w:pStyle w:val="Heading2"/>
      </w:pPr>
      <w:r>
        <w:rPr>
          <w:rFonts w:ascii="Times New Roman" w:hAnsi="Times New Roman"/>
          <w:color w:val="000000"/>
        </w:rPr>
        <w:t>3.1 Data Source and Sample</w:t>
      </w:r>
    </w:p>
    <w:p>
      <w:r>
        <w:rPr>
          <w:rFonts w:ascii="Times New Roman" w:hAnsi="Times New Roman"/>
          <w:b w:val="0"/>
          <w:i w:val="0"/>
          <w:sz w:val="24"/>
        </w:rPr>
        <w:t>Data come from the Current Population Survey—Civic Engagement and Volunteering Supplement (CPS-CEV), obtained via IPUMS (Flood et al., 2023). The CPS-CEV is administered as a supplement to the September CPS in alternating years. We use four waves: 2017, 2019, 2021, and 2023. The analytic sample includes all U.S. adults aged 18 and older with valid supplement weights (VLSUPPWT &gt; 0) and non-missing volunteering status (VLSTATUS ∈ {1, 2}), yielding N = 201,168.</w:t>
      </w:r>
    </w:p>
    <w:p>
      <w:pPr>
        <w:spacing w:after="120"/>
      </w:pPr>
      <w:r>
        <w:rPr>
          <w:rFonts w:ascii="Times New Roman" w:hAnsi="Times New Roman"/>
          <w:b/>
          <w:i w:val="0"/>
          <w:sz w:val="24"/>
        </w:rPr>
        <w:t>Table 1. Variable Coding (Verified)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Variable</w:t>
            </w:r>
          </w:p>
        </w:tc>
        <w:tc>
          <w:tcPr>
            <w:tcW w:type="dxa" w:w="2340"/>
          </w:tcPr>
          <w:p>
            <w:r/>
            <w:r>
              <w:rPr>
                <w:rFonts w:ascii="Times New Roman" w:hAnsi="Times New Roman"/>
                <w:b/>
                <w:sz w:val="20"/>
              </w:rPr>
              <w:t>Type</w:t>
            </w:r>
          </w:p>
        </w:tc>
        <w:tc>
          <w:tcPr>
            <w:tcW w:type="dxa" w:w="2340"/>
          </w:tcPr>
          <w:p>
            <w:r/>
            <w:r>
              <w:rPr>
                <w:rFonts w:ascii="Times New Roman" w:hAnsi="Times New Roman"/>
                <w:b/>
                <w:sz w:val="20"/>
              </w:rPr>
              <w:t>Coding Direction</w:t>
            </w:r>
          </w:p>
        </w:tc>
        <w:tc>
          <w:tcPr>
            <w:tcW w:type="dxa" w:w="2340"/>
          </w:tcPr>
          <w:p>
            <w:r/>
            <w:r>
              <w:rPr>
                <w:rFonts w:ascii="Times New Roman" w:hAnsi="Times New Roman"/>
                <w:b/>
                <w:sz w:val="20"/>
              </w:rPr>
              <w:t>Verified By</w:t>
            </w:r>
          </w:p>
        </w:tc>
      </w:tr>
      <w:tr>
        <w:tc>
          <w:tcPr>
            <w:tcW w:type="dxa" w:w="2340"/>
          </w:tcPr>
          <w:p>
            <w:r/>
            <w:r>
              <w:rPr>
                <w:rFonts w:ascii="Times New Roman" w:hAnsi="Times New Roman"/>
                <w:sz w:val="20"/>
              </w:rPr>
              <w:t>VLSTATUS</w:t>
            </w:r>
          </w:p>
        </w:tc>
        <w:tc>
          <w:tcPr>
            <w:tcW w:type="dxa" w:w="2340"/>
          </w:tcPr>
          <w:p>
            <w:r/>
            <w:r>
              <w:rPr>
                <w:rFonts w:ascii="Times New Roman" w:hAnsi="Times New Roman"/>
                <w:sz w:val="20"/>
              </w:rPr>
              <w:t>Binary</w:t>
            </w:r>
          </w:p>
        </w:tc>
        <w:tc>
          <w:tcPr>
            <w:tcW w:type="dxa" w:w="2340"/>
          </w:tcPr>
          <w:p>
            <w:r/>
            <w:r>
              <w:rPr>
                <w:rFonts w:ascii="Times New Roman" w:hAnsi="Times New Roman"/>
                <w:sz w:val="20"/>
              </w:rPr>
              <w:t>1 = Volunteered, 2 = Did not</w:t>
            </w:r>
          </w:p>
        </w:tc>
        <w:tc>
          <w:tcPr>
            <w:tcW w:type="dxa" w:w="2340"/>
          </w:tcPr>
          <w:p>
            <w:r/>
            <w:r>
              <w:rPr>
                <w:rFonts w:ascii="Times New Roman" w:hAnsi="Times New Roman"/>
                <w:sz w:val="20"/>
              </w:rPr>
              <w:t>Education cross-validation</w:t>
            </w:r>
          </w:p>
        </w:tc>
      </w:tr>
      <w:tr>
        <w:tc>
          <w:tcPr>
            <w:tcW w:type="dxa" w:w="2340"/>
          </w:tcPr>
          <w:p>
            <w:r/>
            <w:r>
              <w:rPr>
                <w:rFonts w:ascii="Times New Roman" w:hAnsi="Times New Roman"/>
                <w:sz w:val="20"/>
              </w:rPr>
              <w:t>VLDONATE</w:t>
            </w:r>
          </w:p>
        </w:tc>
        <w:tc>
          <w:tcPr>
            <w:tcW w:type="dxa" w:w="2340"/>
          </w:tcPr>
          <w:p>
            <w:r/>
            <w:r>
              <w:rPr>
                <w:rFonts w:ascii="Times New Roman" w:hAnsi="Times New Roman"/>
                <w:sz w:val="20"/>
              </w:rPr>
              <w:t>Binary</w:t>
            </w:r>
          </w:p>
        </w:tc>
        <w:tc>
          <w:tcPr>
            <w:tcW w:type="dxa" w:w="2340"/>
          </w:tcPr>
          <w:p>
            <w:r/>
            <w:r>
              <w:rPr>
                <w:rFonts w:ascii="Times New Roman" w:hAnsi="Times New Roman"/>
                <w:sz w:val="20"/>
              </w:rPr>
              <w:t>1 = Did not donate, 2 = Donated</w:t>
            </w:r>
          </w:p>
        </w:tc>
        <w:tc>
          <w:tcPr>
            <w:tcW w:type="dxa" w:w="2340"/>
          </w:tcPr>
          <w:p>
            <w:r/>
            <w:r>
              <w:rPr>
                <w:rFonts w:ascii="Times New Roman" w:hAnsi="Times New Roman"/>
                <w:sz w:val="20"/>
              </w:rPr>
              <w:t>Direct verification</w:t>
            </w:r>
          </w:p>
        </w:tc>
      </w:tr>
      <w:tr>
        <w:tc>
          <w:tcPr>
            <w:tcW w:type="dxa" w:w="2340"/>
          </w:tcPr>
          <w:p>
            <w:r/>
            <w:r>
              <w:rPr>
                <w:rFonts w:ascii="Times New Roman" w:hAnsi="Times New Roman"/>
                <w:sz w:val="20"/>
              </w:rPr>
              <w:t>CEBOYCOTT</w:t>
            </w:r>
          </w:p>
        </w:tc>
        <w:tc>
          <w:tcPr>
            <w:tcW w:type="dxa" w:w="2340"/>
          </w:tcPr>
          <w:p>
            <w:r/>
            <w:r>
              <w:rPr>
                <w:rFonts w:ascii="Times New Roman" w:hAnsi="Times New Roman"/>
                <w:sz w:val="20"/>
              </w:rPr>
              <w:t>Binary</w:t>
            </w:r>
          </w:p>
        </w:tc>
        <w:tc>
          <w:tcPr>
            <w:tcW w:type="dxa" w:w="2340"/>
          </w:tcPr>
          <w:p>
            <w:r/>
            <w:r>
              <w:rPr>
                <w:rFonts w:ascii="Times New Roman" w:hAnsi="Times New Roman"/>
                <w:sz w:val="20"/>
              </w:rPr>
              <w:t>1 = No, 2 = Yes</w:t>
            </w:r>
          </w:p>
        </w:tc>
        <w:tc>
          <w:tcPr>
            <w:tcW w:type="dxa" w:w="2340"/>
          </w:tcPr>
          <w:p>
            <w:r/>
            <w:r>
              <w:rPr>
                <w:rFonts w:ascii="Times New Roman" w:hAnsi="Times New Roman"/>
                <w:sz w:val="20"/>
              </w:rPr>
              <w:t>Direct verification</w:t>
            </w:r>
          </w:p>
        </w:tc>
      </w:tr>
      <w:tr>
        <w:tc>
          <w:tcPr>
            <w:tcW w:type="dxa" w:w="2340"/>
          </w:tcPr>
          <w:p>
            <w:r/>
            <w:r>
              <w:rPr>
                <w:rFonts w:ascii="Times New Roman" w:hAnsi="Times New Roman"/>
                <w:sz w:val="20"/>
              </w:rPr>
              <w:t>CEPUBOFF</w:t>
            </w:r>
          </w:p>
        </w:tc>
        <w:tc>
          <w:tcPr>
            <w:tcW w:type="dxa" w:w="2340"/>
          </w:tcPr>
          <w:p>
            <w:r/>
            <w:r>
              <w:rPr>
                <w:rFonts w:ascii="Times New Roman" w:hAnsi="Times New Roman"/>
                <w:sz w:val="20"/>
              </w:rPr>
              <w:t>Binary</w:t>
            </w:r>
          </w:p>
        </w:tc>
        <w:tc>
          <w:tcPr>
            <w:tcW w:type="dxa" w:w="2340"/>
          </w:tcPr>
          <w:p>
            <w:r/>
            <w:r>
              <w:rPr>
                <w:rFonts w:ascii="Times New Roman" w:hAnsi="Times New Roman"/>
                <w:sz w:val="20"/>
              </w:rPr>
              <w:t>1 = No, 2 = Yes</w:t>
            </w:r>
          </w:p>
        </w:tc>
        <w:tc>
          <w:tcPr>
            <w:tcW w:type="dxa" w:w="2340"/>
          </w:tcPr>
          <w:p>
            <w:r/>
            <w:r>
              <w:rPr>
                <w:rFonts w:ascii="Times New Roman" w:hAnsi="Times New Roman"/>
                <w:sz w:val="20"/>
              </w:rPr>
              <w:t>Direct verification</w:t>
            </w:r>
          </w:p>
        </w:tc>
      </w:tr>
      <w:tr>
        <w:tc>
          <w:tcPr>
            <w:tcW w:type="dxa" w:w="2340"/>
          </w:tcPr>
          <w:p>
            <w:r/>
            <w:r>
              <w:rPr>
                <w:rFonts w:ascii="Times New Roman" w:hAnsi="Times New Roman"/>
                <w:sz w:val="20"/>
              </w:rPr>
              <w:t>CEPOLCONV</w:t>
            </w:r>
          </w:p>
        </w:tc>
        <w:tc>
          <w:tcPr>
            <w:tcW w:type="dxa" w:w="2340"/>
          </w:tcPr>
          <w:p>
            <w:r/>
            <w:r>
              <w:rPr>
                <w:rFonts w:ascii="Times New Roman" w:hAnsi="Times New Roman"/>
                <w:sz w:val="20"/>
              </w:rPr>
              <w:t>6-point freq</w:t>
            </w:r>
          </w:p>
        </w:tc>
        <w:tc>
          <w:tcPr>
            <w:tcW w:type="dxa" w:w="2340"/>
          </w:tcPr>
          <w:p>
            <w:r/>
            <w:r>
              <w:rPr>
                <w:rFonts w:ascii="Times New Roman" w:hAnsi="Times New Roman"/>
                <w:sz w:val="20"/>
              </w:rPr>
              <w:t>1 = Never → 6 = Daily</w:t>
            </w:r>
          </w:p>
        </w:tc>
        <w:tc>
          <w:tcPr>
            <w:tcW w:type="dxa" w:w="2340"/>
          </w:tcPr>
          <w:p>
            <w:r/>
            <w:r>
              <w:rPr>
                <w:rFonts w:ascii="Times New Roman" w:hAnsi="Times New Roman"/>
                <w:sz w:val="20"/>
              </w:rPr>
              <w:t>Education cross-validation</w:t>
            </w:r>
          </w:p>
        </w:tc>
      </w:tr>
      <w:tr>
        <w:tc>
          <w:tcPr>
            <w:tcW w:type="dxa" w:w="2340"/>
          </w:tcPr>
          <w:p>
            <w:r/>
            <w:r>
              <w:rPr>
                <w:rFonts w:ascii="Times New Roman" w:hAnsi="Times New Roman"/>
                <w:sz w:val="20"/>
              </w:rPr>
              <w:t>CESOCCONTCT</w:t>
            </w:r>
          </w:p>
        </w:tc>
        <w:tc>
          <w:tcPr>
            <w:tcW w:type="dxa" w:w="2340"/>
          </w:tcPr>
          <w:p>
            <w:r/>
            <w:r>
              <w:rPr>
                <w:rFonts w:ascii="Times New Roman" w:hAnsi="Times New Roman"/>
                <w:sz w:val="20"/>
              </w:rPr>
              <w:t>6-point freq</w:t>
            </w:r>
          </w:p>
        </w:tc>
        <w:tc>
          <w:tcPr>
            <w:tcW w:type="dxa" w:w="2340"/>
          </w:tcPr>
          <w:p>
            <w:r/>
            <w:r>
              <w:rPr>
                <w:rFonts w:ascii="Times New Roman" w:hAnsi="Times New Roman"/>
                <w:sz w:val="20"/>
              </w:rPr>
              <w:t>1 = Never → 6 = Daily</w:t>
            </w:r>
          </w:p>
        </w:tc>
        <w:tc>
          <w:tcPr>
            <w:tcW w:type="dxa" w:w="2340"/>
          </w:tcPr>
          <w:p>
            <w:r/>
            <w:r>
              <w:rPr>
                <w:rFonts w:ascii="Times New Roman" w:hAnsi="Times New Roman"/>
                <w:sz w:val="20"/>
              </w:rPr>
              <w:t>Education cross-validation</w:t>
            </w:r>
          </w:p>
        </w:tc>
      </w:tr>
      <w:tr>
        <w:tc>
          <w:tcPr>
            <w:tcW w:type="dxa" w:w="2340"/>
          </w:tcPr>
          <w:p>
            <w:r/>
            <w:r>
              <w:rPr>
                <w:rFonts w:ascii="Times New Roman" w:hAnsi="Times New Roman"/>
                <w:sz w:val="20"/>
              </w:rPr>
              <w:t>CESOCIALIZE</w:t>
            </w:r>
          </w:p>
        </w:tc>
        <w:tc>
          <w:tcPr>
            <w:tcW w:type="dxa" w:w="2340"/>
          </w:tcPr>
          <w:p>
            <w:r/>
            <w:r>
              <w:rPr>
                <w:rFonts w:ascii="Times New Roman" w:hAnsi="Times New Roman"/>
                <w:sz w:val="20"/>
              </w:rPr>
              <w:t>6-point freq</w:t>
            </w:r>
          </w:p>
        </w:tc>
        <w:tc>
          <w:tcPr>
            <w:tcW w:type="dxa" w:w="2340"/>
          </w:tcPr>
          <w:p>
            <w:r/>
            <w:r>
              <w:rPr>
                <w:rFonts w:ascii="Times New Roman" w:hAnsi="Times New Roman"/>
                <w:sz w:val="20"/>
              </w:rPr>
              <w:t>1 = Never → 6 = Daily</w:t>
            </w:r>
          </w:p>
        </w:tc>
        <w:tc>
          <w:tcPr>
            <w:tcW w:type="dxa" w:w="2340"/>
          </w:tcPr>
          <w:p>
            <w:r/>
            <w:r>
              <w:rPr>
                <w:rFonts w:ascii="Times New Roman" w:hAnsi="Times New Roman"/>
                <w:sz w:val="20"/>
              </w:rPr>
              <w:t>Education cross-validation</w:t>
            </w:r>
          </w:p>
        </w:tc>
      </w:tr>
      <w:tr>
        <w:tc>
          <w:tcPr>
            <w:tcW w:type="dxa" w:w="2340"/>
          </w:tcPr>
          <w:p>
            <w:r/>
            <w:r>
              <w:rPr>
                <w:rFonts w:ascii="Times New Roman" w:hAnsi="Times New Roman"/>
                <w:sz w:val="20"/>
              </w:rPr>
              <w:t>VLSOCMEDIA</w:t>
            </w:r>
          </w:p>
        </w:tc>
        <w:tc>
          <w:tcPr>
            <w:tcW w:type="dxa" w:w="2340"/>
          </w:tcPr>
          <w:p>
            <w:r/>
            <w:r>
              <w:rPr>
                <w:rFonts w:ascii="Times New Roman" w:hAnsi="Times New Roman"/>
                <w:sz w:val="20"/>
              </w:rPr>
              <w:t>6-point freq</w:t>
            </w:r>
          </w:p>
        </w:tc>
        <w:tc>
          <w:tcPr>
            <w:tcW w:type="dxa" w:w="2340"/>
          </w:tcPr>
          <w:p>
            <w:r/>
            <w:r>
              <w:rPr>
                <w:rFonts w:ascii="Times New Roman" w:hAnsi="Times New Roman"/>
                <w:sz w:val="20"/>
              </w:rPr>
              <w:t>1 = Daily → 6 = Never*</w:t>
            </w:r>
          </w:p>
        </w:tc>
        <w:tc>
          <w:tcPr>
            <w:tcW w:type="dxa" w:w="2340"/>
          </w:tcPr>
          <w:p>
            <w:r/>
            <w:r>
              <w:rPr>
                <w:rFonts w:ascii="Times New Roman" w:hAnsi="Times New Roman"/>
                <w:sz w:val="20"/>
              </w:rPr>
              <w:t>Distribution analysis</w:t>
            </w:r>
          </w:p>
        </w:tc>
      </w:tr>
    </w:tbl>
    <w:p/>
    <w:p>
      <w:r>
        <w:rPr>
          <w:rFonts w:ascii="Times New Roman" w:hAnsi="Times New Roman"/>
          <w:b w:val="0"/>
          <w:i/>
          <w:sz w:val="24"/>
        </w:rPr>
        <w:t>*Note: CE* variables (Civic Engagement supplement) use ascending frequency; VL* variables (Volunteering supplement) use descending frequency. No reverse-coding of CE* variables is needed.</w:t>
      </w:r>
    </w:p>
    <w:p>
      <w:pPr>
        <w:pStyle w:val="Heading2"/>
      </w:pPr>
      <w:r>
        <w:rPr>
          <w:rFonts w:ascii="Times New Roman" w:hAnsi="Times New Roman"/>
          <w:color w:val="000000"/>
        </w:rPr>
        <w:t>3.2 Descriptive Exploration vs. Formal Analysis</w:t>
      </w:r>
    </w:p>
    <w:p>
      <w:r>
        <w:rPr>
          <w:rFonts w:ascii="Times New Roman" w:hAnsi="Times New Roman"/>
          <w:b w:val="0"/>
          <w:i w:val="0"/>
          <w:sz w:val="24"/>
        </w:rPr>
        <w:t>The findings presented in Sections 4 through 6 are based on descriptive cross-tabulations and frequency distributions designed to reveal data structure and generate hypotheses. These exploratory statistics do not constitute the formal analytical methods of the proposed study. The formal analysis will employ Latent Profile Analysis (LPA) for typological discovery (Collins &amp; Lanza, 2010; Muthén &amp; Muthén, 2000) and Gradient Boosting Machines with TreeSHAP decomposition (Lundberg &amp; Lee, 2017) for interpretable prediction, as detailed in Section 7.</w:t>
      </w:r>
    </w:p>
    <w:p>
      <w:pPr>
        <w:pStyle w:val="Heading2"/>
      </w:pPr>
      <w:r>
        <w:rPr>
          <w:rFonts w:ascii="Times New Roman" w:hAnsi="Times New Roman"/>
          <w:color w:val="000000"/>
        </w:rPr>
        <w:t>3.3 Generational Definitions</w:t>
      </w:r>
    </w:p>
    <w:p>
      <w:pPr>
        <w:spacing w:after="120"/>
      </w:pPr>
      <w:r>
        <w:rPr>
          <w:rFonts w:ascii="Times New Roman" w:hAnsi="Times New Roman"/>
          <w:b/>
          <w:i w:val="0"/>
          <w:sz w:val="24"/>
        </w:rPr>
        <w:t>Table 2. Generational Cohort Definitions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Generation</w:t>
            </w:r>
          </w:p>
        </w:tc>
        <w:tc>
          <w:tcPr>
            <w:tcW w:type="dxa" w:w="3120"/>
          </w:tcPr>
          <w:p>
            <w:r/>
            <w:r>
              <w:rPr>
                <w:rFonts w:ascii="Times New Roman" w:hAnsi="Times New Roman"/>
                <w:b/>
                <w:sz w:val="20"/>
              </w:rPr>
              <w:t>Birth Years</w:t>
            </w:r>
          </w:p>
        </w:tc>
        <w:tc>
          <w:tcPr>
            <w:tcW w:type="dxa" w:w="3120"/>
          </w:tcPr>
          <w:p>
            <w:r/>
            <w:r>
              <w:rPr>
                <w:rFonts w:ascii="Times New Roman" w:hAnsi="Times New Roman"/>
                <w:b/>
                <w:sz w:val="20"/>
              </w:rPr>
              <w:t>Age Range (2023)</w:t>
            </w:r>
          </w:p>
        </w:tc>
      </w:tr>
      <w:tr>
        <w:tc>
          <w:tcPr>
            <w:tcW w:type="dxa" w:w="3120"/>
          </w:tcPr>
          <w:p>
            <w:r/>
            <w:r>
              <w:rPr>
                <w:rFonts w:ascii="Times New Roman" w:hAnsi="Times New Roman"/>
                <w:sz w:val="20"/>
              </w:rPr>
              <w:t>Gen Z</w:t>
            </w:r>
          </w:p>
        </w:tc>
        <w:tc>
          <w:tcPr>
            <w:tcW w:type="dxa" w:w="3120"/>
          </w:tcPr>
          <w:p>
            <w:r/>
            <w:r>
              <w:rPr>
                <w:rFonts w:ascii="Times New Roman" w:hAnsi="Times New Roman"/>
                <w:sz w:val="20"/>
              </w:rPr>
              <w:t>≥ 1997</w:t>
            </w:r>
          </w:p>
        </w:tc>
        <w:tc>
          <w:tcPr>
            <w:tcW w:type="dxa" w:w="3120"/>
          </w:tcPr>
          <w:p>
            <w:r/>
            <w:r>
              <w:rPr>
                <w:rFonts w:ascii="Times New Roman" w:hAnsi="Times New Roman"/>
                <w:sz w:val="20"/>
              </w:rPr>
              <w:t>18–26</w:t>
            </w:r>
          </w:p>
        </w:tc>
      </w:tr>
      <w:tr>
        <w:tc>
          <w:tcPr>
            <w:tcW w:type="dxa" w:w="3120"/>
          </w:tcPr>
          <w:p>
            <w:r/>
            <w:r>
              <w:rPr>
                <w:rFonts w:ascii="Times New Roman" w:hAnsi="Times New Roman"/>
                <w:sz w:val="20"/>
              </w:rPr>
              <w:t>Millennial</w:t>
            </w:r>
          </w:p>
        </w:tc>
        <w:tc>
          <w:tcPr>
            <w:tcW w:type="dxa" w:w="3120"/>
          </w:tcPr>
          <w:p>
            <w:r/>
            <w:r>
              <w:rPr>
                <w:rFonts w:ascii="Times New Roman" w:hAnsi="Times New Roman"/>
                <w:sz w:val="20"/>
              </w:rPr>
              <w:t>1981–1996</w:t>
            </w:r>
          </w:p>
        </w:tc>
        <w:tc>
          <w:tcPr>
            <w:tcW w:type="dxa" w:w="3120"/>
          </w:tcPr>
          <w:p>
            <w:r/>
            <w:r>
              <w:rPr>
                <w:rFonts w:ascii="Times New Roman" w:hAnsi="Times New Roman"/>
                <w:sz w:val="20"/>
              </w:rPr>
              <w:t>27–42</w:t>
            </w:r>
          </w:p>
        </w:tc>
      </w:tr>
      <w:tr>
        <w:tc>
          <w:tcPr>
            <w:tcW w:type="dxa" w:w="3120"/>
          </w:tcPr>
          <w:p>
            <w:r/>
            <w:r>
              <w:rPr>
                <w:rFonts w:ascii="Times New Roman" w:hAnsi="Times New Roman"/>
                <w:sz w:val="20"/>
              </w:rPr>
              <w:t>Gen X</w:t>
            </w:r>
          </w:p>
        </w:tc>
        <w:tc>
          <w:tcPr>
            <w:tcW w:type="dxa" w:w="3120"/>
          </w:tcPr>
          <w:p>
            <w:r/>
            <w:r>
              <w:rPr>
                <w:rFonts w:ascii="Times New Roman" w:hAnsi="Times New Roman"/>
                <w:sz w:val="20"/>
              </w:rPr>
              <w:t>1965–1980</w:t>
            </w:r>
          </w:p>
        </w:tc>
        <w:tc>
          <w:tcPr>
            <w:tcW w:type="dxa" w:w="3120"/>
          </w:tcPr>
          <w:p>
            <w:r/>
            <w:r>
              <w:rPr>
                <w:rFonts w:ascii="Times New Roman" w:hAnsi="Times New Roman"/>
                <w:sz w:val="20"/>
              </w:rPr>
              <w:t>43–58</w:t>
            </w:r>
          </w:p>
        </w:tc>
      </w:tr>
      <w:tr>
        <w:tc>
          <w:tcPr>
            <w:tcW w:type="dxa" w:w="3120"/>
          </w:tcPr>
          <w:p>
            <w:r/>
            <w:r>
              <w:rPr>
                <w:rFonts w:ascii="Times New Roman" w:hAnsi="Times New Roman"/>
                <w:sz w:val="20"/>
              </w:rPr>
              <w:t>Baby Boomer</w:t>
            </w:r>
          </w:p>
        </w:tc>
        <w:tc>
          <w:tcPr>
            <w:tcW w:type="dxa" w:w="3120"/>
          </w:tcPr>
          <w:p>
            <w:r/>
            <w:r>
              <w:rPr>
                <w:rFonts w:ascii="Times New Roman" w:hAnsi="Times New Roman"/>
                <w:sz w:val="20"/>
              </w:rPr>
              <w:t>1946–1964</w:t>
            </w:r>
          </w:p>
        </w:tc>
        <w:tc>
          <w:tcPr>
            <w:tcW w:type="dxa" w:w="3120"/>
          </w:tcPr>
          <w:p>
            <w:r/>
            <w:r>
              <w:rPr>
                <w:rFonts w:ascii="Times New Roman" w:hAnsi="Times New Roman"/>
                <w:sz w:val="20"/>
              </w:rPr>
              <w:t>59–77</w:t>
            </w:r>
          </w:p>
        </w:tc>
      </w:tr>
      <w:tr>
        <w:tc>
          <w:tcPr>
            <w:tcW w:type="dxa" w:w="3120"/>
          </w:tcPr>
          <w:p>
            <w:r/>
            <w:r>
              <w:rPr>
                <w:rFonts w:ascii="Times New Roman" w:hAnsi="Times New Roman"/>
                <w:sz w:val="20"/>
              </w:rPr>
              <w:t>Silent</w:t>
            </w:r>
          </w:p>
        </w:tc>
        <w:tc>
          <w:tcPr>
            <w:tcW w:type="dxa" w:w="3120"/>
          </w:tcPr>
          <w:p>
            <w:r/>
            <w:r>
              <w:rPr>
                <w:rFonts w:ascii="Times New Roman" w:hAnsi="Times New Roman"/>
                <w:sz w:val="20"/>
              </w:rPr>
              <w:t>&lt; 1946</w:t>
            </w:r>
          </w:p>
        </w:tc>
        <w:tc>
          <w:tcPr>
            <w:tcW w:type="dxa" w:w="3120"/>
          </w:tcPr>
          <w:p>
            <w:r/>
            <w:r>
              <w:rPr>
                <w:rFonts w:ascii="Times New Roman" w:hAnsi="Times New Roman"/>
                <w:sz w:val="20"/>
              </w:rPr>
              <w:t>≥ 78</w:t>
            </w:r>
          </w:p>
        </w:tc>
      </w:tr>
    </w:tbl>
    <w:p/>
    <w:p>
      <w:pPr>
        <w:pStyle w:val="Heading1"/>
      </w:pPr>
      <w:r>
        <w:rPr>
          <w:rFonts w:ascii="Times New Roman" w:hAnsi="Times New Roman"/>
          <w:color w:val="000000"/>
        </w:rPr>
        <w:t>4. Exploratory Findings: The Socialization–Civic Engagement Nexus</w:t>
      </w:r>
    </w:p>
    <w:p>
      <w:pPr>
        <w:pStyle w:val="Heading2"/>
      </w:pPr>
      <w:r>
        <w:rPr>
          <w:rFonts w:ascii="Times New Roman" w:hAnsi="Times New Roman"/>
          <w:color w:val="000000"/>
        </w:rPr>
        <w:t>4.1 The Socialization Crisis Is Generational, Not Pandemic</w:t>
      </w:r>
    </w:p>
    <w:p>
      <w:r>
        <w:rPr>
          <w:rFonts w:ascii="Times New Roman" w:hAnsi="Times New Roman"/>
          <w:b w:val="0"/>
          <w:i w:val="0"/>
          <w:sz w:val="24"/>
        </w:rPr>
        <w:t>The CPS-CEV supplement asks respondents how often they "got together socially with friends, relatives, or neighbors" (CESOCIALIZE). The percentage reporting "not at all" reveals a striking generational divide that predates the COVID-19 pandemic.</w:t>
      </w:r>
    </w:p>
    <w:p>
      <w:pPr>
        <w:spacing w:after="120"/>
      </w:pPr>
      <w:r>
        <w:rPr>
          <w:rFonts w:ascii="Times New Roman" w:hAnsi="Times New Roman"/>
          <w:b/>
          <w:i w:val="0"/>
          <w:sz w:val="24"/>
        </w:rPr>
        <w:t>Table 3. Percentage Never Socializing, by Generation and Year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Generation</w:t>
            </w:r>
          </w:p>
        </w:tc>
        <w:tc>
          <w:tcPr>
            <w:tcW w:type="dxa" w:w="1872"/>
          </w:tcPr>
          <w:p>
            <w:r/>
            <w:r>
              <w:rPr>
                <w:rFonts w:ascii="Times New Roman" w:hAnsi="Times New Roman"/>
                <w:b/>
                <w:sz w:val="20"/>
              </w:rPr>
              <w:t>2017</w:t>
            </w:r>
          </w:p>
        </w:tc>
        <w:tc>
          <w:tcPr>
            <w:tcW w:type="dxa" w:w="1872"/>
          </w:tcPr>
          <w:p>
            <w:r/>
            <w:r>
              <w:rPr>
                <w:rFonts w:ascii="Times New Roman" w:hAnsi="Times New Roman"/>
                <w:b/>
                <w:sz w:val="20"/>
              </w:rPr>
              <w:t>2019</w:t>
            </w:r>
          </w:p>
        </w:tc>
        <w:tc>
          <w:tcPr>
            <w:tcW w:type="dxa" w:w="1872"/>
          </w:tcPr>
          <w:p>
            <w:r/>
            <w:r>
              <w:rPr>
                <w:rFonts w:ascii="Times New Roman" w:hAnsi="Times New Roman"/>
                <w:b/>
                <w:sz w:val="20"/>
              </w:rPr>
              <w:t>2021</w:t>
            </w:r>
          </w:p>
        </w:tc>
        <w:tc>
          <w:tcPr>
            <w:tcW w:type="dxa" w:w="1872"/>
          </w:tcPr>
          <w:p>
            <w:r/>
            <w:r>
              <w:rPr>
                <w:rFonts w:ascii="Times New Roman" w:hAnsi="Times New Roman"/>
                <w:b/>
                <w:sz w:val="20"/>
              </w:rPr>
              <w:t>2023</w:t>
            </w:r>
          </w:p>
        </w:tc>
      </w:tr>
      <w:tr>
        <w:tc>
          <w:tcPr>
            <w:tcW w:type="dxa" w:w="1872"/>
          </w:tcPr>
          <w:p>
            <w:r/>
            <w:r>
              <w:rPr>
                <w:rFonts w:ascii="Times New Roman" w:hAnsi="Times New Roman"/>
                <w:sz w:val="20"/>
              </w:rPr>
              <w:t>Gen Z</w:t>
            </w:r>
          </w:p>
        </w:tc>
        <w:tc>
          <w:tcPr>
            <w:tcW w:type="dxa" w:w="1872"/>
          </w:tcPr>
          <w:p>
            <w:r/>
            <w:r>
              <w:rPr>
                <w:rFonts w:ascii="Times New Roman" w:hAnsi="Times New Roman"/>
                <w:sz w:val="20"/>
              </w:rPr>
              <w:t>44.6%</w:t>
            </w:r>
          </w:p>
        </w:tc>
        <w:tc>
          <w:tcPr>
            <w:tcW w:type="dxa" w:w="1872"/>
          </w:tcPr>
          <w:p>
            <w:r/>
            <w:r>
              <w:rPr>
                <w:rFonts w:ascii="Times New Roman" w:hAnsi="Times New Roman"/>
                <w:sz w:val="20"/>
              </w:rPr>
              <w:t>46.3%</w:t>
            </w:r>
          </w:p>
        </w:tc>
        <w:tc>
          <w:tcPr>
            <w:tcW w:type="dxa" w:w="1872"/>
          </w:tcPr>
          <w:p>
            <w:r/>
            <w:r>
              <w:rPr>
                <w:rFonts w:ascii="Times New Roman" w:hAnsi="Times New Roman"/>
                <w:sz w:val="20"/>
              </w:rPr>
              <w:t>48.4%</w:t>
            </w:r>
          </w:p>
        </w:tc>
        <w:tc>
          <w:tcPr>
            <w:tcW w:type="dxa" w:w="1872"/>
          </w:tcPr>
          <w:p>
            <w:r/>
            <w:r>
              <w:rPr>
                <w:rFonts w:ascii="Times New Roman" w:hAnsi="Times New Roman"/>
                <w:sz w:val="20"/>
              </w:rPr>
              <w:t>46.6%</w:t>
            </w:r>
          </w:p>
        </w:tc>
      </w:tr>
      <w:tr>
        <w:tc>
          <w:tcPr>
            <w:tcW w:type="dxa" w:w="1872"/>
          </w:tcPr>
          <w:p>
            <w:r/>
            <w:r>
              <w:rPr>
                <w:rFonts w:ascii="Times New Roman" w:hAnsi="Times New Roman"/>
                <w:sz w:val="20"/>
              </w:rPr>
              <w:t>Millennial</w:t>
            </w:r>
          </w:p>
        </w:tc>
        <w:tc>
          <w:tcPr>
            <w:tcW w:type="dxa" w:w="1872"/>
          </w:tcPr>
          <w:p>
            <w:r/>
            <w:r>
              <w:rPr>
                <w:rFonts w:ascii="Times New Roman" w:hAnsi="Times New Roman"/>
                <w:sz w:val="20"/>
              </w:rPr>
              <w:t>30.9%</w:t>
            </w:r>
          </w:p>
        </w:tc>
        <w:tc>
          <w:tcPr>
            <w:tcW w:type="dxa" w:w="1872"/>
          </w:tcPr>
          <w:p>
            <w:r/>
            <w:r>
              <w:rPr>
                <w:rFonts w:ascii="Times New Roman" w:hAnsi="Times New Roman"/>
                <w:sz w:val="20"/>
              </w:rPr>
              <w:t>32.8%</w:t>
            </w:r>
          </w:p>
        </w:tc>
        <w:tc>
          <w:tcPr>
            <w:tcW w:type="dxa" w:w="1872"/>
          </w:tcPr>
          <w:p>
            <w:r/>
            <w:r>
              <w:rPr>
                <w:rFonts w:ascii="Times New Roman" w:hAnsi="Times New Roman"/>
                <w:sz w:val="20"/>
              </w:rPr>
              <w:t>32.7%</w:t>
            </w:r>
          </w:p>
        </w:tc>
        <w:tc>
          <w:tcPr>
            <w:tcW w:type="dxa" w:w="1872"/>
          </w:tcPr>
          <w:p>
            <w:r/>
            <w:r>
              <w:rPr>
                <w:rFonts w:ascii="Times New Roman" w:hAnsi="Times New Roman"/>
                <w:sz w:val="20"/>
              </w:rPr>
              <w:t>29.6%</w:t>
            </w:r>
          </w:p>
        </w:tc>
      </w:tr>
      <w:tr>
        <w:tc>
          <w:tcPr>
            <w:tcW w:type="dxa" w:w="1872"/>
          </w:tcPr>
          <w:p>
            <w:r/>
            <w:r>
              <w:rPr>
                <w:rFonts w:ascii="Times New Roman" w:hAnsi="Times New Roman"/>
                <w:sz w:val="20"/>
              </w:rPr>
              <w:t>Gen X</w:t>
            </w:r>
          </w:p>
        </w:tc>
        <w:tc>
          <w:tcPr>
            <w:tcW w:type="dxa" w:w="1872"/>
          </w:tcPr>
          <w:p>
            <w:r/>
            <w:r>
              <w:rPr>
                <w:rFonts w:ascii="Times New Roman" w:hAnsi="Times New Roman"/>
                <w:sz w:val="20"/>
              </w:rPr>
              <w:t>20.8%</w:t>
            </w:r>
          </w:p>
        </w:tc>
        <w:tc>
          <w:tcPr>
            <w:tcW w:type="dxa" w:w="1872"/>
          </w:tcPr>
          <w:p>
            <w:r/>
            <w:r>
              <w:rPr>
                <w:rFonts w:ascii="Times New Roman" w:hAnsi="Times New Roman"/>
                <w:sz w:val="20"/>
              </w:rPr>
              <w:t>24.9%</w:t>
            </w:r>
          </w:p>
        </w:tc>
        <w:tc>
          <w:tcPr>
            <w:tcW w:type="dxa" w:w="1872"/>
          </w:tcPr>
          <w:p>
            <w:r/>
            <w:r>
              <w:rPr>
                <w:rFonts w:ascii="Times New Roman" w:hAnsi="Times New Roman"/>
                <w:sz w:val="20"/>
              </w:rPr>
              <w:t>25.6%</w:t>
            </w:r>
          </w:p>
        </w:tc>
        <w:tc>
          <w:tcPr>
            <w:tcW w:type="dxa" w:w="1872"/>
          </w:tcPr>
          <w:p>
            <w:r/>
            <w:r>
              <w:rPr>
                <w:rFonts w:ascii="Times New Roman" w:hAnsi="Times New Roman"/>
                <w:sz w:val="20"/>
              </w:rPr>
              <w:t>24.0%</w:t>
            </w:r>
          </w:p>
        </w:tc>
      </w:tr>
      <w:tr>
        <w:tc>
          <w:tcPr>
            <w:tcW w:type="dxa" w:w="1872"/>
          </w:tcPr>
          <w:p>
            <w:r/>
            <w:r>
              <w:rPr>
                <w:rFonts w:ascii="Times New Roman" w:hAnsi="Times New Roman"/>
                <w:sz w:val="20"/>
              </w:rPr>
              <w:t>Boomer</w:t>
            </w:r>
          </w:p>
        </w:tc>
        <w:tc>
          <w:tcPr>
            <w:tcW w:type="dxa" w:w="1872"/>
          </w:tcPr>
          <w:p>
            <w:r/>
            <w:r>
              <w:rPr>
                <w:rFonts w:ascii="Times New Roman" w:hAnsi="Times New Roman"/>
                <w:sz w:val="20"/>
              </w:rPr>
              <w:t>17.3%</w:t>
            </w:r>
          </w:p>
        </w:tc>
        <w:tc>
          <w:tcPr>
            <w:tcW w:type="dxa" w:w="1872"/>
          </w:tcPr>
          <w:p>
            <w:r/>
            <w:r>
              <w:rPr>
                <w:rFonts w:ascii="Times New Roman" w:hAnsi="Times New Roman"/>
                <w:sz w:val="20"/>
              </w:rPr>
              <w:t>19.7%</w:t>
            </w:r>
          </w:p>
        </w:tc>
        <w:tc>
          <w:tcPr>
            <w:tcW w:type="dxa" w:w="1872"/>
          </w:tcPr>
          <w:p>
            <w:r/>
            <w:r>
              <w:rPr>
                <w:rFonts w:ascii="Times New Roman" w:hAnsi="Times New Roman"/>
                <w:sz w:val="20"/>
              </w:rPr>
              <w:t>20.9%</w:t>
            </w:r>
          </w:p>
        </w:tc>
        <w:tc>
          <w:tcPr>
            <w:tcW w:type="dxa" w:w="1872"/>
          </w:tcPr>
          <w:p>
            <w:r/>
            <w:r>
              <w:rPr>
                <w:rFonts w:ascii="Times New Roman" w:hAnsi="Times New Roman"/>
                <w:sz w:val="20"/>
              </w:rPr>
              <w:t>19.2%</w:t>
            </w:r>
          </w:p>
        </w:tc>
      </w:tr>
      <w:tr>
        <w:tc>
          <w:tcPr>
            <w:tcW w:type="dxa" w:w="1872"/>
          </w:tcPr>
          <w:p>
            <w:r/>
            <w:r>
              <w:rPr>
                <w:rFonts w:ascii="Times New Roman" w:hAnsi="Times New Roman"/>
                <w:sz w:val="20"/>
              </w:rPr>
              <w:t>Silent</w:t>
            </w:r>
          </w:p>
        </w:tc>
        <w:tc>
          <w:tcPr>
            <w:tcW w:type="dxa" w:w="1872"/>
          </w:tcPr>
          <w:p>
            <w:r/>
            <w:r>
              <w:rPr>
                <w:rFonts w:ascii="Times New Roman" w:hAnsi="Times New Roman"/>
                <w:sz w:val="20"/>
              </w:rPr>
              <w:t>17.2%</w:t>
            </w:r>
          </w:p>
        </w:tc>
        <w:tc>
          <w:tcPr>
            <w:tcW w:type="dxa" w:w="1872"/>
          </w:tcPr>
          <w:p>
            <w:r/>
            <w:r>
              <w:rPr>
                <w:rFonts w:ascii="Times New Roman" w:hAnsi="Times New Roman"/>
                <w:sz w:val="20"/>
              </w:rPr>
              <w:t>20.2%</w:t>
            </w:r>
          </w:p>
        </w:tc>
        <w:tc>
          <w:tcPr>
            <w:tcW w:type="dxa" w:w="1872"/>
          </w:tcPr>
          <w:p>
            <w:r/>
            <w:r>
              <w:rPr>
                <w:rFonts w:ascii="Times New Roman" w:hAnsi="Times New Roman"/>
                <w:sz w:val="20"/>
              </w:rPr>
              <w:t>20.7%</w:t>
            </w:r>
          </w:p>
        </w:tc>
        <w:tc>
          <w:tcPr>
            <w:tcW w:type="dxa" w:w="1872"/>
          </w:tcPr>
          <w:p>
            <w:r/>
            <w:r>
              <w:rPr>
                <w:rFonts w:ascii="Times New Roman" w:hAnsi="Times New Roman"/>
                <w:sz w:val="20"/>
              </w:rPr>
              <w:t>22.4%</w:t>
            </w:r>
          </w:p>
        </w:tc>
      </w:tr>
    </w:tbl>
    <w:p/>
    <w:p>
      <w:r>
        <w:rPr>
          <w:rFonts w:ascii="Times New Roman" w:hAnsi="Times New Roman"/>
          <w:b w:val="0"/>
          <w:i w:val="0"/>
          <w:sz w:val="24"/>
        </w:rPr>
        <w:t>Nearly half of Gen Z reports never socializing in person. This was true in 2017—two years before COVID-19. The pandemic modestly worsened the pattern (48.4% in 2021) but did not create it, and recovery has been minimal.</w:t>
      </w:r>
    </w:p>
    <w:p>
      <w:pPr>
        <w:pStyle w:val="Heading2"/>
      </w:pPr>
      <w:r>
        <w:rPr>
          <w:rFonts w:ascii="Times New Roman" w:hAnsi="Times New Roman"/>
          <w:color w:val="000000"/>
        </w:rPr>
        <w:t>4.2 Cohort Effect, Not Age Effect</w:t>
      </w:r>
    </w:p>
    <w:p>
      <w:r>
        <w:rPr>
          <w:rFonts w:ascii="Times New Roman" w:hAnsi="Times New Roman"/>
          <w:b w:val="0"/>
          <w:i w:val="0"/>
          <w:sz w:val="24"/>
        </w:rPr>
        <w:t>To rule out the possibility that young adults are simply always more isolated, we compared Millennials and Gen Z at the same age.</w:t>
      </w:r>
    </w:p>
    <w:p>
      <w:pPr>
        <w:spacing w:after="120"/>
      </w:pPr>
      <w:r>
        <w:rPr>
          <w:rFonts w:ascii="Times New Roman" w:hAnsi="Times New Roman"/>
          <w:b/>
          <w:i w:val="0"/>
          <w:sz w:val="24"/>
        </w:rPr>
        <w:t>Table 4. Same-Age Comparison: Millennials (2017) vs. Gen Z (2023) at Ages 20–25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Metric</w:t>
            </w:r>
          </w:p>
        </w:tc>
        <w:tc>
          <w:tcPr>
            <w:tcW w:type="dxa" w:w="2340"/>
          </w:tcPr>
          <w:p>
            <w:r/>
            <w:r>
              <w:rPr>
                <w:rFonts w:ascii="Times New Roman" w:hAnsi="Times New Roman"/>
                <w:b/>
                <w:sz w:val="20"/>
              </w:rPr>
              <w:t>Millennials at 20–25 (2017)</w:t>
            </w:r>
          </w:p>
        </w:tc>
        <w:tc>
          <w:tcPr>
            <w:tcW w:type="dxa" w:w="2340"/>
          </w:tcPr>
          <w:p>
            <w:r/>
            <w:r>
              <w:rPr>
                <w:rFonts w:ascii="Times New Roman" w:hAnsi="Times New Roman"/>
                <w:b/>
                <w:sz w:val="20"/>
              </w:rPr>
              <w:t>Gen Z at 20–25 (2023)</w:t>
            </w:r>
          </w:p>
        </w:tc>
        <w:tc>
          <w:tcPr>
            <w:tcW w:type="dxa" w:w="2340"/>
          </w:tcPr>
          <w:p>
            <w:r/>
            <w:r>
              <w:rPr>
                <w:rFonts w:ascii="Times New Roman" w:hAnsi="Times New Roman"/>
                <w:b/>
                <w:sz w:val="20"/>
              </w:rPr>
              <w:t>Difference</w:t>
            </w:r>
          </w:p>
        </w:tc>
      </w:tr>
      <w:tr>
        <w:tc>
          <w:tcPr>
            <w:tcW w:type="dxa" w:w="2340"/>
          </w:tcPr>
          <w:p>
            <w:r/>
            <w:r>
              <w:rPr>
                <w:rFonts w:ascii="Times New Roman" w:hAnsi="Times New Roman"/>
                <w:sz w:val="20"/>
              </w:rPr>
              <w:t>Never socialize</w:t>
            </w:r>
          </w:p>
        </w:tc>
        <w:tc>
          <w:tcPr>
            <w:tcW w:type="dxa" w:w="2340"/>
          </w:tcPr>
          <w:p>
            <w:r/>
            <w:r>
              <w:rPr>
                <w:rFonts w:ascii="Times New Roman" w:hAnsi="Times New Roman"/>
                <w:sz w:val="20"/>
              </w:rPr>
              <w:t>40.0%</w:t>
            </w:r>
          </w:p>
        </w:tc>
        <w:tc>
          <w:tcPr>
            <w:tcW w:type="dxa" w:w="2340"/>
          </w:tcPr>
          <w:p>
            <w:r/>
            <w:r>
              <w:rPr>
                <w:rFonts w:ascii="Times New Roman" w:hAnsi="Times New Roman"/>
                <w:sz w:val="20"/>
              </w:rPr>
              <w:t>47.4%</w:t>
            </w:r>
          </w:p>
        </w:tc>
        <w:tc>
          <w:tcPr>
            <w:tcW w:type="dxa" w:w="2340"/>
          </w:tcPr>
          <w:p>
            <w:r/>
            <w:r>
              <w:rPr>
                <w:rFonts w:ascii="Times New Roman" w:hAnsi="Times New Roman"/>
                <w:sz w:val="20"/>
              </w:rPr>
              <w:t>+7.4pp</w:t>
            </w:r>
          </w:p>
        </w:tc>
      </w:tr>
      <w:tr>
        <w:tc>
          <w:tcPr>
            <w:tcW w:type="dxa" w:w="2340"/>
          </w:tcPr>
          <w:p>
            <w:r/>
            <w:r>
              <w:rPr>
                <w:rFonts w:ascii="Times New Roman" w:hAnsi="Times New Roman"/>
                <w:sz w:val="20"/>
              </w:rPr>
              <w:t>Volunteering rate</w:t>
            </w:r>
          </w:p>
        </w:tc>
        <w:tc>
          <w:tcPr>
            <w:tcW w:type="dxa" w:w="2340"/>
          </w:tcPr>
          <w:p>
            <w:r/>
            <w:r>
              <w:rPr>
                <w:rFonts w:ascii="Times New Roman" w:hAnsi="Times New Roman"/>
                <w:sz w:val="20"/>
              </w:rPr>
              <w:t>26.3%</w:t>
            </w:r>
          </w:p>
        </w:tc>
        <w:tc>
          <w:tcPr>
            <w:tcW w:type="dxa" w:w="2340"/>
          </w:tcPr>
          <w:p>
            <w:r/>
            <w:r>
              <w:rPr>
                <w:rFonts w:ascii="Times New Roman" w:hAnsi="Times New Roman"/>
                <w:sz w:val="20"/>
              </w:rPr>
              <w:t>22.4%</w:t>
            </w:r>
          </w:p>
        </w:tc>
        <w:tc>
          <w:tcPr>
            <w:tcW w:type="dxa" w:w="2340"/>
          </w:tcPr>
          <w:p>
            <w:r/>
            <w:r>
              <w:rPr>
                <w:rFonts w:ascii="Times New Roman" w:hAnsi="Times New Roman"/>
                <w:sz w:val="20"/>
              </w:rPr>
              <w:t>−3.9pp</w:t>
            </w:r>
          </w:p>
        </w:tc>
      </w:tr>
      <w:tr>
        <w:tc>
          <w:tcPr>
            <w:tcW w:type="dxa" w:w="2340"/>
          </w:tcPr>
          <w:p>
            <w:r/>
            <w:r>
              <w:rPr>
                <w:rFonts w:ascii="Times New Roman" w:hAnsi="Times New Roman"/>
                <w:sz w:val="20"/>
              </w:rPr>
              <w:t>Civically disengaged</w:t>
            </w:r>
          </w:p>
        </w:tc>
        <w:tc>
          <w:tcPr>
            <w:tcW w:type="dxa" w:w="2340"/>
          </w:tcPr>
          <w:p>
            <w:r/>
            <w:r>
              <w:rPr>
                <w:rFonts w:ascii="Times New Roman" w:hAnsi="Times New Roman"/>
                <w:sz w:val="20"/>
              </w:rPr>
              <w:t>53.1%</w:t>
            </w:r>
          </w:p>
        </w:tc>
        <w:tc>
          <w:tcPr>
            <w:tcW w:type="dxa" w:w="2340"/>
          </w:tcPr>
          <w:p>
            <w:r/>
            <w:r>
              <w:rPr>
                <w:rFonts w:ascii="Times New Roman" w:hAnsi="Times New Roman"/>
                <w:sz w:val="20"/>
              </w:rPr>
              <w:t>56.6%</w:t>
            </w:r>
          </w:p>
        </w:tc>
        <w:tc>
          <w:tcPr>
            <w:tcW w:type="dxa" w:w="2340"/>
          </w:tcPr>
          <w:p>
            <w:r/>
            <w:r>
              <w:rPr>
                <w:rFonts w:ascii="Times New Roman" w:hAnsi="Times New Roman"/>
                <w:sz w:val="20"/>
              </w:rPr>
              <w:t>+3.5pp</w:t>
            </w:r>
          </w:p>
        </w:tc>
      </w:tr>
      <w:tr>
        <w:tc>
          <w:tcPr>
            <w:tcW w:type="dxa" w:w="2340"/>
          </w:tcPr>
          <w:p>
            <w:r/>
            <w:r>
              <w:rPr>
                <w:rFonts w:ascii="Times New Roman" w:hAnsi="Times New Roman"/>
                <w:sz w:val="20"/>
              </w:rPr>
              <w:t>BA+ education</w:t>
            </w:r>
          </w:p>
        </w:tc>
        <w:tc>
          <w:tcPr>
            <w:tcW w:type="dxa" w:w="2340"/>
          </w:tcPr>
          <w:p>
            <w:r/>
            <w:r>
              <w:rPr>
                <w:rFonts w:ascii="Times New Roman" w:hAnsi="Times New Roman"/>
                <w:sz w:val="20"/>
              </w:rPr>
              <w:t>25.9%</w:t>
            </w:r>
          </w:p>
        </w:tc>
        <w:tc>
          <w:tcPr>
            <w:tcW w:type="dxa" w:w="2340"/>
          </w:tcPr>
          <w:p>
            <w:r/>
            <w:r>
              <w:rPr>
                <w:rFonts w:ascii="Times New Roman" w:hAnsi="Times New Roman"/>
                <w:sz w:val="20"/>
              </w:rPr>
              <w:t>25.9%</w:t>
            </w:r>
          </w:p>
        </w:tc>
        <w:tc>
          <w:tcPr>
            <w:tcW w:type="dxa" w:w="2340"/>
          </w:tcPr>
          <w:p>
            <w:r/>
            <w:r>
              <w:rPr>
                <w:rFonts w:ascii="Times New Roman" w:hAnsi="Times New Roman"/>
                <w:sz w:val="20"/>
              </w:rPr>
              <w:t>0.0pp</w:t>
            </w:r>
          </w:p>
        </w:tc>
      </w:tr>
    </w:tbl>
    <w:p/>
    <w:p>
      <w:r>
        <w:rPr>
          <w:rFonts w:ascii="Times New Roman" w:hAnsi="Times New Roman"/>
          <w:b w:val="0"/>
          <w:i w:val="0"/>
          <w:sz w:val="24"/>
        </w:rPr>
        <w:t>Same age, identical education profile, but Gen Z is 7.4 percentage points more socially isolated and 3.5 points more civically disengaged. This is a generational shift, not a life-course artifact.</w:t>
      </w:r>
    </w:p>
    <w:p>
      <w:pPr>
        <w:pStyle w:val="Heading2"/>
      </w:pPr>
      <w:r>
        <w:rPr>
          <w:rFonts w:ascii="Times New Roman" w:hAnsi="Times New Roman"/>
          <w:color w:val="000000"/>
        </w:rPr>
        <w:t>4.3 Education and Employment Do Not Resolve the Crisis</w:t>
      </w:r>
    </w:p>
    <w:p>
      <w:pPr>
        <w:spacing w:after="120"/>
      </w:pPr>
      <w:r>
        <w:rPr>
          <w:rFonts w:ascii="Times New Roman" w:hAnsi="Times New Roman"/>
          <w:b/>
          <w:i w:val="0"/>
          <w:sz w:val="24"/>
        </w:rPr>
        <w:t>Table 5. Never-Socializing Rates Among College Graduates, by Generation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Generation</w:t>
            </w:r>
          </w:p>
        </w:tc>
        <w:tc>
          <w:tcPr>
            <w:tcW w:type="dxa" w:w="3120"/>
          </w:tcPr>
          <w:p>
            <w:r/>
            <w:r>
              <w:rPr>
                <w:rFonts w:ascii="Times New Roman" w:hAnsi="Times New Roman"/>
                <w:b/>
                <w:sz w:val="20"/>
              </w:rPr>
              <w:t>BA+ Never-Socialize Rate</w:t>
            </w:r>
          </w:p>
        </w:tc>
        <w:tc>
          <w:tcPr>
            <w:tcW w:type="dxa" w:w="3120"/>
          </w:tcPr>
          <w:p>
            <w:r/>
            <w:r>
              <w:rPr>
                <w:rFonts w:ascii="Times New Roman" w:hAnsi="Times New Roman"/>
                <w:b/>
                <w:sz w:val="20"/>
              </w:rPr>
              <w:t>BA+ Volunteering Rate</w:t>
            </w:r>
          </w:p>
        </w:tc>
      </w:tr>
      <w:tr>
        <w:tc>
          <w:tcPr>
            <w:tcW w:type="dxa" w:w="3120"/>
          </w:tcPr>
          <w:p>
            <w:r/>
            <w:r>
              <w:rPr>
                <w:rFonts w:ascii="Times New Roman" w:hAnsi="Times New Roman"/>
                <w:sz w:val="20"/>
              </w:rPr>
              <w:t>Gen Z</w:t>
            </w:r>
          </w:p>
        </w:tc>
        <w:tc>
          <w:tcPr>
            <w:tcW w:type="dxa" w:w="3120"/>
          </w:tcPr>
          <w:p>
            <w:r/>
            <w:r>
              <w:rPr>
                <w:rFonts w:ascii="Times New Roman" w:hAnsi="Times New Roman"/>
                <w:sz w:val="20"/>
              </w:rPr>
              <w:t>42.1%</w:t>
            </w:r>
          </w:p>
        </w:tc>
        <w:tc>
          <w:tcPr>
            <w:tcW w:type="dxa" w:w="3120"/>
          </w:tcPr>
          <w:p>
            <w:r/>
            <w:r>
              <w:rPr>
                <w:rFonts w:ascii="Times New Roman" w:hAnsi="Times New Roman"/>
                <w:sz w:val="20"/>
              </w:rPr>
              <w:t>34.0%</w:t>
            </w:r>
          </w:p>
        </w:tc>
      </w:tr>
      <w:tr>
        <w:tc>
          <w:tcPr>
            <w:tcW w:type="dxa" w:w="3120"/>
          </w:tcPr>
          <w:p>
            <w:r/>
            <w:r>
              <w:rPr>
                <w:rFonts w:ascii="Times New Roman" w:hAnsi="Times New Roman"/>
                <w:sz w:val="20"/>
              </w:rPr>
              <w:t>Millennial</w:t>
            </w:r>
          </w:p>
        </w:tc>
        <w:tc>
          <w:tcPr>
            <w:tcW w:type="dxa" w:w="3120"/>
          </w:tcPr>
          <w:p>
            <w:r/>
            <w:r>
              <w:rPr>
                <w:rFonts w:ascii="Times New Roman" w:hAnsi="Times New Roman"/>
                <w:sz w:val="20"/>
              </w:rPr>
              <w:t>25.5%</w:t>
            </w:r>
          </w:p>
        </w:tc>
        <w:tc>
          <w:tcPr>
            <w:tcW w:type="dxa" w:w="3120"/>
          </w:tcPr>
          <w:p>
            <w:r/>
            <w:r>
              <w:rPr>
                <w:rFonts w:ascii="Times New Roman" w:hAnsi="Times New Roman"/>
                <w:sz w:val="20"/>
              </w:rPr>
              <w:t>43.1%</w:t>
            </w:r>
          </w:p>
        </w:tc>
      </w:tr>
      <w:tr>
        <w:tc>
          <w:tcPr>
            <w:tcW w:type="dxa" w:w="3120"/>
          </w:tcPr>
          <w:p>
            <w:r/>
            <w:r>
              <w:rPr>
                <w:rFonts w:ascii="Times New Roman" w:hAnsi="Times New Roman"/>
                <w:sz w:val="20"/>
              </w:rPr>
              <w:t>Gen X</w:t>
            </w:r>
          </w:p>
        </w:tc>
        <w:tc>
          <w:tcPr>
            <w:tcW w:type="dxa" w:w="3120"/>
          </w:tcPr>
          <w:p>
            <w:r/>
            <w:r>
              <w:rPr>
                <w:rFonts w:ascii="Times New Roman" w:hAnsi="Times New Roman"/>
                <w:sz w:val="20"/>
              </w:rPr>
              <w:t>16.5%</w:t>
            </w:r>
          </w:p>
        </w:tc>
        <w:tc>
          <w:tcPr>
            <w:tcW w:type="dxa" w:w="3120"/>
          </w:tcPr>
          <w:p>
            <w:r/>
            <w:r>
              <w:rPr>
                <w:rFonts w:ascii="Times New Roman" w:hAnsi="Times New Roman"/>
                <w:sz w:val="20"/>
              </w:rPr>
              <w:t>52.5%</w:t>
            </w:r>
          </w:p>
        </w:tc>
      </w:tr>
      <w:tr>
        <w:tc>
          <w:tcPr>
            <w:tcW w:type="dxa" w:w="3120"/>
          </w:tcPr>
          <w:p>
            <w:r/>
            <w:r>
              <w:rPr>
                <w:rFonts w:ascii="Times New Roman" w:hAnsi="Times New Roman"/>
                <w:sz w:val="20"/>
              </w:rPr>
              <w:t>Boomer</w:t>
            </w:r>
          </w:p>
        </w:tc>
        <w:tc>
          <w:tcPr>
            <w:tcW w:type="dxa" w:w="3120"/>
          </w:tcPr>
          <w:p>
            <w:r/>
            <w:r>
              <w:rPr>
                <w:rFonts w:ascii="Times New Roman" w:hAnsi="Times New Roman"/>
                <w:sz w:val="20"/>
              </w:rPr>
              <w:t>13.4%</w:t>
            </w:r>
          </w:p>
        </w:tc>
        <w:tc>
          <w:tcPr>
            <w:tcW w:type="dxa" w:w="3120"/>
          </w:tcPr>
          <w:p>
            <w:r/>
            <w:r>
              <w:rPr>
                <w:rFonts w:ascii="Times New Roman" w:hAnsi="Times New Roman"/>
                <w:sz w:val="20"/>
              </w:rPr>
              <w:t>47.1%</w:t>
            </w:r>
          </w:p>
        </w:tc>
      </w:tr>
    </w:tbl>
    <w:p/>
    <w:p>
      <w:r>
        <w:rPr>
          <w:rFonts w:ascii="Times New Roman" w:hAnsi="Times New Roman"/>
          <w:b w:val="0"/>
          <w:i w:val="0"/>
          <w:sz w:val="24"/>
        </w:rPr>
        <w:t>College-educated Gen Z members are three times more likely to never socialize than college-educated Boomers (42.1% vs. 13.4%). A bachelor's degree does not resolve Gen Z's socialization deficit. Employment shows a similarly negligible effect: 45.6% of employed Gen Z never socializes, compared to 48.3% of non-employed Gen Z—a mere 2.7 percentage point difference. For Boomers, the comparable gap is only 0.9pp (18.6% vs. 19.5%). This distinguishes the current crisis from historical patterns where workplace integration served as a pathway to social connection and civic recruitment (Verba et al., 1995).</w:t>
      </w:r>
    </w:p>
    <w:p>
      <w:pPr>
        <w:pStyle w:val="Heading2"/>
      </w:pPr>
      <w:r>
        <w:rPr>
          <w:rFonts w:ascii="Times New Roman" w:hAnsi="Times New Roman"/>
          <w:color w:val="000000"/>
        </w:rPr>
        <w:t>4.4 The "First Step" Effect: Nonlinear Socialization–Volunteering Gradient</w:t>
      </w:r>
    </w:p>
    <w:p>
      <w:pPr>
        <w:spacing w:after="120"/>
      </w:pPr>
      <w:r>
        <w:rPr>
          <w:rFonts w:ascii="Times New Roman" w:hAnsi="Times New Roman"/>
          <w:b/>
          <w:i w:val="0"/>
          <w:sz w:val="24"/>
        </w:rPr>
        <w:t>Table 6. Volunteering Rate by Socialization Frequency and Generation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Socialization Level</w:t>
            </w:r>
          </w:p>
        </w:tc>
        <w:tc>
          <w:tcPr>
            <w:tcW w:type="dxa" w:w="1872"/>
          </w:tcPr>
          <w:p>
            <w:r/>
            <w:r>
              <w:rPr>
                <w:rFonts w:ascii="Times New Roman" w:hAnsi="Times New Roman"/>
                <w:b/>
                <w:sz w:val="20"/>
              </w:rPr>
              <w:t>Gen Z</w:t>
            </w:r>
          </w:p>
        </w:tc>
        <w:tc>
          <w:tcPr>
            <w:tcW w:type="dxa" w:w="1872"/>
          </w:tcPr>
          <w:p>
            <w:r/>
            <w:r>
              <w:rPr>
                <w:rFonts w:ascii="Times New Roman" w:hAnsi="Times New Roman"/>
                <w:b/>
                <w:sz w:val="20"/>
              </w:rPr>
              <w:t>Millennial</w:t>
            </w:r>
          </w:p>
        </w:tc>
        <w:tc>
          <w:tcPr>
            <w:tcW w:type="dxa" w:w="1872"/>
          </w:tcPr>
          <w:p>
            <w:r/>
            <w:r>
              <w:rPr>
                <w:rFonts w:ascii="Times New Roman" w:hAnsi="Times New Roman"/>
                <w:b/>
                <w:sz w:val="20"/>
              </w:rPr>
              <w:t>Gen X</w:t>
            </w:r>
          </w:p>
        </w:tc>
        <w:tc>
          <w:tcPr>
            <w:tcW w:type="dxa" w:w="1872"/>
          </w:tcPr>
          <w:p>
            <w:r/>
            <w:r>
              <w:rPr>
                <w:rFonts w:ascii="Times New Roman" w:hAnsi="Times New Roman"/>
                <w:b/>
                <w:sz w:val="20"/>
              </w:rPr>
              <w:t>Boomer</w:t>
            </w:r>
          </w:p>
        </w:tc>
      </w:tr>
      <w:tr>
        <w:tc>
          <w:tcPr>
            <w:tcW w:type="dxa" w:w="1872"/>
          </w:tcPr>
          <w:p>
            <w:r/>
            <w:r>
              <w:rPr>
                <w:rFonts w:ascii="Times New Roman" w:hAnsi="Times New Roman"/>
                <w:sz w:val="20"/>
              </w:rPr>
              <w:t>Never</w:t>
            </w:r>
          </w:p>
        </w:tc>
        <w:tc>
          <w:tcPr>
            <w:tcW w:type="dxa" w:w="1872"/>
          </w:tcPr>
          <w:p>
            <w:r/>
            <w:r>
              <w:rPr>
                <w:rFonts w:ascii="Times New Roman" w:hAnsi="Times New Roman"/>
                <w:sz w:val="20"/>
              </w:rPr>
              <w:t>15.7%</w:t>
            </w:r>
          </w:p>
        </w:tc>
        <w:tc>
          <w:tcPr>
            <w:tcW w:type="dxa" w:w="1872"/>
          </w:tcPr>
          <w:p>
            <w:r/>
            <w:r>
              <w:rPr>
                <w:rFonts w:ascii="Times New Roman" w:hAnsi="Times New Roman"/>
                <w:sz w:val="20"/>
              </w:rPr>
              <w:t>19.1%</w:t>
            </w:r>
          </w:p>
        </w:tc>
        <w:tc>
          <w:tcPr>
            <w:tcW w:type="dxa" w:w="1872"/>
          </w:tcPr>
          <w:p>
            <w:r/>
            <w:r>
              <w:rPr>
                <w:rFonts w:ascii="Times New Roman" w:hAnsi="Times New Roman"/>
                <w:sz w:val="20"/>
              </w:rPr>
              <w:t>18.7%</w:t>
            </w:r>
          </w:p>
        </w:tc>
        <w:tc>
          <w:tcPr>
            <w:tcW w:type="dxa" w:w="1872"/>
          </w:tcPr>
          <w:p>
            <w:r/>
            <w:r>
              <w:rPr>
                <w:rFonts w:ascii="Times New Roman" w:hAnsi="Times New Roman"/>
                <w:sz w:val="20"/>
              </w:rPr>
              <w:t>13.7%</w:t>
            </w:r>
          </w:p>
        </w:tc>
      </w:tr>
      <w:tr>
        <w:tc>
          <w:tcPr>
            <w:tcW w:type="dxa" w:w="1872"/>
          </w:tcPr>
          <w:p>
            <w:r/>
            <w:r>
              <w:rPr>
                <w:rFonts w:ascii="Times New Roman" w:hAnsi="Times New Roman"/>
                <w:sz w:val="20"/>
              </w:rPr>
              <w:t>A few times/year</w:t>
            </w:r>
          </w:p>
        </w:tc>
        <w:tc>
          <w:tcPr>
            <w:tcW w:type="dxa" w:w="1872"/>
          </w:tcPr>
          <w:p>
            <w:r/>
            <w:r>
              <w:rPr>
                <w:rFonts w:ascii="Times New Roman" w:hAnsi="Times New Roman"/>
                <w:sz w:val="20"/>
              </w:rPr>
              <w:t>25.6%</w:t>
            </w:r>
          </w:p>
        </w:tc>
        <w:tc>
          <w:tcPr>
            <w:tcW w:type="dxa" w:w="1872"/>
          </w:tcPr>
          <w:p>
            <w:r/>
            <w:r>
              <w:rPr>
                <w:rFonts w:ascii="Times New Roman" w:hAnsi="Times New Roman"/>
                <w:sz w:val="20"/>
              </w:rPr>
              <w:t>30.1%</w:t>
            </w:r>
          </w:p>
        </w:tc>
        <w:tc>
          <w:tcPr>
            <w:tcW w:type="dxa" w:w="1872"/>
          </w:tcPr>
          <w:p>
            <w:r/>
            <w:r>
              <w:rPr>
                <w:rFonts w:ascii="Times New Roman" w:hAnsi="Times New Roman"/>
                <w:sz w:val="20"/>
              </w:rPr>
              <w:t>32.3%</w:t>
            </w:r>
          </w:p>
        </w:tc>
        <w:tc>
          <w:tcPr>
            <w:tcW w:type="dxa" w:w="1872"/>
          </w:tcPr>
          <w:p>
            <w:r/>
            <w:r>
              <w:rPr>
                <w:rFonts w:ascii="Times New Roman" w:hAnsi="Times New Roman"/>
                <w:sz w:val="20"/>
              </w:rPr>
              <w:t>25.4%</w:t>
            </w:r>
          </w:p>
        </w:tc>
      </w:tr>
      <w:tr>
        <w:tc>
          <w:tcPr>
            <w:tcW w:type="dxa" w:w="1872"/>
          </w:tcPr>
          <w:p>
            <w:r/>
            <w:r>
              <w:rPr>
                <w:rFonts w:ascii="Times New Roman" w:hAnsi="Times New Roman"/>
                <w:sz w:val="20"/>
              </w:rPr>
              <w:t>Once a month</w:t>
            </w:r>
          </w:p>
        </w:tc>
        <w:tc>
          <w:tcPr>
            <w:tcW w:type="dxa" w:w="1872"/>
          </w:tcPr>
          <w:p>
            <w:r/>
            <w:r>
              <w:rPr>
                <w:rFonts w:ascii="Times New Roman" w:hAnsi="Times New Roman"/>
                <w:sz w:val="20"/>
              </w:rPr>
              <w:t>32.4%</w:t>
            </w:r>
          </w:p>
        </w:tc>
        <w:tc>
          <w:tcPr>
            <w:tcW w:type="dxa" w:w="1872"/>
          </w:tcPr>
          <w:p>
            <w:r/>
            <w:r>
              <w:rPr>
                <w:rFonts w:ascii="Times New Roman" w:hAnsi="Times New Roman"/>
                <w:sz w:val="20"/>
              </w:rPr>
              <w:t>37.2%</w:t>
            </w:r>
          </w:p>
        </w:tc>
        <w:tc>
          <w:tcPr>
            <w:tcW w:type="dxa" w:w="1872"/>
          </w:tcPr>
          <w:p>
            <w:r/>
            <w:r>
              <w:rPr>
                <w:rFonts w:ascii="Times New Roman" w:hAnsi="Times New Roman"/>
                <w:sz w:val="20"/>
              </w:rPr>
              <w:t>40.0%</w:t>
            </w:r>
          </w:p>
        </w:tc>
        <w:tc>
          <w:tcPr>
            <w:tcW w:type="dxa" w:w="1872"/>
          </w:tcPr>
          <w:p>
            <w:r/>
            <w:r>
              <w:rPr>
                <w:rFonts w:ascii="Times New Roman" w:hAnsi="Times New Roman"/>
                <w:sz w:val="20"/>
              </w:rPr>
              <w:t>33.3%</w:t>
            </w:r>
          </w:p>
        </w:tc>
      </w:tr>
      <w:tr>
        <w:tc>
          <w:tcPr>
            <w:tcW w:type="dxa" w:w="1872"/>
          </w:tcPr>
          <w:p>
            <w:r/>
            <w:r>
              <w:rPr>
                <w:rFonts w:ascii="Times New Roman" w:hAnsi="Times New Roman"/>
                <w:sz w:val="20"/>
              </w:rPr>
              <w:t>A few times/month</w:t>
            </w:r>
          </w:p>
        </w:tc>
        <w:tc>
          <w:tcPr>
            <w:tcW w:type="dxa" w:w="1872"/>
          </w:tcPr>
          <w:p>
            <w:r/>
            <w:r>
              <w:rPr>
                <w:rFonts w:ascii="Times New Roman" w:hAnsi="Times New Roman"/>
                <w:sz w:val="20"/>
              </w:rPr>
              <w:t>33.4%</w:t>
            </w:r>
          </w:p>
        </w:tc>
        <w:tc>
          <w:tcPr>
            <w:tcW w:type="dxa" w:w="1872"/>
          </w:tcPr>
          <w:p>
            <w:r/>
            <w:r>
              <w:rPr>
                <w:rFonts w:ascii="Times New Roman" w:hAnsi="Times New Roman"/>
                <w:sz w:val="20"/>
              </w:rPr>
              <w:t>38.6%</w:t>
            </w:r>
          </w:p>
        </w:tc>
        <w:tc>
          <w:tcPr>
            <w:tcW w:type="dxa" w:w="1872"/>
          </w:tcPr>
          <w:p>
            <w:r/>
            <w:r>
              <w:rPr>
                <w:rFonts w:ascii="Times New Roman" w:hAnsi="Times New Roman"/>
                <w:sz w:val="20"/>
              </w:rPr>
              <w:t>43.0%</w:t>
            </w:r>
          </w:p>
        </w:tc>
        <w:tc>
          <w:tcPr>
            <w:tcW w:type="dxa" w:w="1872"/>
          </w:tcPr>
          <w:p>
            <w:r/>
            <w:r>
              <w:rPr>
                <w:rFonts w:ascii="Times New Roman" w:hAnsi="Times New Roman"/>
                <w:sz w:val="20"/>
              </w:rPr>
              <w:t>36.8%</w:t>
            </w:r>
          </w:p>
        </w:tc>
      </w:tr>
      <w:tr>
        <w:tc>
          <w:tcPr>
            <w:tcW w:type="dxa" w:w="1872"/>
          </w:tcPr>
          <w:p>
            <w:r/>
            <w:r>
              <w:rPr>
                <w:rFonts w:ascii="Times New Roman" w:hAnsi="Times New Roman"/>
                <w:sz w:val="20"/>
              </w:rPr>
              <w:t>A few times/week</w:t>
            </w:r>
          </w:p>
        </w:tc>
        <w:tc>
          <w:tcPr>
            <w:tcW w:type="dxa" w:w="1872"/>
          </w:tcPr>
          <w:p>
            <w:r/>
            <w:r>
              <w:rPr>
                <w:rFonts w:ascii="Times New Roman" w:hAnsi="Times New Roman"/>
                <w:sz w:val="20"/>
              </w:rPr>
              <w:t>31.9%</w:t>
            </w:r>
          </w:p>
        </w:tc>
        <w:tc>
          <w:tcPr>
            <w:tcW w:type="dxa" w:w="1872"/>
          </w:tcPr>
          <w:p>
            <w:r/>
            <w:r>
              <w:rPr>
                <w:rFonts w:ascii="Times New Roman" w:hAnsi="Times New Roman"/>
                <w:sz w:val="20"/>
              </w:rPr>
              <w:t>42.0%</w:t>
            </w:r>
          </w:p>
        </w:tc>
        <w:tc>
          <w:tcPr>
            <w:tcW w:type="dxa" w:w="1872"/>
          </w:tcPr>
          <w:p>
            <w:r/>
            <w:r>
              <w:rPr>
                <w:rFonts w:ascii="Times New Roman" w:hAnsi="Times New Roman"/>
                <w:sz w:val="20"/>
              </w:rPr>
              <w:t>48.7%</w:t>
            </w:r>
          </w:p>
        </w:tc>
        <w:tc>
          <w:tcPr>
            <w:tcW w:type="dxa" w:w="1872"/>
          </w:tcPr>
          <w:p>
            <w:r/>
            <w:r>
              <w:rPr>
                <w:rFonts w:ascii="Times New Roman" w:hAnsi="Times New Roman"/>
                <w:sz w:val="20"/>
              </w:rPr>
              <w:t>41.5%</w:t>
            </w:r>
          </w:p>
        </w:tc>
      </w:tr>
      <w:tr>
        <w:tc>
          <w:tcPr>
            <w:tcW w:type="dxa" w:w="1872"/>
          </w:tcPr>
          <w:p>
            <w:r/>
            <w:r>
              <w:rPr>
                <w:rFonts w:ascii="Times New Roman" w:hAnsi="Times New Roman"/>
                <w:sz w:val="20"/>
              </w:rPr>
              <w:t>Daily</w:t>
            </w:r>
          </w:p>
        </w:tc>
        <w:tc>
          <w:tcPr>
            <w:tcW w:type="dxa" w:w="1872"/>
          </w:tcPr>
          <w:p>
            <w:r/>
            <w:r>
              <w:rPr>
                <w:rFonts w:ascii="Times New Roman" w:hAnsi="Times New Roman"/>
                <w:sz w:val="20"/>
              </w:rPr>
              <w:t>34.6%</w:t>
            </w:r>
          </w:p>
        </w:tc>
        <w:tc>
          <w:tcPr>
            <w:tcW w:type="dxa" w:w="1872"/>
          </w:tcPr>
          <w:p>
            <w:r/>
            <w:r>
              <w:rPr>
                <w:rFonts w:ascii="Times New Roman" w:hAnsi="Times New Roman"/>
                <w:sz w:val="20"/>
              </w:rPr>
              <w:t>42.5%</w:t>
            </w:r>
          </w:p>
        </w:tc>
        <w:tc>
          <w:tcPr>
            <w:tcW w:type="dxa" w:w="1872"/>
          </w:tcPr>
          <w:p>
            <w:r/>
            <w:r>
              <w:rPr>
                <w:rFonts w:ascii="Times New Roman" w:hAnsi="Times New Roman"/>
                <w:sz w:val="20"/>
              </w:rPr>
              <w:t>44.3%</w:t>
            </w:r>
          </w:p>
        </w:tc>
        <w:tc>
          <w:tcPr>
            <w:tcW w:type="dxa" w:w="1872"/>
          </w:tcPr>
          <w:p>
            <w:r/>
            <w:r>
              <w:rPr>
                <w:rFonts w:ascii="Times New Roman" w:hAnsi="Times New Roman"/>
                <w:sz w:val="20"/>
              </w:rPr>
              <w:t>40.7%</w:t>
            </w:r>
          </w:p>
        </w:tc>
      </w:tr>
    </w:tbl>
    <w:p/>
    <w:p>
      <w:r>
        <w:rPr>
          <w:rFonts w:ascii="Times New Roman" w:hAnsi="Times New Roman"/>
          <w:b w:val="0"/>
          <w:i w:val="0"/>
          <w:sz w:val="24"/>
        </w:rPr>
        <w:t>The single largest jump in volunteering occurs at the transition from "never" to "a few times a year"—a gain of 10 to 14 percentage points across all generations. This is the most efficient intervention point: moving someone from complete social isolation to even minimal social contact produces the largest marginal increase in civic participation.</w:t>
      </w:r>
    </w:p>
    <w:p>
      <w:r>
        <w:rPr>
          <w:rFonts w:ascii="Times New Roman" w:hAnsi="Times New Roman"/>
          <w:b w:val="0"/>
          <w:i w:val="0"/>
          <w:sz w:val="24"/>
        </w:rPr>
        <w:t>However, Gen Z exhibits a ceiling effect at approximately 34% volunteering—regardless of how frequently they socialize. Other generations continue to see gains at higher socialization frequencies, but Gen Z's volunteering rate plateaus. This suggests a structural barrier beyond socialization alone.</w:t>
      </w:r>
    </w:p>
    <w:p>
      <w:pPr>
        <w:pStyle w:val="Heading2"/>
      </w:pPr>
      <w:r>
        <w:rPr>
          <w:rFonts w:ascii="Times New Roman" w:hAnsi="Times New Roman"/>
          <w:color w:val="000000"/>
        </w:rPr>
        <w:t>4.5 Social Isolation Creates a Universal Civic Floor</w:t>
      </w:r>
    </w:p>
    <w:p>
      <w:pPr>
        <w:spacing w:after="120"/>
      </w:pPr>
      <w:r>
        <w:rPr>
          <w:rFonts w:ascii="Times New Roman" w:hAnsi="Times New Roman"/>
          <w:b/>
          <w:i w:val="0"/>
          <w:sz w:val="24"/>
        </w:rPr>
        <w:t>Table 7. Volunteering Rates by Education × Socialization × Generation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Condition</w:t>
            </w:r>
          </w:p>
        </w:tc>
        <w:tc>
          <w:tcPr>
            <w:tcW w:type="dxa" w:w="2340"/>
          </w:tcPr>
          <w:p>
            <w:r/>
            <w:r>
              <w:rPr>
                <w:rFonts w:ascii="Times New Roman" w:hAnsi="Times New Roman"/>
                <w:b/>
                <w:sz w:val="20"/>
              </w:rPr>
              <w:t>Gen Z</w:t>
            </w:r>
          </w:p>
        </w:tc>
        <w:tc>
          <w:tcPr>
            <w:tcW w:type="dxa" w:w="2340"/>
          </w:tcPr>
          <w:p>
            <w:r/>
            <w:r>
              <w:rPr>
                <w:rFonts w:ascii="Times New Roman" w:hAnsi="Times New Roman"/>
                <w:b/>
                <w:sz w:val="20"/>
              </w:rPr>
              <w:t>Millennial</w:t>
            </w:r>
          </w:p>
        </w:tc>
        <w:tc>
          <w:tcPr>
            <w:tcW w:type="dxa" w:w="2340"/>
          </w:tcPr>
          <w:p>
            <w:r/>
            <w:r>
              <w:rPr>
                <w:rFonts w:ascii="Times New Roman" w:hAnsi="Times New Roman"/>
                <w:b/>
                <w:sz w:val="20"/>
              </w:rPr>
              <w:t>Boomer</w:t>
            </w:r>
          </w:p>
        </w:tc>
      </w:tr>
      <w:tr>
        <w:tc>
          <w:tcPr>
            <w:tcW w:type="dxa" w:w="2340"/>
          </w:tcPr>
          <w:p>
            <w:r/>
            <w:r>
              <w:rPr>
                <w:rFonts w:ascii="Times New Roman" w:hAnsi="Times New Roman"/>
                <w:sz w:val="20"/>
              </w:rPr>
              <w:t>HS diploma + Isolated</w:t>
            </w:r>
          </w:p>
        </w:tc>
        <w:tc>
          <w:tcPr>
            <w:tcW w:type="dxa" w:w="2340"/>
          </w:tcPr>
          <w:p>
            <w:r/>
            <w:r>
              <w:rPr>
                <w:rFonts w:ascii="Times New Roman" w:hAnsi="Times New Roman"/>
                <w:sz w:val="20"/>
              </w:rPr>
              <w:t>12.2%</w:t>
            </w:r>
          </w:p>
        </w:tc>
        <w:tc>
          <w:tcPr>
            <w:tcW w:type="dxa" w:w="2340"/>
          </w:tcPr>
          <w:p>
            <w:r/>
            <w:r>
              <w:rPr>
                <w:rFonts w:ascii="Times New Roman" w:hAnsi="Times New Roman"/>
                <w:sz w:val="20"/>
              </w:rPr>
              <w:t>11.5%</w:t>
            </w:r>
          </w:p>
        </w:tc>
        <w:tc>
          <w:tcPr>
            <w:tcW w:type="dxa" w:w="2340"/>
          </w:tcPr>
          <w:p>
            <w:r/>
            <w:r>
              <w:rPr>
                <w:rFonts w:ascii="Times New Roman" w:hAnsi="Times New Roman"/>
                <w:sz w:val="20"/>
              </w:rPr>
              <w:t>~12%</w:t>
            </w:r>
          </w:p>
        </w:tc>
      </w:tr>
      <w:tr>
        <w:tc>
          <w:tcPr>
            <w:tcW w:type="dxa" w:w="2340"/>
          </w:tcPr>
          <w:p>
            <w:r/>
            <w:r>
              <w:rPr>
                <w:rFonts w:ascii="Times New Roman" w:hAnsi="Times New Roman"/>
                <w:sz w:val="20"/>
              </w:rPr>
              <w:t>HS diploma + Connected</w:t>
            </w:r>
          </w:p>
        </w:tc>
        <w:tc>
          <w:tcPr>
            <w:tcW w:type="dxa" w:w="2340"/>
          </w:tcPr>
          <w:p>
            <w:r/>
            <w:r>
              <w:rPr>
                <w:rFonts w:ascii="Times New Roman" w:hAnsi="Times New Roman"/>
                <w:sz w:val="20"/>
              </w:rPr>
              <w:t>26.3%</w:t>
            </w:r>
          </w:p>
        </w:tc>
        <w:tc>
          <w:tcPr>
            <w:tcW w:type="dxa" w:w="2340"/>
          </w:tcPr>
          <w:p>
            <w:r/>
            <w:r>
              <w:rPr>
                <w:rFonts w:ascii="Times New Roman" w:hAnsi="Times New Roman"/>
                <w:sz w:val="20"/>
              </w:rPr>
              <w:t>25.5%</w:t>
            </w:r>
          </w:p>
        </w:tc>
        <w:tc>
          <w:tcPr>
            <w:tcW w:type="dxa" w:w="2340"/>
          </w:tcPr>
          <w:p>
            <w:r/>
            <w:r>
              <w:rPr>
                <w:rFonts w:ascii="Times New Roman" w:hAnsi="Times New Roman"/>
                <w:sz w:val="20"/>
              </w:rPr>
              <w:t>25.4%</w:t>
            </w:r>
          </w:p>
        </w:tc>
      </w:tr>
      <w:tr>
        <w:tc>
          <w:tcPr>
            <w:tcW w:type="dxa" w:w="2340"/>
          </w:tcPr>
          <w:p>
            <w:r/>
            <w:r>
              <w:rPr>
                <w:rFonts w:ascii="Times New Roman" w:hAnsi="Times New Roman"/>
                <w:sz w:val="20"/>
              </w:rPr>
              <w:t>BA+ degree + Isolated</w:t>
            </w:r>
          </w:p>
        </w:tc>
        <w:tc>
          <w:tcPr>
            <w:tcW w:type="dxa" w:w="2340"/>
          </w:tcPr>
          <w:p>
            <w:r/>
            <w:r>
              <w:rPr>
                <w:rFonts w:ascii="Times New Roman" w:hAnsi="Times New Roman"/>
                <w:sz w:val="20"/>
              </w:rPr>
              <w:t>27.7%</w:t>
            </w:r>
          </w:p>
        </w:tc>
        <w:tc>
          <w:tcPr>
            <w:tcW w:type="dxa" w:w="2340"/>
          </w:tcPr>
          <w:p>
            <w:r/>
            <w:r>
              <w:rPr>
                <w:rFonts w:ascii="Times New Roman" w:hAnsi="Times New Roman"/>
                <w:sz w:val="20"/>
              </w:rPr>
              <w:t>33.4%</w:t>
            </w:r>
          </w:p>
        </w:tc>
        <w:tc>
          <w:tcPr>
            <w:tcW w:type="dxa" w:w="2340"/>
          </w:tcPr>
          <w:p>
            <w:r/>
            <w:r>
              <w:rPr>
                <w:rFonts w:ascii="Times New Roman" w:hAnsi="Times New Roman"/>
                <w:sz w:val="20"/>
              </w:rPr>
              <w:t>29.5%</w:t>
            </w:r>
          </w:p>
        </w:tc>
      </w:tr>
      <w:tr>
        <w:tc>
          <w:tcPr>
            <w:tcW w:type="dxa" w:w="2340"/>
          </w:tcPr>
          <w:p>
            <w:r/>
            <w:r>
              <w:rPr>
                <w:rFonts w:ascii="Times New Roman" w:hAnsi="Times New Roman"/>
                <w:sz w:val="20"/>
              </w:rPr>
              <w:t>BA+ degree + Connected</w:t>
            </w:r>
          </w:p>
        </w:tc>
        <w:tc>
          <w:tcPr>
            <w:tcW w:type="dxa" w:w="2340"/>
          </w:tcPr>
          <w:p>
            <w:r/>
            <w:r>
              <w:rPr>
                <w:rFonts w:ascii="Times New Roman" w:hAnsi="Times New Roman"/>
                <w:sz w:val="20"/>
              </w:rPr>
              <w:t>42.8%</w:t>
            </w:r>
          </w:p>
        </w:tc>
        <w:tc>
          <w:tcPr>
            <w:tcW w:type="dxa" w:w="2340"/>
          </w:tcPr>
          <w:p>
            <w:r/>
            <w:r>
              <w:rPr>
                <w:rFonts w:ascii="Times New Roman" w:hAnsi="Times New Roman"/>
                <w:sz w:val="20"/>
              </w:rPr>
              <w:t>51.3%</w:t>
            </w:r>
          </w:p>
        </w:tc>
        <w:tc>
          <w:tcPr>
            <w:tcW w:type="dxa" w:w="2340"/>
          </w:tcPr>
          <w:p>
            <w:r/>
            <w:r>
              <w:rPr>
                <w:rFonts w:ascii="Times New Roman" w:hAnsi="Times New Roman"/>
                <w:sz w:val="20"/>
              </w:rPr>
              <w:t>54.5%</w:t>
            </w:r>
          </w:p>
        </w:tc>
      </w:tr>
    </w:tbl>
    <w:p/>
    <w:p>
      <w:r>
        <w:rPr>
          <w:rFonts w:ascii="Times New Roman" w:hAnsi="Times New Roman"/>
          <w:b w:val="0"/>
          <w:i w:val="0"/>
          <w:sz w:val="24"/>
        </w:rPr>
        <w:t>The civic "floor"—the volunteering rate of socially isolated, high-school-educated adults—is approximately 12% regardless of generation. Social isolation creates a universal civic minimum. The generational differences emerge at the civic "ceiling," where Gen Z's maximum (42.8%) lags behind older cohorts (51–55%).</w:t>
      </w:r>
    </w:p>
    <w:p>
      <w:pPr>
        <w:pStyle w:val="Heading2"/>
      </w:pPr>
      <w:r>
        <w:rPr>
          <w:rFonts w:ascii="Times New Roman" w:hAnsi="Times New Roman"/>
          <w:color w:val="000000"/>
        </w:rPr>
        <w:t>4.6 The Counterintuitive Finding</w:t>
      </w:r>
    </w:p>
    <w:p>
      <w:r>
        <w:rPr>
          <w:rFonts w:ascii="Times New Roman" w:hAnsi="Times New Roman"/>
          <w:b w:val="0"/>
          <w:i w:val="0"/>
          <w:sz w:val="24"/>
        </w:rPr>
        <w:t>Perhaps the most striking result: the most socially connected, college-educated, politically conversant Gen Z members (N = 246) volunteer at 45.5%—higher than the average Baby Boomer (32.3%). The "generational decline" narrative collapses once socialization is accounted for. The crisis is not that a generation has abandoned civic life; it is that nearly half a generation has been cut off from the social infrastructure that makes civic life possible.</w:t>
      </w:r>
    </w:p>
    <w:p>
      <w:pPr>
        <w:pStyle w:val="Heading1"/>
      </w:pPr>
      <w:r>
        <w:rPr>
          <w:rFonts w:ascii="Times New Roman" w:hAnsi="Times New Roman"/>
          <w:color w:val="000000"/>
        </w:rPr>
        <w:t>5. The Digital Native Paradox</w:t>
      </w:r>
    </w:p>
    <w:p>
      <w:pPr>
        <w:pStyle w:val="Heading2"/>
      </w:pPr>
      <w:r>
        <w:rPr>
          <w:rFonts w:ascii="Times New Roman" w:hAnsi="Times New Roman"/>
          <w:color w:val="000000"/>
        </w:rPr>
        <w:t>5.1 Social Media Compensates for Isolation—But More for Boomers</w:t>
      </w:r>
    </w:p>
    <w:p>
      <w:pPr>
        <w:spacing w:after="120"/>
      </w:pPr>
      <w:r>
        <w:rPr>
          <w:rFonts w:ascii="Times New Roman" w:hAnsi="Times New Roman"/>
          <w:b/>
          <w:i w:val="0"/>
          <w:sz w:val="24"/>
        </w:rPr>
        <w:t>Table 8. Social Media Compensation Effect Among Socially Isolated Individuals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Generation</w:t>
            </w:r>
          </w:p>
        </w:tc>
        <w:tc>
          <w:tcPr>
            <w:tcW w:type="dxa" w:w="2340"/>
          </w:tcPr>
          <w:p>
            <w:r/>
            <w:r>
              <w:rPr>
                <w:rFonts w:ascii="Times New Roman" w:hAnsi="Times New Roman"/>
                <w:b/>
                <w:sz w:val="20"/>
              </w:rPr>
              <w:t>Isolated + SM Use</w:t>
            </w:r>
          </w:p>
        </w:tc>
        <w:tc>
          <w:tcPr>
            <w:tcW w:type="dxa" w:w="2340"/>
          </w:tcPr>
          <w:p>
            <w:r/>
            <w:r>
              <w:rPr>
                <w:rFonts w:ascii="Times New Roman" w:hAnsi="Times New Roman"/>
                <w:b/>
                <w:sz w:val="20"/>
              </w:rPr>
              <w:t>Isolated + No SM</w:t>
            </w:r>
          </w:p>
        </w:tc>
        <w:tc>
          <w:tcPr>
            <w:tcW w:type="dxa" w:w="2340"/>
          </w:tcPr>
          <w:p>
            <w:r/>
            <w:r>
              <w:rPr>
                <w:rFonts w:ascii="Times New Roman" w:hAnsi="Times New Roman"/>
                <w:b/>
                <w:sz w:val="20"/>
              </w:rPr>
              <w:t>Compensation Effect</w:t>
            </w:r>
          </w:p>
        </w:tc>
      </w:tr>
      <w:tr>
        <w:tc>
          <w:tcPr>
            <w:tcW w:type="dxa" w:w="2340"/>
          </w:tcPr>
          <w:p>
            <w:r/>
            <w:r>
              <w:rPr>
                <w:rFonts w:ascii="Times New Roman" w:hAnsi="Times New Roman"/>
                <w:sz w:val="20"/>
              </w:rPr>
              <w:t>Gen Z</w:t>
            </w:r>
          </w:p>
        </w:tc>
        <w:tc>
          <w:tcPr>
            <w:tcW w:type="dxa" w:w="2340"/>
          </w:tcPr>
          <w:p>
            <w:r/>
            <w:r>
              <w:rPr>
                <w:rFonts w:ascii="Times New Roman" w:hAnsi="Times New Roman"/>
                <w:sz w:val="20"/>
              </w:rPr>
              <w:t>22.6%</w:t>
            </w:r>
          </w:p>
        </w:tc>
        <w:tc>
          <w:tcPr>
            <w:tcW w:type="dxa" w:w="2340"/>
          </w:tcPr>
          <w:p>
            <w:r/>
            <w:r>
              <w:rPr>
                <w:rFonts w:ascii="Times New Roman" w:hAnsi="Times New Roman"/>
                <w:sz w:val="20"/>
              </w:rPr>
              <w:t>17.0%</w:t>
            </w:r>
          </w:p>
        </w:tc>
        <w:tc>
          <w:tcPr>
            <w:tcW w:type="dxa" w:w="2340"/>
          </w:tcPr>
          <w:p>
            <w:r/>
            <w:r>
              <w:rPr>
                <w:rFonts w:ascii="Times New Roman" w:hAnsi="Times New Roman"/>
                <w:sz w:val="20"/>
              </w:rPr>
              <w:t>+5.5pp</w:t>
            </w:r>
          </w:p>
        </w:tc>
      </w:tr>
      <w:tr>
        <w:tc>
          <w:tcPr>
            <w:tcW w:type="dxa" w:w="2340"/>
          </w:tcPr>
          <w:p>
            <w:r/>
            <w:r>
              <w:rPr>
                <w:rFonts w:ascii="Times New Roman" w:hAnsi="Times New Roman"/>
                <w:sz w:val="20"/>
              </w:rPr>
              <w:t>Millennial</w:t>
            </w:r>
          </w:p>
        </w:tc>
        <w:tc>
          <w:tcPr>
            <w:tcW w:type="dxa" w:w="2340"/>
          </w:tcPr>
          <w:p>
            <w:r/>
            <w:r>
              <w:rPr>
                <w:rFonts w:ascii="Times New Roman" w:hAnsi="Times New Roman"/>
                <w:sz w:val="20"/>
              </w:rPr>
              <w:t>28.6%</w:t>
            </w:r>
          </w:p>
        </w:tc>
        <w:tc>
          <w:tcPr>
            <w:tcW w:type="dxa" w:w="2340"/>
          </w:tcPr>
          <w:p>
            <w:r/>
            <w:r>
              <w:rPr>
                <w:rFonts w:ascii="Times New Roman" w:hAnsi="Times New Roman"/>
                <w:sz w:val="20"/>
              </w:rPr>
              <w:t>21.5%</w:t>
            </w:r>
          </w:p>
        </w:tc>
        <w:tc>
          <w:tcPr>
            <w:tcW w:type="dxa" w:w="2340"/>
          </w:tcPr>
          <w:p>
            <w:r/>
            <w:r>
              <w:rPr>
                <w:rFonts w:ascii="Times New Roman" w:hAnsi="Times New Roman"/>
                <w:sz w:val="20"/>
              </w:rPr>
              <w:t>+7.1pp</w:t>
            </w:r>
          </w:p>
        </w:tc>
      </w:tr>
      <w:tr>
        <w:tc>
          <w:tcPr>
            <w:tcW w:type="dxa" w:w="2340"/>
          </w:tcPr>
          <w:p>
            <w:r/>
            <w:r>
              <w:rPr>
                <w:rFonts w:ascii="Times New Roman" w:hAnsi="Times New Roman"/>
                <w:sz w:val="20"/>
              </w:rPr>
              <w:t>Gen X</w:t>
            </w:r>
          </w:p>
        </w:tc>
        <w:tc>
          <w:tcPr>
            <w:tcW w:type="dxa" w:w="2340"/>
          </w:tcPr>
          <w:p>
            <w:r/>
            <w:r>
              <w:rPr>
                <w:rFonts w:ascii="Times New Roman" w:hAnsi="Times New Roman"/>
                <w:sz w:val="20"/>
              </w:rPr>
              <w:t>29.5%</w:t>
            </w:r>
          </w:p>
        </w:tc>
        <w:tc>
          <w:tcPr>
            <w:tcW w:type="dxa" w:w="2340"/>
          </w:tcPr>
          <w:p>
            <w:r/>
            <w:r>
              <w:rPr>
                <w:rFonts w:ascii="Times New Roman" w:hAnsi="Times New Roman"/>
                <w:sz w:val="20"/>
              </w:rPr>
              <w:t>22.7%</w:t>
            </w:r>
          </w:p>
        </w:tc>
        <w:tc>
          <w:tcPr>
            <w:tcW w:type="dxa" w:w="2340"/>
          </w:tcPr>
          <w:p>
            <w:r/>
            <w:r>
              <w:rPr>
                <w:rFonts w:ascii="Times New Roman" w:hAnsi="Times New Roman"/>
                <w:sz w:val="20"/>
              </w:rPr>
              <w:t>+6.8pp</w:t>
            </w:r>
          </w:p>
        </w:tc>
      </w:tr>
      <w:tr>
        <w:tc>
          <w:tcPr>
            <w:tcW w:type="dxa" w:w="2340"/>
          </w:tcPr>
          <w:p>
            <w:r/>
            <w:r>
              <w:rPr>
                <w:rFonts w:ascii="Times New Roman" w:hAnsi="Times New Roman"/>
                <w:sz w:val="20"/>
              </w:rPr>
              <w:t>Boomer</w:t>
            </w:r>
          </w:p>
        </w:tc>
        <w:tc>
          <w:tcPr>
            <w:tcW w:type="dxa" w:w="2340"/>
          </w:tcPr>
          <w:p>
            <w:r/>
            <w:r>
              <w:rPr>
                <w:rFonts w:ascii="Times New Roman" w:hAnsi="Times New Roman"/>
                <w:sz w:val="20"/>
              </w:rPr>
              <w:t>28.3%</w:t>
            </w:r>
          </w:p>
        </w:tc>
        <w:tc>
          <w:tcPr>
            <w:tcW w:type="dxa" w:w="2340"/>
          </w:tcPr>
          <w:p>
            <w:r/>
            <w:r>
              <w:rPr>
                <w:rFonts w:ascii="Times New Roman" w:hAnsi="Times New Roman"/>
                <w:sz w:val="20"/>
              </w:rPr>
              <w:t>17.0%</w:t>
            </w:r>
          </w:p>
        </w:tc>
        <w:tc>
          <w:tcPr>
            <w:tcW w:type="dxa" w:w="2340"/>
          </w:tcPr>
          <w:p>
            <w:r/>
            <w:r>
              <w:rPr>
                <w:rFonts w:ascii="Times New Roman" w:hAnsi="Times New Roman"/>
                <w:sz w:val="20"/>
              </w:rPr>
              <w:t>+11.3pp</w:t>
            </w:r>
          </w:p>
        </w:tc>
      </w:tr>
      <w:tr>
        <w:tc>
          <w:tcPr>
            <w:tcW w:type="dxa" w:w="2340"/>
          </w:tcPr>
          <w:p>
            <w:r/>
            <w:r>
              <w:rPr>
                <w:rFonts w:ascii="Times New Roman" w:hAnsi="Times New Roman"/>
                <w:sz w:val="20"/>
              </w:rPr>
              <w:t>Silent</w:t>
            </w:r>
          </w:p>
        </w:tc>
        <w:tc>
          <w:tcPr>
            <w:tcW w:type="dxa" w:w="2340"/>
          </w:tcPr>
          <w:p>
            <w:r/>
            <w:r>
              <w:rPr>
                <w:rFonts w:ascii="Times New Roman" w:hAnsi="Times New Roman"/>
                <w:sz w:val="20"/>
              </w:rPr>
              <w:t>23.2%</w:t>
            </w:r>
          </w:p>
        </w:tc>
        <w:tc>
          <w:tcPr>
            <w:tcW w:type="dxa" w:w="2340"/>
          </w:tcPr>
          <w:p>
            <w:r/>
            <w:r>
              <w:rPr>
                <w:rFonts w:ascii="Times New Roman" w:hAnsi="Times New Roman"/>
                <w:sz w:val="20"/>
              </w:rPr>
              <w:t>12.2%</w:t>
            </w:r>
          </w:p>
        </w:tc>
        <w:tc>
          <w:tcPr>
            <w:tcW w:type="dxa" w:w="2340"/>
          </w:tcPr>
          <w:p>
            <w:r/>
            <w:r>
              <w:rPr>
                <w:rFonts w:ascii="Times New Roman" w:hAnsi="Times New Roman"/>
                <w:sz w:val="20"/>
              </w:rPr>
              <w:t>+10.9pp</w:t>
            </w:r>
          </w:p>
        </w:tc>
      </w:tr>
    </w:tbl>
    <w:p/>
    <w:p>
      <w:r>
        <w:rPr>
          <w:rFonts w:ascii="Times New Roman" w:hAnsi="Times New Roman"/>
          <w:b w:val="0"/>
          <w:i w:val="0"/>
          <w:sz w:val="24"/>
        </w:rPr>
        <w:t>Among socially connected individuals, the pattern is even starker: for Gen Z, civic social media use adds only 1.6pp to volunteering, while for connected Boomers it adds 9.9pp. Social media appears to function as a genuinely new civic channel for older adults but is merely ambient noise for a generation that has never known life without it.</w:t>
      </w:r>
    </w:p>
    <w:p>
      <w:pPr>
        <w:pStyle w:val="Heading2"/>
      </w:pPr>
      <w:r>
        <w:rPr>
          <w:rFonts w:ascii="Times New Roman" w:hAnsi="Times New Roman"/>
          <w:color w:val="000000"/>
        </w:rPr>
        <w:t>5.2 The Civic Substitution: From Volunteering to Boycotting</w:t>
      </w:r>
    </w:p>
    <w:p>
      <w:pPr>
        <w:spacing w:after="120"/>
      </w:pPr>
      <w:r>
        <w:rPr>
          <w:rFonts w:ascii="Times New Roman" w:hAnsi="Times New Roman"/>
          <w:b/>
          <w:i w:val="0"/>
          <w:sz w:val="24"/>
        </w:rPr>
        <w:t>Table 9. Change in Civic Activities, 2017–2023, by Generation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Generation</w:t>
            </w:r>
          </w:p>
        </w:tc>
        <w:tc>
          <w:tcPr>
            <w:tcW w:type="dxa" w:w="1872"/>
          </w:tcPr>
          <w:p>
            <w:r/>
            <w:r>
              <w:rPr>
                <w:rFonts w:ascii="Times New Roman" w:hAnsi="Times New Roman"/>
                <w:b/>
                <w:sz w:val="20"/>
              </w:rPr>
              <w:t>Volunteering Δ</w:t>
            </w:r>
          </w:p>
        </w:tc>
        <w:tc>
          <w:tcPr>
            <w:tcW w:type="dxa" w:w="1872"/>
          </w:tcPr>
          <w:p>
            <w:r/>
            <w:r>
              <w:rPr>
                <w:rFonts w:ascii="Times New Roman" w:hAnsi="Times New Roman"/>
                <w:b/>
                <w:sz w:val="20"/>
              </w:rPr>
              <w:t>Boycotting Δ</w:t>
            </w:r>
          </w:p>
        </w:tc>
        <w:tc>
          <w:tcPr>
            <w:tcW w:type="dxa" w:w="1872"/>
          </w:tcPr>
          <w:p>
            <w:r/>
            <w:r>
              <w:rPr>
                <w:rFonts w:ascii="Times New Roman" w:hAnsi="Times New Roman"/>
                <w:b/>
                <w:sz w:val="20"/>
              </w:rPr>
              <w:t>Donating Δ</w:t>
            </w:r>
          </w:p>
        </w:tc>
        <w:tc>
          <w:tcPr>
            <w:tcW w:type="dxa" w:w="1872"/>
          </w:tcPr>
          <w:p>
            <w:r/>
            <w:r>
              <w:rPr>
                <w:rFonts w:ascii="Times New Roman" w:hAnsi="Times New Roman"/>
                <w:b/>
                <w:sz w:val="20"/>
              </w:rPr>
              <w:t>Contacting Officials Δ</w:t>
            </w:r>
          </w:p>
        </w:tc>
      </w:tr>
      <w:tr>
        <w:tc>
          <w:tcPr>
            <w:tcW w:type="dxa" w:w="1872"/>
          </w:tcPr>
          <w:p>
            <w:r/>
            <w:r>
              <w:rPr>
                <w:rFonts w:ascii="Times New Roman" w:hAnsi="Times New Roman"/>
                <w:sz w:val="20"/>
              </w:rPr>
              <w:t>Gen Z</w:t>
            </w:r>
          </w:p>
        </w:tc>
        <w:tc>
          <w:tcPr>
            <w:tcW w:type="dxa" w:w="1872"/>
          </w:tcPr>
          <w:p>
            <w:r/>
            <w:r>
              <w:rPr>
                <w:rFonts w:ascii="Times New Roman" w:hAnsi="Times New Roman"/>
                <w:sz w:val="20"/>
              </w:rPr>
              <w:t>−2.6pp</w:t>
            </w:r>
          </w:p>
        </w:tc>
        <w:tc>
          <w:tcPr>
            <w:tcW w:type="dxa" w:w="1872"/>
          </w:tcPr>
          <w:p>
            <w:r/>
            <w:r>
              <w:rPr>
                <w:rFonts w:ascii="Times New Roman" w:hAnsi="Times New Roman"/>
                <w:sz w:val="20"/>
              </w:rPr>
              <w:t>+8.3pp</w:t>
            </w:r>
          </w:p>
        </w:tc>
        <w:tc>
          <w:tcPr>
            <w:tcW w:type="dxa" w:w="1872"/>
          </w:tcPr>
          <w:p>
            <w:r/>
            <w:r>
              <w:rPr>
                <w:rFonts w:ascii="Times New Roman" w:hAnsi="Times New Roman"/>
                <w:sz w:val="20"/>
              </w:rPr>
              <w:t>+7.1pp</w:t>
            </w:r>
          </w:p>
        </w:tc>
        <w:tc>
          <w:tcPr>
            <w:tcW w:type="dxa" w:w="1872"/>
          </w:tcPr>
          <w:p>
            <w:r/>
            <w:r>
              <w:rPr>
                <w:rFonts w:ascii="Times New Roman" w:hAnsi="Times New Roman"/>
                <w:sz w:val="20"/>
              </w:rPr>
              <w:t>+0.6pp</w:t>
            </w:r>
          </w:p>
        </w:tc>
      </w:tr>
      <w:tr>
        <w:tc>
          <w:tcPr>
            <w:tcW w:type="dxa" w:w="1872"/>
          </w:tcPr>
          <w:p>
            <w:r/>
            <w:r>
              <w:rPr>
                <w:rFonts w:ascii="Times New Roman" w:hAnsi="Times New Roman"/>
                <w:sz w:val="20"/>
              </w:rPr>
              <w:t>Millennial</w:t>
            </w:r>
          </w:p>
        </w:tc>
        <w:tc>
          <w:tcPr>
            <w:tcW w:type="dxa" w:w="1872"/>
          </w:tcPr>
          <w:p>
            <w:r/>
            <w:r>
              <w:rPr>
                <w:rFonts w:ascii="Times New Roman" w:hAnsi="Times New Roman"/>
                <w:sz w:val="20"/>
              </w:rPr>
              <w:t>+2.8pp</w:t>
            </w:r>
          </w:p>
        </w:tc>
        <w:tc>
          <w:tcPr>
            <w:tcW w:type="dxa" w:w="1872"/>
          </w:tcPr>
          <w:p>
            <w:r/>
            <w:r>
              <w:rPr>
                <w:rFonts w:ascii="Times New Roman" w:hAnsi="Times New Roman"/>
                <w:sz w:val="20"/>
              </w:rPr>
              <w:t>+6.4pp</w:t>
            </w:r>
          </w:p>
        </w:tc>
        <w:tc>
          <w:tcPr>
            <w:tcW w:type="dxa" w:w="1872"/>
          </w:tcPr>
          <w:p>
            <w:r/>
            <w:r>
              <w:rPr>
                <w:rFonts w:ascii="Times New Roman" w:hAnsi="Times New Roman"/>
                <w:sz w:val="20"/>
              </w:rPr>
              <w:t>+4.4pp</w:t>
            </w:r>
          </w:p>
        </w:tc>
        <w:tc>
          <w:tcPr>
            <w:tcW w:type="dxa" w:w="1872"/>
          </w:tcPr>
          <w:p>
            <w:r/>
            <w:r>
              <w:rPr>
                <w:rFonts w:ascii="Times New Roman" w:hAnsi="Times New Roman"/>
                <w:sz w:val="20"/>
              </w:rPr>
              <w:t>+0.1pp</w:t>
            </w:r>
          </w:p>
        </w:tc>
      </w:tr>
      <w:tr>
        <w:tc>
          <w:tcPr>
            <w:tcW w:type="dxa" w:w="1872"/>
          </w:tcPr>
          <w:p>
            <w:r/>
            <w:r>
              <w:rPr>
                <w:rFonts w:ascii="Times New Roman" w:hAnsi="Times New Roman"/>
                <w:sz w:val="20"/>
              </w:rPr>
              <w:t>Gen X</w:t>
            </w:r>
          </w:p>
        </w:tc>
        <w:tc>
          <w:tcPr>
            <w:tcW w:type="dxa" w:w="1872"/>
          </w:tcPr>
          <w:p>
            <w:r/>
            <w:r>
              <w:rPr>
                <w:rFonts w:ascii="Times New Roman" w:hAnsi="Times New Roman"/>
                <w:sz w:val="20"/>
              </w:rPr>
              <w:t>−4.3pp</w:t>
            </w:r>
          </w:p>
        </w:tc>
        <w:tc>
          <w:tcPr>
            <w:tcW w:type="dxa" w:w="1872"/>
          </w:tcPr>
          <w:p>
            <w:r/>
            <w:r>
              <w:rPr>
                <w:rFonts w:ascii="Times New Roman" w:hAnsi="Times New Roman"/>
                <w:sz w:val="20"/>
              </w:rPr>
              <w:t>+4.9pp</w:t>
            </w:r>
          </w:p>
        </w:tc>
        <w:tc>
          <w:tcPr>
            <w:tcW w:type="dxa" w:w="1872"/>
          </w:tcPr>
          <w:p>
            <w:r/>
            <w:r>
              <w:rPr>
                <w:rFonts w:ascii="Times New Roman" w:hAnsi="Times New Roman"/>
                <w:sz w:val="20"/>
              </w:rPr>
              <w:t>−2.9pp</w:t>
            </w:r>
          </w:p>
        </w:tc>
        <w:tc>
          <w:tcPr>
            <w:tcW w:type="dxa" w:w="1872"/>
          </w:tcPr>
          <w:p>
            <w:r/>
            <w:r>
              <w:rPr>
                <w:rFonts w:ascii="Times New Roman" w:hAnsi="Times New Roman"/>
                <w:sz w:val="20"/>
              </w:rPr>
              <w:t>−2.1pp</w:t>
            </w:r>
          </w:p>
        </w:tc>
      </w:tr>
      <w:tr>
        <w:tc>
          <w:tcPr>
            <w:tcW w:type="dxa" w:w="1872"/>
          </w:tcPr>
          <w:p>
            <w:r/>
            <w:r>
              <w:rPr>
                <w:rFonts w:ascii="Times New Roman" w:hAnsi="Times New Roman"/>
                <w:sz w:val="20"/>
              </w:rPr>
              <w:t>Boomer</w:t>
            </w:r>
          </w:p>
        </w:tc>
        <w:tc>
          <w:tcPr>
            <w:tcW w:type="dxa" w:w="1872"/>
          </w:tcPr>
          <w:p>
            <w:r/>
            <w:r>
              <w:rPr>
                <w:rFonts w:ascii="Times New Roman" w:hAnsi="Times New Roman"/>
                <w:sz w:val="20"/>
              </w:rPr>
              <w:t>−2.3pp</w:t>
            </w:r>
          </w:p>
        </w:tc>
        <w:tc>
          <w:tcPr>
            <w:tcW w:type="dxa" w:w="1872"/>
          </w:tcPr>
          <w:p>
            <w:r/>
            <w:r>
              <w:rPr>
                <w:rFonts w:ascii="Times New Roman" w:hAnsi="Times New Roman"/>
                <w:sz w:val="20"/>
              </w:rPr>
              <w:t>+4.0pp</w:t>
            </w:r>
          </w:p>
        </w:tc>
        <w:tc>
          <w:tcPr>
            <w:tcW w:type="dxa" w:w="1872"/>
          </w:tcPr>
          <w:p>
            <w:r/>
            <w:r>
              <w:rPr>
                <w:rFonts w:ascii="Times New Roman" w:hAnsi="Times New Roman"/>
                <w:sz w:val="20"/>
              </w:rPr>
              <w:t>−1.9pp</w:t>
            </w:r>
          </w:p>
        </w:tc>
        <w:tc>
          <w:tcPr>
            <w:tcW w:type="dxa" w:w="1872"/>
          </w:tcPr>
          <w:p>
            <w:r/>
            <w:r>
              <w:rPr>
                <w:rFonts w:ascii="Times New Roman" w:hAnsi="Times New Roman"/>
                <w:sz w:val="20"/>
              </w:rPr>
              <w:t>−4.0pp</w:t>
            </w:r>
          </w:p>
        </w:tc>
      </w:tr>
    </w:tbl>
    <w:p/>
    <w:p>
      <w:r>
        <w:rPr>
          <w:rFonts w:ascii="Times New Roman" w:hAnsi="Times New Roman"/>
          <w:b w:val="0"/>
          <w:i w:val="0"/>
          <w:sz w:val="24"/>
        </w:rPr>
        <w:t>Gen Z's boycotting rate more than doubled from 6.5% to 14.8% between 2017 and 2023, even as volunteering declined. This suggests a "consumerization" of civic engagement—replacing time-intensive, community-embedded participation with individual, market-mediated action. The phenomenon aligns with Bennett and Segerberg's (2012) concept of connective action displacing traditional collective action.</w:t>
      </w:r>
    </w:p>
    <w:p>
      <w:pPr>
        <w:pStyle w:val="Heading1"/>
      </w:pPr>
      <w:r>
        <w:rPr>
          <w:rFonts w:ascii="Times New Roman" w:hAnsi="Times New Roman"/>
          <w:color w:val="000000"/>
        </w:rPr>
        <w:t>6. COVID-19 as Amplifier, Not Cause</w:t>
      </w:r>
    </w:p>
    <w:p>
      <w:r>
        <w:rPr>
          <w:rFonts w:ascii="Times New Roman" w:hAnsi="Times New Roman"/>
          <w:b w:val="0"/>
          <w:i w:val="0"/>
          <w:sz w:val="24"/>
        </w:rPr>
        <w:t>The four-wave design (2017, 2019, 2021, 2023) allows examination of three distinct generational responses to the pandemic:</w:t>
      </w:r>
    </w:p>
    <w:p>
      <w:r>
        <w:rPr>
          <w:rFonts w:ascii="Times New Roman" w:hAnsi="Times New Roman"/>
          <w:b/>
          <w:i w:val="0"/>
          <w:sz w:val="24"/>
        </w:rPr>
        <w:t xml:space="preserve">Gen Z: Deepening isolation with civic substitution. </w:t>
      </w:r>
      <w:r>
        <w:rPr>
          <w:rFonts w:ascii="Times New Roman" w:hAnsi="Times New Roman"/>
          <w:b w:val="0"/>
          <w:i w:val="0"/>
          <w:sz w:val="24"/>
        </w:rPr>
        <w:t>Social isolation peaked during COVID but was already severe pre-pandemic. Civic disengagement actually improved slightly by 2023—but only because boycotting doubled, not because volunteering or formal participation recovered.</w:t>
      </w:r>
    </w:p>
    <w:p>
      <w:r>
        <w:rPr>
          <w:rFonts w:ascii="Times New Roman" w:hAnsi="Times New Roman"/>
          <w:b/>
          <w:i w:val="0"/>
          <w:sz w:val="24"/>
        </w:rPr>
        <w:t xml:space="preserve">Millennials: Steady civic maturation despite disruption. </w:t>
      </w:r>
      <w:r>
        <w:rPr>
          <w:rFonts w:ascii="Times New Roman" w:hAnsi="Times New Roman"/>
          <w:b w:val="0"/>
          <w:i w:val="0"/>
          <w:sz w:val="24"/>
        </w:rPr>
        <w:t>The only generation showing continuous decline in disengagement and continuous growth in multi-domain civic activity, even through the pandemic. This may reflect life-course effects combined with political activation around social justice movements.</w:t>
      </w:r>
    </w:p>
    <w:p>
      <w:r>
        <w:rPr>
          <w:rFonts w:ascii="Times New Roman" w:hAnsi="Times New Roman"/>
          <w:b/>
          <w:i w:val="0"/>
          <w:sz w:val="24"/>
        </w:rPr>
        <w:t xml:space="preserve">Boomers: Classic V-shaped recovery. </w:t>
      </w:r>
      <w:r>
        <w:rPr>
          <w:rFonts w:ascii="Times New Roman" w:hAnsi="Times New Roman"/>
          <w:b w:val="0"/>
          <w:i w:val="0"/>
          <w:sz w:val="24"/>
        </w:rPr>
        <w:t>Volunteering dropped sharply during COVID (34.2% → 28.4%) but substantially recovered (31.7%), while donation and boycotting rates remained stable or grew. Their civic infrastructure proved resilient.</w:t>
      </w:r>
    </w:p>
    <w:p>
      <w:pPr>
        <w:pStyle w:val="Heading1"/>
      </w:pPr>
      <w:r>
        <w:rPr>
          <w:rFonts w:ascii="Times New Roman" w:hAnsi="Times New Roman"/>
          <w:color w:val="000000"/>
        </w:rPr>
        <w:t>7. Proposed Research Framework</w:t>
      </w:r>
    </w:p>
    <w:p>
      <w:pPr>
        <w:pStyle w:val="Heading2"/>
      </w:pPr>
      <w:r>
        <w:rPr>
          <w:rFonts w:ascii="Times New Roman" w:hAnsi="Times New Roman"/>
          <w:color w:val="000000"/>
        </w:rPr>
        <w:t>7.1 Research Questions</w:t>
      </w:r>
    </w:p>
    <w:p>
      <w:r>
        <w:rPr>
          <w:rFonts w:ascii="Times New Roman" w:hAnsi="Times New Roman"/>
          <w:b/>
          <w:i w:val="0"/>
          <w:sz w:val="24"/>
        </w:rPr>
        <w:t xml:space="preserve">RQ1 (Typological Structure): </w:t>
      </w:r>
      <w:r>
        <w:rPr>
          <w:rFonts w:ascii="Times New Roman" w:hAnsi="Times New Roman"/>
          <w:b w:val="0"/>
          <w:i w:val="0"/>
          <w:sz w:val="24"/>
        </w:rPr>
        <w:t>What distinct civic engagement profiles emerge from Latent Profile Analysis of the national CPS-CEV sample, and how does generational membership predict profile classification?</w:t>
      </w:r>
    </w:p>
    <w:p>
      <w:r>
        <w:rPr>
          <w:rFonts w:ascii="Times New Roman" w:hAnsi="Times New Roman"/>
          <w:b w:val="0"/>
          <w:i/>
          <w:sz w:val="24"/>
        </w:rPr>
        <w:t>Expected: 4–6 profiles including "Isolated Disengaged" (~22%), "Connected Disengaged" (~14%), "Checkbook Citizens" (~22%), "Consumer Activists" (~8%), "Traditional Volunteers" (~14%), and "All-around Civic" (~14%). Gen Z will be disproportionately concentrated in the Isolated Disengaged profile.</w:t>
      </w:r>
    </w:p>
    <w:p>
      <w:r>
        <w:rPr>
          <w:rFonts w:ascii="Times New Roman" w:hAnsi="Times New Roman"/>
          <w:b/>
          <w:i w:val="0"/>
          <w:sz w:val="24"/>
        </w:rPr>
        <w:t xml:space="preserve">RQ2 (The Socialization Gradient): </w:t>
      </w:r>
      <w:r>
        <w:rPr>
          <w:rFonts w:ascii="Times New Roman" w:hAnsi="Times New Roman"/>
          <w:b w:val="0"/>
          <w:i w:val="0"/>
          <w:sz w:val="24"/>
        </w:rPr>
        <w:t>How does the predictive relationship between socialization frequency and volunteering vary across generational cohorts, and what role do education and digital connectivity play in moderating this relationship?</w:t>
      </w:r>
    </w:p>
    <w:p>
      <w:r>
        <w:rPr>
          <w:rFonts w:ascii="Times New Roman" w:hAnsi="Times New Roman"/>
          <w:b w:val="0"/>
          <w:i/>
          <w:sz w:val="24"/>
        </w:rPr>
        <w:t>Expected: GBM + SHAP analysis will identify socialization frequency as the top-ranked predictor across all profiles, with a pronounced nonlinear "first step" effect.</w:t>
      </w:r>
    </w:p>
    <w:p>
      <w:r>
        <w:rPr>
          <w:rFonts w:ascii="Times New Roman" w:hAnsi="Times New Roman"/>
          <w:b/>
          <w:i w:val="0"/>
          <w:sz w:val="24"/>
        </w:rPr>
        <w:t xml:space="preserve">RQ3 (Pandemic Structural Change): </w:t>
      </w:r>
      <w:r>
        <w:rPr>
          <w:rFonts w:ascii="Times New Roman" w:hAnsi="Times New Roman"/>
          <w:b w:val="0"/>
          <w:i w:val="0"/>
          <w:sz w:val="24"/>
        </w:rPr>
        <w:t>Did the COVID-19 pandemic alter the typological structure of civic engagement, and were these shifts consistent across generational cohorts?</w:t>
      </w:r>
    </w:p>
    <w:p>
      <w:r>
        <w:rPr>
          <w:rFonts w:ascii="Times New Roman" w:hAnsi="Times New Roman"/>
          <w:b w:val="0"/>
          <w:i/>
          <w:sz w:val="24"/>
        </w:rPr>
        <w:t>Expected: Profile distribution shifts showing Gen Z's "Isolated Disengaged" proportion peaking in 2021, with counter-trend Millennial growth in active profiles.</w:t>
      </w:r>
    </w:p>
    <w:p>
      <w:r>
        <w:rPr>
          <w:rFonts w:ascii="Times New Roman" w:hAnsi="Times New Roman"/>
          <w:b/>
          <w:i w:val="0"/>
          <w:sz w:val="24"/>
        </w:rPr>
        <w:t xml:space="preserve">RQ4 (The Digital Native Paradox): </w:t>
      </w:r>
      <w:r>
        <w:rPr>
          <w:rFonts w:ascii="Times New Roman" w:hAnsi="Times New Roman"/>
          <w:b w:val="0"/>
          <w:i w:val="0"/>
          <w:sz w:val="24"/>
        </w:rPr>
        <w:t>Does civic use of social media compensate for the civic consequences of social isolation, and does this compensation vary by generation?</w:t>
      </w:r>
    </w:p>
    <w:p>
      <w:r>
        <w:rPr>
          <w:rFonts w:ascii="Times New Roman" w:hAnsi="Times New Roman"/>
          <w:b w:val="0"/>
          <w:i/>
          <w:sz w:val="24"/>
        </w:rPr>
        <w:t>Expected: Social media compensation effect approximately +5.5pp for isolated Gen Z versus +11.3pp for isolated Boomers.</w:t>
      </w:r>
    </w:p>
    <w:p>
      <w:pPr>
        <w:pStyle w:val="Heading2"/>
      </w:pPr>
      <w:r>
        <w:rPr>
          <w:rFonts w:ascii="Times New Roman" w:hAnsi="Times New Roman"/>
          <w:color w:val="000000"/>
        </w:rPr>
        <w:t>7.2 Analytical Framework</w:t>
      </w:r>
    </w:p>
    <w:p>
      <w:r>
        <w:rPr>
          <w:rFonts w:ascii="Times New Roman" w:hAnsi="Times New Roman"/>
          <w:b/>
          <w:i w:val="0"/>
          <w:sz w:val="24"/>
        </w:rPr>
        <w:t xml:space="preserve">Phase 1: Latent Profile Analysis. </w:t>
      </w:r>
      <w:r>
        <w:rPr>
          <w:rFonts w:ascii="Times New Roman" w:hAnsi="Times New Roman"/>
          <w:b w:val="0"/>
          <w:i w:val="0"/>
          <w:sz w:val="24"/>
        </w:rPr>
        <w:t>Five indicators: CEBOYCOTT (binary), CEPUBOFF (binary), CEPOLCONV (frequency 1–6), CESOCIALIZE (frequency 1–6), VLMEMBERN (count). National sample (N ≈ 200,000). Model selection via BIC, entropy, and BLRT. Generation as auxiliary variable (BCH method).</w:t>
      </w:r>
    </w:p>
    <w:p>
      <w:r>
        <w:rPr>
          <w:rFonts w:ascii="Times New Roman" w:hAnsi="Times New Roman"/>
          <w:b/>
          <w:i w:val="0"/>
          <w:sz w:val="24"/>
        </w:rPr>
        <w:t xml:space="preserve">Phase 2: Profile-Stratified Prediction (GBM + SHAP). </w:t>
      </w:r>
      <w:r>
        <w:rPr>
          <w:rFonts w:ascii="Times New Roman" w:hAnsi="Times New Roman"/>
          <w:b w:val="0"/>
          <w:i w:val="0"/>
          <w:sz w:val="24"/>
        </w:rPr>
        <w:t>Gradient Boosting Machines predicting volunteering within each profile. TreeSHAP decomposition of feature contributions. Key predictors: generation, socialization frequency, education, employment, social media use, geography.</w:t>
      </w:r>
    </w:p>
    <w:p>
      <w:r>
        <w:rPr>
          <w:rFonts w:ascii="Times New Roman" w:hAnsi="Times New Roman"/>
          <w:b/>
          <w:i w:val="0"/>
          <w:sz w:val="24"/>
        </w:rPr>
        <w:t xml:space="preserve">Phase 3: Temporal Comparison. </w:t>
      </w:r>
      <w:r>
        <w:rPr>
          <w:rFonts w:ascii="Times New Roman" w:hAnsi="Times New Roman"/>
          <w:b w:val="0"/>
          <w:i w:val="0"/>
          <w:sz w:val="24"/>
        </w:rPr>
        <w:t>Profile distribution comparison across 2017, 2019, 2021, 2023 waves. Generation × wave interaction analysis. Pre-pandemic baseline vs. pandemic/post-pandemic periods.</w:t>
      </w:r>
    </w:p>
    <w:p>
      <w:r>
        <w:rPr>
          <w:rFonts w:ascii="Times New Roman" w:hAnsi="Times New Roman"/>
          <w:b/>
          <w:i w:val="0"/>
          <w:sz w:val="24"/>
        </w:rPr>
        <w:t xml:space="preserve">Phase 4: Social Media Moderation Analysis. </w:t>
      </w:r>
      <w:r>
        <w:rPr>
          <w:rFonts w:ascii="Times New Roman" w:hAnsi="Times New Roman"/>
          <w:b w:val="0"/>
          <w:i w:val="0"/>
          <w:sz w:val="24"/>
        </w:rPr>
        <w:t>Socialization × social media × generation three-way interaction. SHAP-based decomposition of compensation effects by profile and generation.</w:t>
      </w:r>
    </w:p>
    <w:p>
      <w:pPr>
        <w:pStyle w:val="Heading1"/>
      </w:pPr>
      <w:r>
        <w:rPr>
          <w:rFonts w:ascii="Times New Roman" w:hAnsi="Times New Roman"/>
          <w:color w:val="000000"/>
        </w:rPr>
        <w:t>8. Significance and Implications</w:t>
      </w:r>
    </w:p>
    <w:p>
      <w:pPr>
        <w:pStyle w:val="Heading2"/>
      </w:pPr>
      <w:r>
        <w:rPr>
          <w:rFonts w:ascii="Times New Roman" w:hAnsi="Times New Roman"/>
          <w:color w:val="000000"/>
        </w:rPr>
        <w:t>8.1 For Community Development and Extension</w:t>
      </w:r>
    </w:p>
    <w:p>
      <w:r>
        <w:rPr>
          <w:rFonts w:ascii="Times New Roman" w:hAnsi="Times New Roman"/>
          <w:b w:val="0"/>
          <w:i w:val="0"/>
          <w:sz w:val="24"/>
        </w:rPr>
        <w:t>The finding that the "first step" from never socializing to even minimal social contact produces the largest civic engagement gain (10–14pp) has direct programmatic implications. Community development practitioners and Extension educators need not aim for intensive social integration—even low-threshold social programming (community meals, drop-in events, casual gathering spaces) may produce disproportionate civic returns, particularly for socially isolated young adults.</w:t>
      </w:r>
    </w:p>
    <w:p>
      <w:pPr>
        <w:pStyle w:val="Heading2"/>
      </w:pPr>
      <w:r>
        <w:rPr>
          <w:rFonts w:ascii="Times New Roman" w:hAnsi="Times New Roman"/>
          <w:color w:val="000000"/>
        </w:rPr>
        <w:t>8.2 For Policy</w:t>
      </w:r>
    </w:p>
    <w:p>
      <w:r>
        <w:rPr>
          <w:rFonts w:ascii="Times New Roman" w:hAnsi="Times New Roman"/>
          <w:b w:val="0"/>
          <w:i w:val="0"/>
          <w:sz w:val="24"/>
        </w:rPr>
        <w:t>The failure of education and employment to resolve Gen Z's socialization deficit challenges two dominant policy assumptions: (1) that expanding educational access inherently strengthens civic capacity, and (2) that labor market integration provides a sufficient pathway to community connection. Our data suggests that civic infrastructure—the physical and institutional spaces where people encounter one another—requires deliberate investment independent of human capital development.</w:t>
      </w:r>
    </w:p>
    <w:p>
      <w:pPr>
        <w:pStyle w:val="Heading2"/>
      </w:pPr>
      <w:r>
        <w:rPr>
          <w:rFonts w:ascii="Times New Roman" w:hAnsi="Times New Roman"/>
          <w:color w:val="000000"/>
        </w:rPr>
        <w:t>8.3 For the Loneliness Conversation</w:t>
      </w:r>
    </w:p>
    <w:p>
      <w:r>
        <w:rPr>
          <w:rFonts w:ascii="Times New Roman" w:hAnsi="Times New Roman"/>
          <w:b w:val="0"/>
          <w:i w:val="0"/>
          <w:sz w:val="24"/>
        </w:rPr>
        <w:t>By connecting the Surgeon General's loneliness epidemic to measurable civic outcomes using a nationally representative dataset, this study adds democratic health to the growing case for treating social isolation as a public priority. The finding that approximately 60% of Gen Z is completely civically disengaged—and that this is primarily a socialization problem, not a values or attitude problem—reframes the generational discourse from "young people don't care" to "young people aren't connected."</w:t>
      </w:r>
    </w:p>
    <w:p>
      <w:pPr>
        <w:pStyle w:val="Heading1"/>
      </w:pPr>
      <w:r>
        <w:rPr>
          <w:rFonts w:ascii="Times New Roman" w:hAnsi="Times New Roman"/>
          <w:color w:val="000000"/>
        </w:rPr>
        <w:t>9. Open Questions for Discussion</w:t>
      </w:r>
    </w:p>
    <w:p>
      <w:r>
        <w:rPr>
          <w:rFonts w:ascii="Times New Roman" w:hAnsi="Times New Roman"/>
          <w:b/>
          <w:i w:val="0"/>
          <w:sz w:val="24"/>
        </w:rPr>
        <w:t xml:space="preserve">1. Scope: </w:t>
      </w:r>
      <w:r>
        <w:rPr>
          <w:rFonts w:ascii="Times New Roman" w:hAnsi="Times New Roman"/>
          <w:b w:val="0"/>
          <w:i w:val="0"/>
          <w:sz w:val="24"/>
        </w:rPr>
        <w:t>Do we commit to the national framing, or maintain a PA focus with national context? Our recommendation is national with PA as an optional illustrative case.</w:t>
      </w:r>
    </w:p>
    <w:p>
      <w:r>
        <w:rPr>
          <w:rFonts w:ascii="Times New Roman" w:hAnsi="Times New Roman"/>
          <w:b/>
          <w:i w:val="0"/>
          <w:sz w:val="24"/>
        </w:rPr>
        <w:t xml:space="preserve">2. Title and framing: </w:t>
      </w:r>
      <w:r>
        <w:rPr>
          <w:rFonts w:ascii="Times New Roman" w:hAnsi="Times New Roman"/>
          <w:b w:val="0"/>
          <w:i w:val="0"/>
          <w:sz w:val="24"/>
        </w:rPr>
        <w:t>"Bowling Alone, Scrolling Together" positions us in conversation with Putnam's foundational work. Is this appropriately ambitious?</w:t>
      </w:r>
    </w:p>
    <w:p>
      <w:r>
        <w:rPr>
          <w:rFonts w:ascii="Times New Roman" w:hAnsi="Times New Roman"/>
          <w:b/>
          <w:i w:val="0"/>
          <w:sz w:val="24"/>
        </w:rPr>
        <w:t xml:space="preserve">3. Causal language: </w:t>
      </w:r>
      <w:r>
        <w:rPr>
          <w:rFonts w:ascii="Times New Roman" w:hAnsi="Times New Roman"/>
          <w:b w:val="0"/>
          <w:i w:val="0"/>
          <w:sz w:val="24"/>
        </w:rPr>
        <w:t>The findings are cross-sectional and associational. Should we frame this as a predictive-interpretive study (SHAP-based) or pursue quasi-causal methods?</w:t>
      </w:r>
    </w:p>
    <w:p>
      <w:r>
        <w:rPr>
          <w:rFonts w:ascii="Times New Roman" w:hAnsi="Times New Roman"/>
          <w:b/>
          <w:i w:val="0"/>
          <w:sz w:val="24"/>
        </w:rPr>
        <w:t xml:space="preserve">4. The Gen Z ceiling effect: </w:t>
      </w:r>
      <w:r>
        <w:rPr>
          <w:rFonts w:ascii="Times New Roman" w:hAnsi="Times New Roman"/>
          <w:b w:val="0"/>
          <w:i w:val="0"/>
          <w:sz w:val="24"/>
        </w:rPr>
        <w:t>Gen Z's volunteering plateaus at ~34% regardless of socialization frequency. Should we explicitly investigate this structural barrier?</w:t>
      </w:r>
    </w:p>
    <w:p>
      <w:r>
        <w:rPr>
          <w:rFonts w:ascii="Times New Roman" w:hAnsi="Times New Roman"/>
          <w:b/>
          <w:i w:val="0"/>
          <w:sz w:val="24"/>
        </w:rPr>
        <w:t xml:space="preserve">5. Target journal: </w:t>
      </w:r>
      <w:r>
        <w:rPr>
          <w:rFonts w:ascii="Times New Roman" w:hAnsi="Times New Roman"/>
          <w:b w:val="0"/>
          <w:i w:val="0"/>
          <w:sz w:val="24"/>
        </w:rPr>
        <w:t>The generational + loneliness + civic engagement combination could fit American Behavioral Scientist, Social Forces, Nonprofit and Voluntary Sector Quarterly, or Journal of Community Psychology.</w:t>
      </w:r>
    </w:p>
    <w:p>
      <w:r>
        <w:rPr>
          <w:rFonts w:ascii="Times New Roman" w:hAnsi="Times New Roman"/>
          <w:b/>
          <w:i w:val="0"/>
          <w:sz w:val="24"/>
        </w:rPr>
        <w:t xml:space="preserve">6. Timeline: </w:t>
      </w:r>
      <w:r>
        <w:rPr>
          <w:rFonts w:ascii="Times New Roman" w:hAnsi="Times New Roman"/>
          <w:b w:val="0"/>
          <w:i w:val="0"/>
          <w:sz w:val="24"/>
        </w:rPr>
        <w:t>If we agree on the national framing, formal LPA analysis can begin immediately. The data is clean and coding is verified.</w:t>
      </w:r>
    </w:p>
    <w:p>
      <w:pPr>
        <w:pStyle w:val="Heading1"/>
      </w:pPr>
      <w:r>
        <w:rPr>
          <w:rFonts w:ascii="Times New Roman" w:hAnsi="Times New Roman"/>
          <w:color w:val="000000"/>
        </w:rPr>
        <w:t>References</w:t>
      </w:r>
    </w:p>
    <w:p>
      <w:pPr>
        <w:ind w:left="720" w:hanging="720"/>
      </w:pPr>
      <w:r>
        <w:rPr>
          <w:rFonts w:ascii="Times New Roman" w:hAnsi="Times New Roman"/>
          <w:sz w:val="24"/>
        </w:rPr>
        <w:t>Bennett, W. L., &amp; Segerberg, A. (2012). The logic of connective action: Digital media and the personalization of contentious politics. Information, Communication &amp; Society, 15(5), 739–768.</w:t>
      </w:r>
    </w:p>
    <w:p>
      <w:pPr>
        <w:ind w:left="720" w:hanging="720"/>
      </w:pPr>
      <w:r>
        <w:rPr>
          <w:rFonts w:ascii="Times New Roman" w:hAnsi="Times New Roman"/>
          <w:sz w:val="24"/>
        </w:rPr>
        <w:t>Brady, H. E., Verba, S., &amp; Schlozman, K. L. (1995). Beyond SES: A resource model of political participation. American Political Science Review, 89(2), 271–294.</w:t>
      </w:r>
    </w:p>
    <w:p>
      <w:pPr>
        <w:ind w:left="720" w:hanging="720"/>
      </w:pPr>
      <w:r>
        <w:rPr>
          <w:rFonts w:ascii="Times New Roman" w:hAnsi="Times New Roman"/>
          <w:sz w:val="24"/>
        </w:rPr>
        <w:t>Coleman, J. S. (1988). Social capital in the creation of human capital. American Journal of Sociology, 94(Supplement), S95–S120.</w:t>
      </w:r>
    </w:p>
    <w:p>
      <w:pPr>
        <w:ind w:left="720" w:hanging="720"/>
      </w:pPr>
      <w:r>
        <w:rPr>
          <w:rFonts w:ascii="Times New Roman" w:hAnsi="Times New Roman"/>
          <w:sz w:val="24"/>
        </w:rPr>
        <w:t>Collins, L. M., &amp; Lanza, S. T. (2010). Latent class and latent transition analysis: With applications in the social, behavioral, and health sciences. Wiley.</w:t>
      </w:r>
    </w:p>
    <w:p>
      <w:pPr>
        <w:ind w:left="720" w:hanging="720"/>
      </w:pPr>
      <w:r>
        <w:rPr>
          <w:rFonts w:ascii="Times New Roman" w:hAnsi="Times New Roman"/>
          <w:sz w:val="24"/>
        </w:rPr>
        <w:t>Flood, S., King, M., Rodgers, R., Ruggles, S., Warren, J. R., Backman, D., Chen, A., Cooper, G., Richards, S., Schouweiler, M., &amp; Westberry, M. (2023). Integrated public use microdata series, Current Population Survey: Version 11.0 [dataset]. IPUMS. https://doi.org/10.18128/D030.V11.0</w:t>
      </w:r>
    </w:p>
    <w:p>
      <w:pPr>
        <w:ind w:left="720" w:hanging="720"/>
      </w:pPr>
      <w:r>
        <w:rPr>
          <w:rFonts w:ascii="Times New Roman" w:hAnsi="Times New Roman"/>
          <w:sz w:val="24"/>
        </w:rPr>
        <w:t>Granovetter, M. S. (1973). The strength of weak ties. American Journal of Sociology, 78(6), 1360–1380.</w:t>
      </w:r>
    </w:p>
    <w:p>
      <w:pPr>
        <w:ind w:left="720" w:hanging="720"/>
      </w:pPr>
      <w:r>
        <w:rPr>
          <w:rFonts w:ascii="Times New Roman" w:hAnsi="Times New Roman"/>
          <w:sz w:val="24"/>
        </w:rPr>
        <w:t>Lundberg, S. M., &amp; Lee, S.-I. (2017). A unified approach to interpreting model predictions. In I. Guyon et al. (Eds.), Advances in neural information processing systems 30 (pp. 4765–4774). Curran Associates.</w:t>
      </w:r>
    </w:p>
    <w:p>
      <w:pPr>
        <w:ind w:left="720" w:hanging="720"/>
      </w:pPr>
      <w:r>
        <w:rPr>
          <w:rFonts w:ascii="Times New Roman" w:hAnsi="Times New Roman"/>
          <w:sz w:val="24"/>
        </w:rPr>
        <w:t>Muthén, B., &amp; Muthén, L. K. (2000). Integrating person-centered and variable-centered analyses: Growth mixture modeling with latent trajectory classes. Alcoholism: Clinical and Experimental Research, 24(6), 882–891.</w:t>
      </w:r>
    </w:p>
    <w:p>
      <w:pPr>
        <w:ind w:left="720" w:hanging="720"/>
      </w:pPr>
      <w:r>
        <w:rPr>
          <w:rFonts w:ascii="Times New Roman" w:hAnsi="Times New Roman"/>
          <w:sz w:val="24"/>
        </w:rPr>
        <w:t>Office of the Surgeon General. (2023). Our epidemic of loneliness and isolation: The U.S. Surgeon General’s advisory on the healing effects of social connection and community. U.S. Department of Health and Human Services.</w:t>
      </w:r>
    </w:p>
    <w:p>
      <w:pPr>
        <w:ind w:left="720" w:hanging="720"/>
      </w:pPr>
      <w:r>
        <w:rPr>
          <w:rFonts w:ascii="Times New Roman" w:hAnsi="Times New Roman"/>
          <w:sz w:val="24"/>
        </w:rPr>
        <w:t>Putnam, R. D. (2000). Bowling alone: The collapse and revival of American community. Simon &amp; Schuster.</w:t>
      </w:r>
    </w:p>
    <w:p>
      <w:pPr>
        <w:ind w:left="720" w:hanging="720"/>
      </w:pPr>
      <w:r>
        <w:rPr>
          <w:rFonts w:ascii="Times New Roman" w:hAnsi="Times New Roman"/>
          <w:sz w:val="24"/>
        </w:rPr>
        <w:t>Rosenstone, S. J., &amp; Hansen, J. M. (1993). Mobilization, participation, and democracy in America. Macmillan.</w:t>
      </w:r>
    </w:p>
    <w:p>
      <w:pPr>
        <w:ind w:left="720" w:hanging="720"/>
      </w:pPr>
      <w:r>
        <w:rPr>
          <w:rFonts w:ascii="Times New Roman" w:hAnsi="Times New Roman"/>
          <w:sz w:val="24"/>
        </w:rPr>
        <w:t>Skocpol, T. (2003). Diminished democracy: From membership to management in American civic life. University of Oklahoma Press.</w:t>
      </w:r>
    </w:p>
    <w:p>
      <w:pPr>
        <w:ind w:left="720" w:hanging="720"/>
      </w:pPr>
      <w:r>
        <w:rPr>
          <w:rFonts w:ascii="Times New Roman" w:hAnsi="Times New Roman"/>
          <w:sz w:val="24"/>
        </w:rPr>
        <w:t>Twenge, J. M. (2017). iGen: Why today’s super-connected kids are growing up less rebellious, more tolerant, less happy—and completely unprepared for adulthood. Atria Books.</w:t>
      </w:r>
    </w:p>
    <w:p>
      <w:pPr>
        <w:ind w:left="720" w:hanging="720"/>
      </w:pPr>
      <w:r>
        <w:rPr>
          <w:rFonts w:ascii="Times New Roman" w:hAnsi="Times New Roman"/>
          <w:sz w:val="24"/>
        </w:rPr>
        <w:t>Verba, S., Schlozman, K. L., &amp; Brady, H. E. (1995). Voice and equality: Civic voluntarism in American politics. Harvard University Press.</w:t>
      </w:r>
    </w:p>
    <w:p>
      <w:pPr>
        <w:ind w:left="720" w:hanging="720"/>
      </w:pPr>
      <w:r>
        <w:rPr>
          <w:rFonts w:ascii="Times New Roman" w:hAnsi="Times New Roman"/>
          <w:sz w:val="24"/>
        </w:rPr>
        <w:t>Zukin, C., Keeter, S., Andolina, M., Jenkins, K., &amp; Delli Carpini, M. X. (2006). A new engagement? Political participation, civic life, and the changing American citizen. Oxford University Press.</w:t>
      </w:r>
    </w:p>
    <w:p/>
    <w:p>
      <w:r>
        <w:rPr>
          <w:rFonts w:ascii="Times New Roman" w:hAnsi="Times New Roman"/>
          <w:b w:val="0"/>
          <w:i/>
          <w:sz w:val="24"/>
        </w:rPr>
        <w:t>All statistics in this document are based on exploratory descriptive analysis of the CPS-CEV supplement (N = 201,168 adults with valid supplement weights across four waves). Formal analysis with survey weights, model selection procedures, and inferential testing will follow upon agreement on research design.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