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480"/>
      </w:pPr>
    </w:p>
    <w:p>
      <w:pPr>
        <w:spacing w:before="0" w:after="0" w:lineRule="auto" w:line="480"/>
      </w:pPr>
    </w:p>
    <w:p>
      <w:pPr>
        <w:spacing w:before="0" w:after="0" w:lineRule="auto" w:line="480"/>
      </w:pPr>
    </w:p>
    <w:p>
      <w:pPr>
        <w:spacing w:before="0" w:after="0" w:lineRule="auto" w:line="480"/>
        <w:jc w:val="center"/>
      </w:pPr>
      <w:r>
        <w:rPr>
          <w:rFonts w:ascii="Times New Roman" w:hAnsi="Times New Roman" w:cs="Times New Roman"/>
          <w:b/>
          <w:i w:val="0"/>
          <w:sz w:val="24"/>
        </w:rPr>
        <w:t>Bowling Alone, Scrolling Together:</w:t>
      </w:r>
    </w:p>
    <w:p>
      <w:pPr>
        <w:spacing w:before="0" w:after="0" w:lineRule="auto" w:line="480"/>
        <w:jc w:val="center"/>
      </w:pPr>
      <w:r>
        <w:rPr>
          <w:rFonts w:ascii="Times New Roman" w:hAnsi="Times New Roman" w:cs="Times New Roman"/>
          <w:b/>
          <w:i w:val="0"/>
          <w:sz w:val="24"/>
        </w:rPr>
        <w:t>In-Person Socialization as the First Step to Volunteering</w:t>
      </w:r>
    </w:p>
    <w:p>
      <w:pPr>
        <w:spacing w:before="0" w:after="0" w:lineRule="auto" w:line="480"/>
        <w:jc w:val="center"/>
      </w:pPr>
      <w:r>
        <w:rPr>
          <w:rFonts w:ascii="Times New Roman" w:hAnsi="Times New Roman" w:cs="Times New Roman"/>
          <w:b/>
          <w:i w:val="0"/>
          <w:sz w:val="24"/>
        </w:rPr>
        <w:t>Across Generational Cohorts</w:t>
      </w:r>
    </w:p>
    <w:p>
      <w:pPr>
        <w:spacing w:before="0" w:after="0" w:lineRule="auto" w:line="480"/>
      </w:pPr>
    </w:p>
    <w:p>
      <w:pPr>
        <w:spacing w:before="0" w:after="0" w:lineRule="auto" w:line="480"/>
        <w:jc w:val="center"/>
      </w:pPr>
      <w:r>
        <w:rPr>
          <w:rFonts w:ascii="Times New Roman" w:hAnsi="Times New Roman" w:cs="Times New Roman"/>
          <w:b w:val="0"/>
          <w:i w:val="0"/>
          <w:sz w:val="24"/>
        </w:rPr>
        <w:t>Hosung You &amp; Suzanna R. Windon</w:t>
      </w:r>
    </w:p>
    <w:p>
      <w:pPr>
        <w:spacing w:before="0" w:after="0" w:lineRule="auto" w:line="480"/>
        <w:jc w:val="center"/>
      </w:pPr>
      <w:r>
        <w:rPr>
          <w:rFonts w:ascii="Times New Roman" w:hAnsi="Times New Roman" w:cs="Times New Roman"/>
          <w:b w:val="0"/>
          <w:i w:val="0"/>
          <w:sz w:val="24"/>
        </w:rPr>
        <w:t>The Pennsylvania State University</w:t>
      </w:r>
    </w:p>
    <w:p>
      <w:pPr/>
      <w:r>
        <w:br w:type="page"/>
      </w:r>
    </w:p>
    <w:p>
      <w:pPr>
        <w:spacing w:before="0" w:after="0" w:lineRule="auto" w:line="480"/>
        <w:jc w:val="center"/>
      </w:pPr>
      <w:r>
        <w:rPr>
          <w:rFonts w:ascii="Times New Roman" w:hAnsi="Times New Roman" w:cs="Times New Roman"/>
          <w:b/>
          <w:i w:val="0"/>
          <w:sz w:val="24"/>
        </w:rPr>
        <w:t>Abstract</w:t>
      </w:r>
    </w:p>
    <w:p>
      <w:pPr>
        <w:spacing w:before="0" w:after="0" w:lineRule="auto" w:line="480"/>
        <w:jc w:val="left"/>
      </w:pPr>
      <w:r>
        <w:rPr>
          <w:rFonts w:ascii="Times New Roman" w:hAnsi="Times New Roman" w:cs="Times New Roman"/>
          <w:b w:val="0"/>
          <w:i w:val="0"/>
          <w:sz w:val="24"/>
        </w:rPr>
        <w:t xml:space="preserve">Social isolation has been declared a public health epidemic, yet its civic consequences remain underexamined. Using four waves of the Current Population Survey Civic Engagement and Volunteering Supplement (2017–2023; </w:t>
      </w:r>
      <w:r>
        <w:rPr>
          <w:rFonts w:ascii="Times New Roman" w:hAnsi="Times New Roman" w:cs="Times New Roman"/>
          <w:b w:val="0"/>
          <w:i/>
          <w:sz w:val="24"/>
        </w:rPr>
        <w:t>N</w:t>
      </w:r>
      <w:r>
        <w:rPr>
          <w:rFonts w:ascii="Times New Roman" w:hAnsi="Times New Roman" w:cs="Times New Roman"/>
          <w:b w:val="0"/>
          <w:i w:val="0"/>
          <w:sz w:val="24"/>
        </w:rPr>
        <w:t xml:space="preserve"> = 201,168) and three complementary analytic methods, this study examines whether in-person socialization predicts volunteering differently across generational cohorts. Three findings emerge. First, a universal threshold: across all five generations, the transition from no socialization to even occasional contact produces the largest marginal gain in volunteering probability (8–10 percentage points), a pattern we term the "First Step Effect." Second, Generation Z exhibits a unique ceiling: beyond moderate socialization, volunteering probability plateaus—a pattern absent in all older cohorts. Third, these patterns are temporally stable, present before the COVID-19 pandemic and unchanged afterward, establishing them as cohort characteristics rather than pandemic artifacts. Education amplifies the socialization–volunteering gradient (</w:t>
      </w:r>
      <w:r>
        <w:rPr>
          <w:rFonts w:ascii="Times New Roman" w:hAnsi="Times New Roman" w:cs="Times New Roman"/>
          <w:b w:val="0"/>
          <w:i/>
          <w:sz w:val="24"/>
        </w:rPr>
        <w:t>p</w:t>
      </w:r>
      <w:r>
        <w:rPr>
          <w:rFonts w:ascii="Times New Roman" w:hAnsi="Times New Roman" w:cs="Times New Roman"/>
          <w:b w:val="0"/>
          <w:i w:val="0"/>
          <w:sz w:val="24"/>
        </w:rPr>
        <w:t xml:space="preserve"> = .009), but neither employment nor civic social media use alters the generational pattern. Over half of Gen Z occupies civic engagement profiles defined by social isolation, and socialization ranks as the single most important predictor of volunteering for Gen Z—not for any older generation. These findings are consistent with a structural account of declining youth volunteering, rooted in social disconnection rather than weakened civic motivation, with implications for low-threshold volunteer recruitment and community-based programming.</w:t>
      </w:r>
    </w:p>
    <w:p>
      <w:pPr>
        <w:spacing w:before="0" w:after="0" w:lineRule="auto" w:line="480"/>
        <w:ind w:firstLine="720"/>
      </w:pPr>
      <w:r>
        <w:rPr>
          <w:rFonts w:ascii="Times New Roman" w:hAnsi="Times New Roman" w:cs="Times New Roman"/>
          <w:b w:val="0"/>
          <w:i/>
          <w:sz w:val="24"/>
        </w:rPr>
        <w:t xml:space="preserve">Keywords: </w:t>
      </w:r>
      <w:r>
        <w:rPr>
          <w:rFonts w:ascii="Times New Roman" w:hAnsi="Times New Roman" w:cs="Times New Roman"/>
          <w:b w:val="0"/>
          <w:i w:val="0"/>
          <w:sz w:val="24"/>
        </w:rPr>
        <w:t>volunteering, social isolation, civic engagement, generational differences, COVID-19, latent profile analysis, machine learning, Current Population Survey</w:t>
      </w:r>
    </w:p>
    <w:p>
      <w:pPr/>
      <w:r>
        <w:br w:type="page"/>
      </w:r>
    </w:p>
    <w:p>
      <w:pPr>
        <w:spacing w:before="0" w:after="0" w:lineRule="auto" w:line="480"/>
        <w:jc w:val="center"/>
      </w:pPr>
      <w:r>
        <w:rPr>
          <w:rFonts w:ascii="Times New Roman" w:hAnsi="Times New Roman" w:cs="Times New Roman"/>
          <w:b/>
          <w:i w:val="0"/>
          <w:sz w:val="24"/>
        </w:rPr>
        <w:t>Introduction</w:t>
      </w:r>
    </w:p>
    <w:p>
      <w:pPr>
        <w:spacing w:before="0" w:after="0" w:lineRule="auto" w:line="480"/>
        <w:ind w:firstLine="720"/>
        <w:jc w:val="left"/>
      </w:pPr>
      <w:r>
        <w:rPr>
          <w:rFonts w:ascii="Times New Roman" w:hAnsi="Times New Roman" w:cs="Times New Roman"/>
          <w:b w:val="0"/>
          <w:i w:val="0"/>
          <w:sz w:val="24"/>
        </w:rPr>
        <w:t xml:space="preserve">In May 2023, the U.S. Surgeon General declared loneliness and social isolation a public health epidemic, documenting extensive consequences for mental health, physical well-being, and mortality (Office of the Surgeon General, 2023). Yet while the health effects of social disconnection have received considerable empirical attention, one domain remains underexamined: the civic consequences of the loneliness epidemic, and particularly its effects on volunteering. This omission is consequential. A quarter century after Putnam (2000) documented the broad decline of associational life in </w:t>
      </w:r>
      <w:r>
        <w:rPr>
          <w:rFonts w:ascii="Times New Roman" w:hAnsi="Times New Roman" w:cs="Times New Roman"/>
          <w:b w:val="0"/>
          <w:i/>
          <w:sz w:val="24"/>
        </w:rPr>
        <w:t>Bowling Alone</w:t>
      </w:r>
      <w:r>
        <w:rPr>
          <w:rFonts w:ascii="Times New Roman" w:hAnsi="Times New Roman" w:cs="Times New Roman"/>
          <w:b w:val="0"/>
          <w:i w:val="0"/>
          <w:sz w:val="24"/>
        </w:rPr>
        <w:t>, emerging evidence suggests that the erosion of social connection has continued—and accelerated among younger cohorts—with potential ramifications for the civic infrastructure that depends on volunteerism.</w:t>
      </w:r>
    </w:p>
    <w:p>
      <w:pPr>
        <w:spacing w:before="0" w:after="0" w:lineRule="auto" w:line="480"/>
        <w:ind w:firstLine="720"/>
        <w:jc w:val="left"/>
      </w:pPr>
      <w:r>
        <w:rPr>
          <w:rFonts w:ascii="Times New Roman" w:hAnsi="Times New Roman" w:cs="Times New Roman"/>
          <w:b w:val="0"/>
          <w:i w:val="0"/>
          <w:sz w:val="24"/>
        </w:rPr>
        <w:t>The scale of the volunteering decline is substantial. Between 2005 and 2015, the U.S. formal volunteering rate fell from 28.8% to 24.9%, and by 2021 it had dropped to 23.2%—the lowest rate recorded since the Bureau of Labor Statistics began tracking the measure (AmeriCorps, 2022). Among 16-to-24-year-olds, the decline has been even steeper: volunteering in this age group fell by nearly a third over the same period, from 26.4% to 17.4%. These declines have occurred despite expansions in national service programs, campus volunteer centers, and corporate volunteer initiatives—raising the possibility that the dominant recruitment strategies are failing to reach the cohorts most at risk of disengagement. The paradox is notable: the infrastructure for volunteering has expanded—with service-learning requirements in high schools, campus volunteer centers, and corporate social responsibility programs all proliferating—yet the actual rate of volunteering has declined, particularly among the youngest adults. If supply-side interventions were sufficient, rates should have stabilized or increased. They did not, suggesting that the barrier lies not in the availability of opportunities but in the social pathways through which individuals are recruited into them.</w:t>
      </w:r>
    </w:p>
    <w:p>
      <w:pPr>
        <w:spacing w:before="0" w:after="0" w:lineRule="auto" w:line="480"/>
        <w:ind w:firstLine="720"/>
        <w:jc w:val="left"/>
      </w:pPr>
      <w:r>
        <w:rPr>
          <w:rFonts w:ascii="Times New Roman" w:hAnsi="Times New Roman" w:cs="Times New Roman"/>
          <w:b w:val="0"/>
          <w:i w:val="0"/>
          <w:sz w:val="24"/>
        </w:rPr>
        <w:t>Twenge et al. (2019) documented that in-person social interaction among U.S. adolescents declined substantially between 2003 and 2017, a trend that predates the COVID-19 pandemic and thus cannot be attributed solely to lockdown-era disruptions. If social interaction is a precondition for civic recruitment, as both social capital theory (Putnam, 2000) and the civic voluntarism model (Verba et al., 1995) suggest, then generational declines in face-to-face socialization may represent a structural barrier to volunteering that existing interventions fail to address. The pathway from socialization to volunteering is not abstract: an acquaintance at a community event mentions that a local food bank needs Saturday morning help; a coworker invites a colleague to a park cleanup; a neighbor asks for company at a fundraising walk. These are the mundane, low-threshold encounters through which civic recruitment historically occurs—and they require physical co-presence.</w:t>
      </w:r>
    </w:p>
    <w:p>
      <w:pPr>
        <w:spacing w:before="0" w:after="0" w:lineRule="auto" w:line="480"/>
        <w:ind w:firstLine="720"/>
        <w:jc w:val="left"/>
      </w:pPr>
      <w:r>
        <w:rPr>
          <w:rFonts w:ascii="Times New Roman" w:hAnsi="Times New Roman" w:cs="Times New Roman"/>
          <w:b w:val="0"/>
          <w:i w:val="0"/>
          <w:sz w:val="24"/>
        </w:rPr>
        <w:t xml:space="preserve">Understanding the civic consequences of social isolation is particularly urgent for the volunteering sector. Unlike voting, which requires a single act on a designated day, or charitable giving, which demands only a financial transaction, organized volunteering requires sustained investment of time and coordination with others—features that make it especially dependent on social networks and in-person contact (Cacioppo &amp; Cacioppo, 2014; Holt-Lunstad et al., 2010). The temporal demands of volunteering—showing up at a specific place, at a specific time, often repeatedly—create entry barriers that social connection helps overcome. A would-be volunteer who lacks social contacts within an organization faces not only logistical uncertainty but the social discomfort of entering an unfamiliar setting alone. Social connections reduce these barriers by providing both practical information and the social accompaniment that lowers the threshold for initial participation. These facilitating functions are largely invisible in survey research that treats socialization as a background variable. Yet the empirical literature on volunteering has treated social isolation primarily as a control variable rather than a central mechanism, and existing research on generational differences tends to rely on simple cohort comparisons without examining how the </w:t>
      </w:r>
      <w:r>
        <w:rPr>
          <w:rFonts w:ascii="Times New Roman" w:hAnsi="Times New Roman" w:cs="Times New Roman"/>
          <w:b w:val="0"/>
          <w:i/>
          <w:sz w:val="24"/>
        </w:rPr>
        <w:t>mechanisms</w:t>
      </w:r>
      <w:r>
        <w:rPr>
          <w:rFonts w:ascii="Times New Roman" w:hAnsi="Times New Roman" w:cs="Times New Roman"/>
          <w:b w:val="0"/>
          <w:i w:val="0"/>
          <w:sz w:val="24"/>
        </w:rPr>
        <w:t xml:space="preserve"> driving volunteering may differ across generations. Wilson (2012), in a comprehensive review, identified social networks as a consistent predictor of volunteering but noted that the field lacks a clear account of how network effects vary across demographic subgroups—a gap that has only widened as the social landscape has shifted beneath younger cohorts. This leaves a critical question unanswered: Is the decline in youth volunteering driven by changing values and attitudes, or by the erosion of the social connections that make volunteering possible in the first place?</w:t>
      </w:r>
    </w:p>
    <w:p>
      <w:pPr>
        <w:spacing w:before="0" w:after="0" w:lineRule="auto" w:line="480"/>
        <w:ind w:firstLine="720"/>
        <w:jc w:val="left"/>
      </w:pPr>
      <w:r>
        <w:rPr>
          <w:rFonts w:ascii="Times New Roman" w:hAnsi="Times New Roman" w:cs="Times New Roman"/>
          <w:b w:val="0"/>
          <w:i w:val="0"/>
          <w:sz w:val="24"/>
        </w:rPr>
        <w:t xml:space="preserve">The present study addresses this gap using four waves of nationally representative CPS-CEV data (2017, 2019, 2021, 2023; </w:t>
      </w:r>
      <w:r>
        <w:rPr>
          <w:rFonts w:ascii="Times New Roman" w:hAnsi="Times New Roman" w:cs="Times New Roman"/>
          <w:b w:val="0"/>
          <w:i/>
          <w:sz w:val="24"/>
        </w:rPr>
        <w:t>N</w:t>
      </w:r>
      <w:r>
        <w:rPr>
          <w:rFonts w:ascii="Times New Roman" w:hAnsi="Times New Roman" w:cs="Times New Roman"/>
          <w:b w:val="0"/>
          <w:i w:val="0"/>
          <w:sz w:val="24"/>
        </w:rPr>
        <w:t xml:space="preserve"> ≈ 201,000) to examine the association between in-person socialization frequency and volunteering across five generational cohorts. Three research questions guide the analysis, spanning variable-centered, person-centered, and predictive approaches (see Purpose and Research Questions). By bracketing the COVID-19 pandemic, the four-wave design distinguishes stable cohort effects from pandemic-specific disruptions—a critical distinction that single-wave analyses cannot make. The sample size (</w:t>
      </w:r>
      <w:r>
        <w:rPr>
          <w:rFonts w:ascii="Times New Roman" w:hAnsi="Times New Roman" w:cs="Times New Roman"/>
          <w:b w:val="0"/>
          <w:i/>
          <w:sz w:val="24"/>
        </w:rPr>
        <w:t>N</w:t>
      </w:r>
      <w:r>
        <w:rPr>
          <w:rFonts w:ascii="Times New Roman" w:hAnsi="Times New Roman" w:cs="Times New Roman"/>
          <w:b w:val="0"/>
          <w:i w:val="0"/>
          <w:sz w:val="24"/>
        </w:rPr>
        <w:t xml:space="preserve"> ≈ 201,000) provides sufficient statistical power for subgroup analyses that smaller surveys cannot support—including the detection of nonlinear threshold effects within individual generational cohorts. The integrated approach—combining survey-weighted logistic regression, Latent Profile Analysis, and gradient boosting with TreeSHAP—extends the Surgeon General's health-focused framing to a civic engagement context, testing whether social isolation functions as a barrier to civic participation and whether the socialization–volunteering relationship operates differently for the most socially disconnected generation. If socialization is a prerequisite rather than merely a correlate, then volunteer organizations targeting Generation Z must invest in creating social contact before—not alongside—recruitment appeals.</w:t>
      </w:r>
    </w:p>
    <w:p>
      <w:pPr>
        <w:spacing w:before="0" w:after="0" w:lineRule="auto" w:line="480"/>
        <w:jc w:val="center"/>
      </w:pPr>
      <w:r>
        <w:rPr>
          <w:rFonts w:ascii="Times New Roman" w:hAnsi="Times New Roman" w:cs="Times New Roman"/>
          <w:b/>
          <w:i w:val="0"/>
          <w:sz w:val="24"/>
        </w:rPr>
        <w:t>Literature Review</w:t>
      </w:r>
    </w:p>
    <w:p>
      <w:pPr>
        <w:spacing w:before="0" w:after="0" w:lineRule="auto" w:line="480"/>
        <w:jc w:val="left"/>
      </w:pPr>
      <w:r>
        <w:rPr>
          <w:rFonts w:ascii="Times New Roman" w:hAnsi="Times New Roman" w:cs="Times New Roman"/>
          <w:b/>
          <w:i w:val="0"/>
          <w:sz w:val="24"/>
        </w:rPr>
        <w:t>Social Capital and Civic Recruitment</w:t>
      </w:r>
    </w:p>
    <w:p>
      <w:pPr>
        <w:spacing w:before="0" w:after="0" w:lineRule="auto" w:line="480"/>
        <w:ind w:firstLine="720"/>
        <w:jc w:val="left"/>
      </w:pPr>
      <w:r>
        <w:rPr>
          <w:rFonts w:ascii="Times New Roman" w:hAnsi="Times New Roman" w:cs="Times New Roman"/>
          <w:b w:val="0"/>
          <w:i w:val="0"/>
          <w:sz w:val="24"/>
        </w:rPr>
        <w:t>The theoretical foundation for the relationship between social interaction and volunteering rests on social capital theory and the civic voluntarism model. Putnam (2000) defined social capital as the networks, norms, and trust that facilitate coordination and cooperation among individuals. In his framework, face-to-face social interaction is not merely a correlate of civic engagement but a generative mechanism: repeated contact builds the trust and reciprocity norms that lower the costs of collective action. Granovetter's (1973) weak ties theory extends this insight by arguing that peripheral social contacts—acquaintances encountered through occasional socialization—serve as bridges to new information and opportunities, including awareness of volunteer organizations and direct recruitment appeals. The mechanism is not merely informational but motivational: a personal request to volunteer from someone known face-to-face carries social weight that an impersonal announcement, whether posted on a bulletin board or shared on social media, does not. The CVM identifies such direct requests as the most proximate predictor of volunteering participation (Brady et al., 1995).</w:t>
      </w:r>
    </w:p>
    <w:p>
      <w:pPr>
        <w:spacing w:before="0" w:after="0" w:lineRule="auto" w:line="480"/>
        <w:ind w:firstLine="720"/>
        <w:jc w:val="left"/>
      </w:pPr>
      <w:r>
        <w:rPr>
          <w:rFonts w:ascii="Times New Roman" w:hAnsi="Times New Roman" w:cs="Times New Roman"/>
          <w:b w:val="0"/>
          <w:i w:val="0"/>
          <w:sz w:val="24"/>
        </w:rPr>
        <w:t>The civic voluntarism model (CVM) identifies three categories of factors predicting civic participation: resources (time, money, civic skills), engagement (political interest, civic duty), and recruitment networks (Brady et al., 1995; Verba et al., 1995). The recruitment pathway is particularly relevant: individuals who socialize more frequently are more likely to encounter direct requests to volunteer, which the CVM identifies as the most proximate predictor of participation. Coleman (1988) further emphasized that social capital is embedded in the structure of relationships: closed social networks with dense interconnections facilitate the emergence of norms and sanctions that encourage prosocial behavior, including volunteering. Beyerlein and Hipp (2006) demonstrated empirically that organizational membership mediates much of the socialization–volunteering pathway, suggesting that social contact facilitates volunteering partly through institutional embeddedness rather than through social influence alone. The implication is that socialization may be a necessary but not sufficient condition for civic participation: frequent social contact that occurs outside institutionally anchored contexts may not generate the recruitment exposures that translate contact into voluntarism.</w:t>
      </w:r>
    </w:p>
    <w:p>
      <w:pPr>
        <w:spacing w:before="0" w:after="0" w:lineRule="auto" w:line="480"/>
        <w:jc w:val="left"/>
      </w:pPr>
      <w:r>
        <w:rPr>
          <w:rFonts w:ascii="Times New Roman" w:hAnsi="Times New Roman" w:cs="Times New Roman"/>
          <w:b/>
          <w:i w:val="0"/>
          <w:sz w:val="24"/>
        </w:rPr>
        <w:t>Generational Shifts in Socialization and Civic Participation</w:t>
      </w:r>
    </w:p>
    <w:p>
      <w:pPr>
        <w:spacing w:before="0" w:after="0" w:lineRule="auto" w:line="480"/>
        <w:ind w:firstLine="720"/>
        <w:jc w:val="left"/>
      </w:pPr>
      <w:r>
        <w:rPr>
          <w:rFonts w:ascii="Times New Roman" w:hAnsi="Times New Roman" w:cs="Times New Roman"/>
          <w:b w:val="0"/>
          <w:i w:val="0"/>
          <w:sz w:val="24"/>
        </w:rPr>
        <w:t>The theoretical expectation that social interaction facilitates civic engagement must be situated within evidence of dramatic generational shifts in socialization patterns. Twenge et al. (2019) documented that in-person social interaction among U.S. adolescents declined by approximately 30% between 2003 and 2017, a trend driven primarily by the displacement of face-to-face contact by digital communication. By 2017, the average American teenager spent more than six hours per day on screen-based media; time spent with friends in person dropped to its lowest level since measurement began (Twenge, 2017). Twenge termed the post-1995 birth cohort "iGen" and documented widespread increases in loneliness, social isolation, and mental health challenges that emerged before—not as a consequence of—the COVID-19 pandemic. The result is a generation that came of age in an environment where social connection increasingly occurs through screens rather than in the shared physical spaces—Oldenburg's (1999) "third places"—that historically served as incubators for civic recruitment.</w:t>
      </w:r>
    </w:p>
    <w:p>
      <w:pPr>
        <w:spacing w:before="0" w:after="0" w:lineRule="auto" w:line="480"/>
        <w:ind w:firstLine="720"/>
        <w:jc w:val="left"/>
      </w:pPr>
      <w:r>
        <w:rPr>
          <w:rFonts w:ascii="Times New Roman" w:hAnsi="Times New Roman" w:cs="Times New Roman"/>
          <w:b w:val="0"/>
          <w:i w:val="0"/>
          <w:sz w:val="24"/>
        </w:rPr>
        <w:t>These shifts intersect with broader transformations in civic engagement documented by scholars of political participation. Zukin et al. (2006) identified generational differences in civic participation, with younger Americans more likely to engage in individualized political consumption (boycotting, "buycotting") and less likely to participate in traditional institutional forms such as voting and formal volunteerism. Dalton (2008) proposed that this represents not disengagement but a shift from "duty-based" to "engaged" citizenship, where younger cohorts pursue civic goals through informal, often digital, channels. However, Flanagan and Levine (2010) and Wray-Lake and Hart (2012) documented that these alternative forms of engagement have not compensated for declines in traditional civic participation, particularly volunteering, among younger cohorts. If Dalton's "engaged citizenship" thesis were correct—if young people were simply channeling civic energy into new forms—aggregate civic participation should remain stable or rise even as traditional forms decline. It has not. The decline in formal volunteering among young adults has proceeded without a corresponding increase in measurable alternative engagement, suggesting that the issue may be less about shifting civic preferences and more about eroding civic infrastructure.</w:t>
      </w:r>
    </w:p>
    <w:p>
      <w:pPr>
        <w:spacing w:before="0" w:after="0" w:lineRule="auto" w:line="480"/>
        <w:ind w:firstLine="720"/>
        <w:jc w:val="left"/>
      </w:pPr>
      <w:r>
        <w:rPr>
          <w:rFonts w:ascii="Times New Roman" w:hAnsi="Times New Roman" w:cs="Times New Roman"/>
          <w:b w:val="0"/>
          <w:i w:val="0"/>
          <w:sz w:val="24"/>
        </w:rPr>
        <w:t>These theoretical perspectives generate competing predictions about the relationship between social isolation and volunteering across generations. If social capital theory is correct that face-to-face interaction is the primary mechanism through which civic recruitment occurs, then the dramatic decline in in-person socialization among Gen Z should produce a correspondingly large decline in volunteering—even after controlling for the traditional predictors emphasized by the CVM (education, income, civic skills). Alternatively, if digital communication has functionally replaced face-to-face contact as a recruitment channel, then the socialization–volunteering link should be weaker for digitally native cohorts.</w:t>
      </w:r>
    </w:p>
    <w:p>
      <w:pPr>
        <w:spacing w:before="0" w:after="0" w:lineRule="auto" w:line="480"/>
        <w:jc w:val="left"/>
      </w:pPr>
      <w:r>
        <w:rPr>
          <w:rFonts w:ascii="Times New Roman" w:hAnsi="Times New Roman" w:cs="Times New Roman"/>
          <w:b/>
          <w:i/>
          <w:sz w:val="24"/>
        </w:rPr>
        <w:t>Why Generation Z?</w:t>
      </w:r>
    </w:p>
    <w:p>
      <w:pPr>
        <w:spacing w:before="0" w:after="0" w:lineRule="auto" w:line="480"/>
        <w:ind w:firstLine="720"/>
        <w:jc w:val="left"/>
      </w:pPr>
      <w:r>
        <w:rPr>
          <w:rFonts w:ascii="Times New Roman" w:hAnsi="Times New Roman" w:cs="Times New Roman"/>
          <w:b w:val="0"/>
          <w:i w:val="0"/>
          <w:sz w:val="24"/>
        </w:rPr>
        <w:t>Generation Z is the focal cohort in this study because it occupies a unique position at the intersection of digital socialization and civic participation. Born after 1997, Gen Z is the first generation to have entered adulthood entirely within a digitally mediated social environment. By the time the oldest Gen Z members reached high school, smartphone ownership among American teenagers exceeded 70%, and social media use had become nearly universal (Pew Research Center, 2018). The implications for civic life are direct: the after-school hangouts, part-time jobs, religious youth groups, and community events that historically exposed young people to civic organizations and recruitment appeals have been partially displaced by digital interaction that occurs at home, alone, through a screen. Gen Z thus provides a critical test case for theories about whether online interaction can substitute for face-to-face socialization in generating civic participation. Descriptive data from the CPS-CEV consistently show that Gen Z reports the highest rates of minimal socialization (CESOCIALIZE = "Not at all"), suggesting that if social isolation affects volunteering, the effects should be most visible in this cohort. Gen Z also represents the future volunteer workforce; understanding the mechanisms that facilitate or inhibit their civic participation has direct implications for nonprofit management, volunteer recruitment, and community development practice.</w:t>
      </w:r>
    </w:p>
    <w:p>
      <w:pPr>
        <w:spacing w:before="0" w:after="0" w:lineRule="auto" w:line="480"/>
        <w:ind w:firstLine="720"/>
        <w:jc w:val="left"/>
      </w:pPr>
      <w:r>
        <w:rPr>
          <w:rFonts w:ascii="Times New Roman" w:hAnsi="Times New Roman" w:cs="Times New Roman"/>
          <w:b w:val="0"/>
          <w:i w:val="0"/>
          <w:sz w:val="24"/>
        </w:rPr>
        <w:t>Generation is operationalized as a moderating variable rather than merely a demographic control because generational membership captures shared formative experiences—including exposure to digital technology, economic conditions during the transition to adulthood, and the COVID-19 pandemic—that shape how individuals relate to civic institutions and social networks (Hooghe, 2012; Kelle et al., 2025).</w:t>
      </w:r>
    </w:p>
    <w:p>
      <w:pPr>
        <w:spacing w:before="0" w:after="0" w:lineRule="auto" w:line="480"/>
        <w:jc w:val="left"/>
      </w:pPr>
      <w:r>
        <w:rPr>
          <w:rFonts w:ascii="Times New Roman" w:hAnsi="Times New Roman" w:cs="Times New Roman"/>
          <w:b/>
          <w:i w:val="0"/>
          <w:sz w:val="24"/>
        </w:rPr>
        <w:t>Education, Employment, and Civic Social Media</w:t>
      </w:r>
    </w:p>
    <w:p>
      <w:pPr>
        <w:spacing w:before="0" w:after="0" w:lineRule="auto" w:line="480"/>
        <w:ind w:firstLine="720"/>
        <w:jc w:val="left"/>
      </w:pPr>
      <w:r>
        <w:rPr>
          <w:rFonts w:ascii="Times New Roman" w:hAnsi="Times New Roman" w:cs="Times New Roman"/>
          <w:b w:val="0"/>
          <w:i w:val="0"/>
          <w:sz w:val="24"/>
        </w:rPr>
        <w:t>The civic voluntarism model identifies education and employment as primary resource predictors of civic participation (Verba et al., 1995). Higher education develops civic skills, expands social networks, and cultivates norms of civic duty (Schlozman et al., 2012). Employment provides organizational skills, access to workplace-based recruitment, and the financial resources that reduce the opportunity cost of volunteering (Musick &amp; Wilson, 2008; Wilson, 2000). These resource pathways are well documented in the volunteering literature (Wilson, 2012).</w:t>
      </w:r>
    </w:p>
    <w:p>
      <w:pPr>
        <w:spacing w:before="0" w:after="0" w:lineRule="auto" w:line="480"/>
        <w:ind w:firstLine="720"/>
        <w:jc w:val="left"/>
      </w:pPr>
      <w:r>
        <w:rPr>
          <w:rFonts w:ascii="Times New Roman" w:hAnsi="Times New Roman" w:cs="Times New Roman"/>
          <w:b w:val="0"/>
          <w:i w:val="0"/>
          <w:sz w:val="24"/>
        </w:rPr>
        <w:t>However, whether these pathways operate with equal strength across generational cohorts has received limited attention. The resource model implicitly assumes that education and employment generate social contacts—through classrooms, campus organizations, and workplaces—that serve as recruitment channels. For generations that came of age in environments rich in face-to-face associational life, this assumption held: attending college exposed students to campus service organizations, and holding a job embedded workers in collegial networks where volunteer requests circulated informally. For Generation Z, these assumptions may be less reliable. If Gen Z's social isolation reflects a shift in how young adults form connections—with digital communication partially substituting for the campus and workplace encounters that older cohorts experienced—then the conventional resource model may overestimate the civic returns of education and employment for this cohort. The foundational social contacts through which resources are converted into civic action may simply be thinner.</w:t>
      </w:r>
    </w:p>
    <w:p>
      <w:pPr>
        <w:spacing w:before="0" w:after="0" w:lineRule="auto" w:line="480"/>
        <w:ind w:firstLine="720"/>
        <w:jc w:val="left"/>
      </w:pPr>
      <w:r>
        <w:rPr>
          <w:rFonts w:ascii="Times New Roman" w:hAnsi="Times New Roman" w:cs="Times New Roman"/>
          <w:b w:val="0"/>
          <w:i w:val="0"/>
          <w:sz w:val="24"/>
        </w:rPr>
        <w:t>We additionally examine civic use of social media as a potential moderating factor. Bennett and Segerberg (2012) theorized the emergence of "connective action"—individualized, digitally mediated civic participation that bypasses traditional organizational structures. The "digital compensation" hypothesis (Norris, 2002) suggests that online civic engagement could partially offset the volunteering deficit produced by social isolation, particularly for digitally native cohorts. If socially isolated individuals use social media for civic purposes (e.g., reading about community issues, sharing information about causes), this digital engagement might maintain awareness of volunteer opportunities and lower barriers to participation, even in the absence of face-to-face recruitment.</w:t>
      </w:r>
    </w:p>
    <w:p>
      <w:pPr>
        <w:spacing w:before="0" w:after="0" w:lineRule="auto" w:line="480"/>
        <w:jc w:val="left"/>
      </w:pPr>
      <w:r>
        <w:rPr>
          <w:rFonts w:ascii="Times New Roman" w:hAnsi="Times New Roman" w:cs="Times New Roman"/>
          <w:b/>
          <w:i w:val="0"/>
          <w:sz w:val="24"/>
        </w:rPr>
        <w:t>The Loneliness Epidemic and Civic Consequences</w:t>
      </w:r>
    </w:p>
    <w:p>
      <w:pPr>
        <w:spacing w:before="0" w:after="0" w:lineRule="auto" w:line="480"/>
        <w:ind w:firstLine="720"/>
        <w:jc w:val="left"/>
      </w:pPr>
      <w:r>
        <w:rPr>
          <w:rFonts w:ascii="Times New Roman" w:hAnsi="Times New Roman" w:cs="Times New Roman"/>
          <w:b w:val="0"/>
          <w:i w:val="0"/>
          <w:sz w:val="24"/>
        </w:rPr>
        <w:t>The Surgeon General's 2023 advisory situated social isolation within a public health framework, documenting associations between social disconnection and increased risk of heart disease, stroke, dementia, and premature mortality (Office of the Surgeon General, 2023). While the advisory focused primarily on health outcomes, it also noted that social isolation "undermines the social infrastructure on which democratic participation depends"—a claim that, to date, has received limited empirical testing in the volunteering context.</w:t>
      </w:r>
    </w:p>
    <w:p>
      <w:pPr>
        <w:spacing w:before="0" w:after="0" w:lineRule="auto" w:line="480"/>
        <w:ind w:firstLine="720"/>
        <w:jc w:val="left"/>
      </w:pPr>
      <w:r>
        <w:rPr>
          <w:rFonts w:ascii="Times New Roman" w:hAnsi="Times New Roman" w:cs="Times New Roman"/>
          <w:b w:val="0"/>
          <w:i w:val="0"/>
          <w:sz w:val="24"/>
        </w:rPr>
        <w:t>Cacioppo and Cacioppo (2014) provided a theoretical bridge between loneliness and civic withdrawal. Their evolutionary model argues that perceived social isolation triggers a cascade of psychological responses: hypervigilance to social threat leads to negative interpretations of ambiguous social cues, which reduces interpersonal trust, which in turn drives further withdrawal from social situations. The cycle is self-reinforcing—each withdrawal reduces the probability of the very encounters that could disconfirm the isolated individual's perception of social threat. In civic terms, this means that the most isolated individuals are the least likely to encounter the recruitment appeals that social capital theory identifies as the primary mechanism for volunteering initiation. This theoretical account predicts that the relationship between social isolation and civic disengagement should be nonlinear: even small reductions in isolation (moving from complete social disconnection to occasional contact) may break the cycle of withdrawal and produce disproportionately large gains in civic participation. This prediction forms the basis for the "First Step Effect" hypothesis tested in this study.</w:t>
      </w:r>
    </w:p>
    <w:p>
      <w:pPr>
        <w:spacing w:before="0" w:after="0" w:lineRule="auto" w:line="480"/>
        <w:jc w:val="center"/>
      </w:pPr>
      <w:r>
        <w:rPr>
          <w:rFonts w:ascii="Times New Roman" w:hAnsi="Times New Roman" w:cs="Times New Roman"/>
          <w:b/>
          <w:i w:val="0"/>
          <w:sz w:val="24"/>
        </w:rPr>
        <w:t>Purpose and Research Questions</w:t>
      </w:r>
    </w:p>
    <w:p>
      <w:pPr>
        <w:spacing w:before="0" w:after="0" w:lineRule="auto" w:line="480"/>
        <w:ind w:firstLine="720"/>
        <w:jc w:val="left"/>
      </w:pPr>
      <w:r>
        <w:rPr>
          <w:rFonts w:ascii="Times New Roman" w:hAnsi="Times New Roman" w:cs="Times New Roman"/>
          <w:b w:val="0"/>
          <w:i w:val="0"/>
          <w:sz w:val="24"/>
        </w:rPr>
        <w:t>The purpose of this study is to examine the association between in-person socialization frequency and volunteering across generational cohorts using four waves of nationally representative data from the Current Population Survey Civic Engagement and Volunteering Supplement (2017, 2019, 2021, 2023). To move beyond the limitations of any single analytic approach, we employ an integrated design that combines variable-centered regression, person-centered profiling, and machine learning validation. By spanning four waves that bracket the COVID-19 pandemic, this design allows us to distinguish structural cohort effects from pandemic-specific disruptions.</w:t>
      </w:r>
    </w:p>
    <w:p>
      <w:pPr>
        <w:spacing w:before="0" w:after="0" w:lineRule="auto" w:line="480"/>
        <w:ind w:firstLine="720"/>
        <w:jc w:val="left"/>
      </w:pPr>
      <w:r>
        <w:rPr>
          <w:rFonts w:ascii="Times New Roman" w:hAnsi="Times New Roman" w:cs="Times New Roman"/>
          <w:b w:val="0"/>
          <w:i w:val="0"/>
          <w:sz w:val="24"/>
        </w:rPr>
        <w:t>The primary relationship of interest is the association between in-person socialization frequency (independent variable) and volunteering status (dependent variable), moderated by generational cohort. Secondary moderation pathways examine whether education, employment status, civic social media use, and the COVID-19 pandemic condition the socialization–volunteering relationship, and whether these moderating effects differ by generation (three-way interactions). The person-centered component identifies distinct typologies of civic engagement, while the machine learning component validates predictor importance without parametric assumptions.</w:t>
      </w:r>
    </w:p>
    <w:p>
      <w:pPr>
        <w:spacing w:before="0" w:after="0" w:lineRule="auto" w:line="480"/>
        <w:ind w:firstLine="720"/>
        <w:jc w:val="left"/>
      </w:pPr>
      <w:r>
        <w:rPr>
          <w:rFonts w:ascii="Times New Roman" w:hAnsi="Times New Roman" w:cs="Times New Roman"/>
          <w:b/>
          <w:i w:val="0"/>
          <w:sz w:val="24"/>
        </w:rPr>
        <w:t>Research Question 1</w:t>
      </w:r>
      <w:r>
        <w:rPr>
          <w:rFonts w:ascii="Times New Roman" w:hAnsi="Times New Roman" w:cs="Times New Roman"/>
          <w:b w:val="0"/>
          <w:i w:val="0"/>
          <w:sz w:val="24"/>
        </w:rPr>
        <w:t xml:space="preserve"> (Variable-Centered): How does the association between in-person socialization frequency and volunteering differ across generational cohorts, and do education, employment, civic social media use, and the COVID-19 pandemic moderate this association differently by generation?</w:t>
      </w:r>
    </w:p>
    <w:p>
      <w:pPr>
        <w:spacing w:before="0" w:after="0" w:lineRule="auto" w:line="480"/>
        <w:ind w:firstLine="720"/>
        <w:jc w:val="left"/>
      </w:pPr>
      <w:r>
        <w:rPr>
          <w:rFonts w:ascii="Times New Roman" w:hAnsi="Times New Roman" w:cs="Times New Roman"/>
          <w:b w:val="0"/>
          <w:i w:val="0"/>
          <w:sz w:val="24"/>
        </w:rPr>
        <w:t xml:space="preserve">- </w:t>
      </w:r>
      <w:r>
        <w:rPr>
          <w:rFonts w:ascii="Times New Roman" w:hAnsi="Times New Roman" w:cs="Times New Roman"/>
          <w:b w:val="0"/>
          <w:i/>
          <w:sz w:val="24"/>
        </w:rPr>
        <w:t>H1.</w:t>
      </w:r>
      <w:r>
        <w:rPr>
          <w:rFonts w:ascii="Times New Roman" w:hAnsi="Times New Roman" w:cs="Times New Roman"/>
          <w:b w:val="0"/>
          <w:i w:val="0"/>
          <w:sz w:val="24"/>
        </w:rPr>
        <w:t xml:space="preserve"> Higher levels of in-person socialization will be positively associated with volunteering across all generational cohorts. - </w:t>
      </w:r>
      <w:r>
        <w:rPr>
          <w:rFonts w:ascii="Times New Roman" w:hAnsi="Times New Roman" w:cs="Times New Roman"/>
          <w:b w:val="0"/>
          <w:i/>
          <w:sz w:val="24"/>
        </w:rPr>
        <w:t>H2.</w:t>
      </w:r>
      <w:r>
        <w:rPr>
          <w:rFonts w:ascii="Times New Roman" w:hAnsi="Times New Roman" w:cs="Times New Roman"/>
          <w:b w:val="0"/>
          <w:i w:val="0"/>
          <w:sz w:val="24"/>
        </w:rPr>
        <w:t xml:space="preserve"> Generation Z will exhibit a weaker socialization–volunteering association at higher socialization levels compared with older cohorts (i.e., a plateau effect). - </w:t>
      </w:r>
      <w:r>
        <w:rPr>
          <w:rFonts w:ascii="Times New Roman" w:hAnsi="Times New Roman" w:cs="Times New Roman"/>
          <w:b w:val="0"/>
          <w:i/>
          <w:sz w:val="24"/>
        </w:rPr>
        <w:t>H3a.</w:t>
      </w:r>
      <w:r>
        <w:rPr>
          <w:rFonts w:ascii="Times New Roman" w:hAnsi="Times New Roman" w:cs="Times New Roman"/>
          <w:b w:val="0"/>
          <w:i w:val="0"/>
          <w:sz w:val="24"/>
        </w:rPr>
        <w:t xml:space="preserve"> Education will positively moderate the socialization–volunteering association, but this moderating effect will be weaker for Generation Z than for older cohorts. - </w:t>
      </w:r>
      <w:r>
        <w:rPr>
          <w:rFonts w:ascii="Times New Roman" w:hAnsi="Times New Roman" w:cs="Times New Roman"/>
          <w:b w:val="0"/>
          <w:i/>
          <w:sz w:val="24"/>
        </w:rPr>
        <w:t>H3b.</w:t>
      </w:r>
      <w:r>
        <w:rPr>
          <w:rFonts w:ascii="Times New Roman" w:hAnsi="Times New Roman" w:cs="Times New Roman"/>
          <w:b w:val="0"/>
          <w:i w:val="0"/>
          <w:sz w:val="24"/>
        </w:rPr>
        <w:t xml:space="preserve"> Employment will positively moderate the socialization–volunteering association, with effects that are relatively consistent across generations. - </w:t>
      </w:r>
      <w:r>
        <w:rPr>
          <w:rFonts w:ascii="Times New Roman" w:hAnsi="Times New Roman" w:cs="Times New Roman"/>
          <w:b w:val="0"/>
          <w:i/>
          <w:sz w:val="24"/>
        </w:rPr>
        <w:t>H3c.</w:t>
      </w:r>
      <w:r>
        <w:rPr>
          <w:rFonts w:ascii="Times New Roman" w:hAnsi="Times New Roman" w:cs="Times New Roman"/>
          <w:b w:val="0"/>
          <w:i w:val="0"/>
          <w:sz w:val="24"/>
        </w:rPr>
        <w:t xml:space="preserve"> Civic social media use will positively moderate the socialization–volunteering association, but the moderating effect will be stronger for older cohorts than for Generation Z. - </w:t>
      </w:r>
      <w:r>
        <w:rPr>
          <w:rFonts w:ascii="Times New Roman" w:hAnsi="Times New Roman" w:cs="Times New Roman"/>
          <w:b w:val="0"/>
          <w:i/>
          <w:sz w:val="24"/>
        </w:rPr>
        <w:t>H3d.</w:t>
      </w:r>
      <w:r>
        <w:rPr>
          <w:rFonts w:ascii="Times New Roman" w:hAnsi="Times New Roman" w:cs="Times New Roman"/>
          <w:b w:val="0"/>
          <w:i w:val="0"/>
          <w:sz w:val="24"/>
        </w:rPr>
        <w:t xml:space="preserve"> The socialization–volunteering association will be stable across the pre- and post-COVID periods, consistent with a cohort interpretation rather than a period effect.</w:t>
      </w:r>
    </w:p>
    <w:p>
      <w:pPr>
        <w:spacing w:before="0" w:after="0" w:lineRule="auto" w:line="480"/>
        <w:ind w:firstLine="720"/>
        <w:jc w:val="left"/>
      </w:pPr>
      <w:r>
        <w:rPr>
          <w:rFonts w:ascii="Times New Roman" w:hAnsi="Times New Roman" w:cs="Times New Roman"/>
          <w:b/>
          <w:i w:val="0"/>
          <w:sz w:val="24"/>
        </w:rPr>
        <w:t>Research Question 2</w:t>
      </w:r>
      <w:r>
        <w:rPr>
          <w:rFonts w:ascii="Times New Roman" w:hAnsi="Times New Roman" w:cs="Times New Roman"/>
          <w:b w:val="0"/>
          <w:i w:val="0"/>
          <w:sz w:val="24"/>
        </w:rPr>
        <w:t xml:space="preserve"> (Person-Centered): What distinct civic engagement typologies emerge from patterns of boycotting, contacting officials, political conversation, in-person socialization, organizational membership, and charitable donation, and how are generational cohorts distributed across these typologies?</w:t>
      </w:r>
    </w:p>
    <w:p>
      <w:pPr>
        <w:spacing w:before="0" w:after="0" w:lineRule="auto" w:line="480"/>
        <w:ind w:firstLine="720"/>
        <w:jc w:val="left"/>
      </w:pPr>
      <w:r>
        <w:rPr>
          <w:rFonts w:ascii="Times New Roman" w:hAnsi="Times New Roman" w:cs="Times New Roman"/>
          <w:b w:val="0"/>
          <w:i w:val="0"/>
          <w:sz w:val="24"/>
        </w:rPr>
        <w:t xml:space="preserve">- </w:t>
      </w:r>
      <w:r>
        <w:rPr>
          <w:rFonts w:ascii="Times New Roman" w:hAnsi="Times New Roman" w:cs="Times New Roman"/>
          <w:b w:val="0"/>
          <w:i/>
          <w:sz w:val="24"/>
        </w:rPr>
        <w:t>H4.</w:t>
      </w:r>
      <w:r>
        <w:rPr>
          <w:rFonts w:ascii="Times New Roman" w:hAnsi="Times New Roman" w:cs="Times New Roman"/>
          <w:b w:val="0"/>
          <w:i w:val="0"/>
          <w:sz w:val="24"/>
        </w:rPr>
        <w:t xml:space="preserve"> Generation Z will be disproportionately concentrated in low-engagement profiles characterized by minimal socialization and low organizational membership. - </w:t>
      </w:r>
      <w:r>
        <w:rPr>
          <w:rFonts w:ascii="Times New Roman" w:hAnsi="Times New Roman" w:cs="Times New Roman"/>
          <w:b w:val="0"/>
          <w:i/>
          <w:sz w:val="24"/>
        </w:rPr>
        <w:t>H5.</w:t>
      </w:r>
      <w:r>
        <w:rPr>
          <w:rFonts w:ascii="Times New Roman" w:hAnsi="Times New Roman" w:cs="Times New Roman"/>
          <w:b w:val="0"/>
          <w:i w:val="0"/>
          <w:sz w:val="24"/>
        </w:rPr>
        <w:t xml:space="preserve"> High-engagement profiles will show higher volunteering rates and be overrepresented among older cohorts.</w:t>
      </w:r>
    </w:p>
    <w:p>
      <w:pPr>
        <w:spacing w:before="0" w:after="0" w:lineRule="auto" w:line="480"/>
        <w:ind w:firstLine="720"/>
        <w:jc w:val="left"/>
      </w:pPr>
      <w:r>
        <w:rPr>
          <w:rFonts w:ascii="Times New Roman" w:hAnsi="Times New Roman" w:cs="Times New Roman"/>
          <w:b/>
          <w:i w:val="0"/>
          <w:sz w:val="24"/>
        </w:rPr>
        <w:t>Research Question 3</w:t>
      </w:r>
      <w:r>
        <w:rPr>
          <w:rFonts w:ascii="Times New Roman" w:hAnsi="Times New Roman" w:cs="Times New Roman"/>
          <w:b w:val="0"/>
          <w:i w:val="0"/>
          <w:sz w:val="24"/>
        </w:rPr>
        <w:t xml:space="preserve"> (Predictive Validation): Does machine learning-based variable importance confirm socialization as the dominant predictor of volunteering, and do nonlinear SHAP dependence patterns differ by generation?</w:t>
      </w:r>
    </w:p>
    <w:p>
      <w:pPr>
        <w:spacing w:before="0" w:after="0" w:lineRule="auto" w:line="480"/>
        <w:ind w:firstLine="720"/>
        <w:jc w:val="left"/>
      </w:pPr>
      <w:r>
        <w:rPr>
          <w:rFonts w:ascii="Times New Roman" w:hAnsi="Times New Roman" w:cs="Times New Roman"/>
          <w:b w:val="0"/>
          <w:i w:val="0"/>
          <w:sz w:val="24"/>
        </w:rPr>
        <w:t xml:space="preserve">- </w:t>
      </w:r>
      <w:r>
        <w:rPr>
          <w:rFonts w:ascii="Times New Roman" w:hAnsi="Times New Roman" w:cs="Times New Roman"/>
          <w:b w:val="0"/>
          <w:i/>
          <w:sz w:val="24"/>
        </w:rPr>
        <w:t>H6.</w:t>
      </w:r>
      <w:r>
        <w:rPr>
          <w:rFonts w:ascii="Times New Roman" w:hAnsi="Times New Roman" w:cs="Times New Roman"/>
          <w:b w:val="0"/>
          <w:i w:val="0"/>
          <w:sz w:val="24"/>
        </w:rPr>
        <w:t xml:space="preserve"> In-person socialization will be the single most important predictor of volunteering in a gradient boosting model, even when compared against education, income, and age. - </w:t>
      </w:r>
      <w:r>
        <w:rPr>
          <w:rFonts w:ascii="Times New Roman" w:hAnsi="Times New Roman" w:cs="Times New Roman"/>
          <w:b w:val="0"/>
          <w:i/>
          <w:sz w:val="24"/>
        </w:rPr>
        <w:t>H7.</w:t>
      </w:r>
      <w:r>
        <w:rPr>
          <w:rFonts w:ascii="Times New Roman" w:hAnsi="Times New Roman" w:cs="Times New Roman"/>
          <w:b w:val="0"/>
          <w:i w:val="0"/>
          <w:sz w:val="24"/>
        </w:rPr>
        <w:t xml:space="preserve"> SHAP dependence plots will reveal a steeper marginal effect at low socialization levels (1→2 transition) that flattens at higher levels. We term this predicted threshold dynamic the "First Step Effect," capturing the hypothesis that initial social contact produces disproportionate civic returns.</w:t>
      </w:r>
    </w:p>
    <w:p>
      <w:pPr>
        <w:spacing w:before="0" w:after="0" w:lineRule="auto" w:line="480"/>
        <w:ind w:firstLine="720"/>
        <w:jc w:val="left"/>
      </w:pPr>
      <w:r>
        <w:rPr>
          <w:rFonts w:ascii="Times New Roman" w:hAnsi="Times New Roman" w:cs="Times New Roman"/>
          <w:b w:val="0"/>
          <w:i/>
          <w:sz w:val="24"/>
        </w:rPr>
        <w:t>Table 2.</w:t>
      </w:r>
      <w:r>
        <w:rPr>
          <w:rFonts w:ascii="Times New Roman" w:hAnsi="Times New Roman" w:cs="Times New Roman"/>
          <w:b w:val="0"/>
          <w:i w:val="0"/>
          <w:sz w:val="24"/>
        </w:rPr>
        <w:t xml:space="preserve"> Summary of Research Questions and Hypotheses</w:t>
      </w:r>
    </w:p>
    <w:p>
      <w:pPr>
        <w:spacing w:before="0" w:after="0" w:lineRule="auto" w:line="480"/>
        <w:jc w:val="center"/>
      </w:pPr>
      <w:r>
        <w:rPr>
          <w:rFonts w:ascii="Times New Roman" w:hAnsi="Times New Roman" w:cs="Times New Roman"/>
          <w:b/>
          <w:i w:val="0"/>
          <w:sz w:val="24"/>
        </w:rPr>
        <w:t>Method</w:t>
      </w:r>
    </w:p>
    <w:p>
      <w:pPr>
        <w:spacing w:before="0" w:after="0" w:lineRule="auto" w:line="480"/>
        <w:jc w:val="left"/>
      </w:pPr>
      <w:r>
        <w:rPr>
          <w:rFonts w:ascii="Times New Roman" w:hAnsi="Times New Roman" w:cs="Times New Roman"/>
          <w:b/>
          <w:i w:val="0"/>
          <w:sz w:val="24"/>
        </w:rPr>
        <w:t>Data Source and Sample</w:t>
      </w:r>
    </w:p>
    <w:p>
      <w:pPr>
        <w:spacing w:before="0" w:after="0" w:lineRule="auto" w:line="480"/>
        <w:ind w:firstLine="720"/>
        <w:jc w:val="left"/>
      </w:pPr>
      <w:r>
        <w:rPr>
          <w:rFonts w:ascii="Times New Roman" w:hAnsi="Times New Roman" w:cs="Times New Roman"/>
          <w:b w:val="0"/>
          <w:i w:val="0"/>
          <w:sz w:val="24"/>
        </w:rPr>
        <w:t>Data come from the Current Population Survey Civic Engagement and Volunteering Supplement (CPS-CEV), obtained via IPUMS-CPS (Flood et al., 2023). The CPS-CEV is administered as a supplement to the September CPS by the U.S. Census Bureau in collaboration with AmeriCorps. Approximately 57,000 households participate in each wave, making it the largest nationally representative survey measuring both volunteering behavior and civic engagement indicators simultaneously.</w:t>
      </w:r>
    </w:p>
    <w:p>
      <w:pPr>
        <w:spacing w:before="0" w:after="0" w:lineRule="auto" w:line="480"/>
        <w:ind w:firstLine="720"/>
        <w:jc w:val="left"/>
      </w:pPr>
      <w:r>
        <w:rPr>
          <w:rFonts w:ascii="Times New Roman" w:hAnsi="Times New Roman" w:cs="Times New Roman"/>
          <w:b w:val="0"/>
          <w:i w:val="0"/>
          <w:sz w:val="24"/>
        </w:rPr>
        <w:t xml:space="preserve">The CPS-CEV is uniquely suited to this study because it is the only nationally representative survey that simultaneously measures both volunteering behavior and in-person socialization frequency across a sample large enough to support subgroup analyses by generation. We pooled four waves of CPS-CEV data: September 2017, 2019, 2021, and 2023. These waves bracket the COVID-19 pandemic, allowing us to examine whether the socialization–volunteering relationship changed across this major disruption to social life. The analytic sample includes all U.S. adults aged 18 and older with valid supplement weights (VLSUPPWT &gt; 0) and nonmissing values on the dependent variable (VLSTATUS ∈ {1, 2}), yielding </w:t>
      </w:r>
      <w:r>
        <w:rPr>
          <w:rFonts w:ascii="Times New Roman" w:hAnsi="Times New Roman" w:cs="Times New Roman"/>
          <w:b w:val="0"/>
          <w:i/>
          <w:sz w:val="24"/>
        </w:rPr>
        <w:t>N</w:t>
      </w:r>
      <w:r>
        <w:rPr>
          <w:rFonts w:ascii="Times New Roman" w:hAnsi="Times New Roman" w:cs="Times New Roman"/>
          <w:b w:val="0"/>
          <w:i w:val="0"/>
          <w:sz w:val="24"/>
        </w:rPr>
        <w:t xml:space="preserve"> ≈ 201,000 spanning five generational cohorts.</w:t>
      </w:r>
    </w:p>
    <w:p>
      <w:pPr>
        <w:spacing w:before="0" w:after="0" w:lineRule="auto" w:line="480"/>
        <w:ind w:firstLine="720"/>
        <w:jc w:val="left"/>
      </w:pPr>
      <w:r>
        <w:rPr>
          <w:rFonts w:ascii="Times New Roman" w:hAnsi="Times New Roman" w:cs="Times New Roman"/>
          <w:b w:val="0"/>
          <w:i w:val="0"/>
          <w:sz w:val="24"/>
        </w:rPr>
        <w:t>Respondents with missing values on the key independent variable (CESOCIALIZE) were excluded from models involving socialization (less than 1% of the analytic sample). For moderating variables, cases with missing values were excluded listwise within each model. All analyses incorporate the supplement weight (VLSUPPWT) to produce nationally representative estimates. Because the CPS employs a stratified multistage cluster design, the survey design object specifies household-level clustering (using the SERIAL variable) and state-level stratification (using STATEFIP), with a lonely-PSU adjustment for strata containing a single sampling unit. IPUMS does not release the actual primary sampling unit identifiers used in the CPS design; SERIAL and STATEFIP represent the best available approximation and yield more conservative standard error estimates than a simple random sampling assumption.</w:t>
      </w:r>
    </w:p>
    <w:p>
      <w:pPr>
        <w:spacing w:before="0" w:after="0" w:lineRule="auto" w:line="480"/>
        <w:jc w:val="left"/>
      </w:pPr>
      <w:r>
        <w:rPr>
          <w:rFonts w:ascii="Times New Roman" w:hAnsi="Times New Roman" w:cs="Times New Roman"/>
          <w:b/>
          <w:i w:val="0"/>
          <w:sz w:val="24"/>
        </w:rPr>
        <w:t>Measures</w:t>
      </w:r>
    </w:p>
    <w:p>
      <w:pPr>
        <w:spacing w:before="0" w:after="0" w:lineRule="auto" w:line="480"/>
        <w:jc w:val="left"/>
      </w:pPr>
      <w:r>
        <w:rPr>
          <w:rFonts w:ascii="Times New Roman" w:hAnsi="Times New Roman" w:cs="Times New Roman"/>
          <w:b/>
          <w:i/>
          <w:sz w:val="24"/>
        </w:rPr>
        <w:t>Dependent Variable</w:t>
      </w:r>
    </w:p>
    <w:p>
      <w:pPr>
        <w:spacing w:before="0" w:after="0" w:lineRule="auto" w:line="480"/>
        <w:ind w:firstLine="720"/>
        <w:jc w:val="left"/>
      </w:pPr>
      <w:r>
        <w:rPr>
          <w:rFonts w:ascii="Times New Roman" w:hAnsi="Times New Roman" w:cs="Times New Roman"/>
          <w:b w:val="0"/>
          <w:i w:val="0"/>
          <w:sz w:val="24"/>
        </w:rPr>
        <w:t>Volunteering status was measured using VLSTATUS, which asks whether the respondent "did any volunteer activities through or for an organization" in the past 12 months (1 = volunteered, 2 = did not volunteer). This measure was dichotomized for logistic regression and treated as an external validation variable for the latent profile analysis.</w:t>
      </w:r>
    </w:p>
    <w:p>
      <w:pPr>
        <w:spacing w:before="0" w:after="0" w:lineRule="auto" w:line="480"/>
        <w:jc w:val="left"/>
      </w:pPr>
      <w:r>
        <w:rPr>
          <w:rFonts w:ascii="Times New Roman" w:hAnsi="Times New Roman" w:cs="Times New Roman"/>
          <w:b/>
          <w:i/>
          <w:sz w:val="24"/>
        </w:rPr>
        <w:t>Key Independent Variable</w:t>
      </w:r>
    </w:p>
    <w:p>
      <w:pPr>
        <w:spacing w:before="0" w:after="0" w:lineRule="auto" w:line="480"/>
        <w:ind w:firstLine="720"/>
        <w:jc w:val="left"/>
      </w:pPr>
      <w:r>
        <w:rPr>
          <w:rFonts w:ascii="Times New Roman" w:hAnsi="Times New Roman" w:cs="Times New Roman"/>
          <w:b w:val="0"/>
          <w:i w:val="0"/>
          <w:sz w:val="24"/>
        </w:rPr>
        <w:t>In-person socialization frequency was measured using CESOCIALIZE, which asks respondents how often they "got together socially with friends, relatives, or neighbors" in the past 12 months. Response options range from 1 = "Not at all" to 6 = "Basically every day." For logistic regression, socialization is entered as a factor variable with "Not at all" as the reference category, allowing estimation of nonlinear threshold effects at each transition. For the GBM analysis, it is entered as a continuous ordinal predictor.</w:t>
      </w:r>
    </w:p>
    <w:p>
      <w:pPr>
        <w:spacing w:before="0" w:after="0" w:lineRule="auto" w:line="480"/>
        <w:jc w:val="left"/>
      </w:pPr>
      <w:r>
        <w:rPr>
          <w:rFonts w:ascii="Times New Roman" w:hAnsi="Times New Roman" w:cs="Times New Roman"/>
          <w:b/>
          <w:i/>
          <w:sz w:val="24"/>
        </w:rPr>
        <w:t>Generational Cohorts</w:t>
      </w:r>
    </w:p>
    <w:p>
      <w:pPr>
        <w:spacing w:before="0" w:after="0" w:lineRule="auto" w:line="480"/>
        <w:ind w:firstLine="720"/>
        <w:jc w:val="left"/>
      </w:pPr>
      <w:r>
        <w:rPr>
          <w:rFonts w:ascii="Times New Roman" w:hAnsi="Times New Roman" w:cs="Times New Roman"/>
          <w:b w:val="0"/>
          <w:i w:val="0"/>
          <w:sz w:val="24"/>
        </w:rPr>
        <w:t>Respondents were classified into five generational cohorts based on birth year (calculated as survey year minus age): Generation Z (born 1997 or later), Millennials (1981–1996), Generation X (1965–1980), Baby Boomers (1946–1964), and the Silent Generation (born before 1946). Generation Z serves as the reference category in regression models.</w:t>
      </w:r>
    </w:p>
    <w:p>
      <w:pPr>
        <w:spacing w:before="0" w:after="0" w:lineRule="auto" w:line="480"/>
        <w:jc w:val="left"/>
      </w:pPr>
      <w:r>
        <w:rPr>
          <w:rFonts w:ascii="Times New Roman" w:hAnsi="Times New Roman" w:cs="Times New Roman"/>
          <w:b/>
          <w:i/>
          <w:sz w:val="24"/>
        </w:rPr>
        <w:t>Moderating Variables</w:t>
      </w:r>
    </w:p>
    <w:p>
      <w:pPr>
        <w:spacing w:before="0" w:after="0" w:lineRule="auto" w:line="480"/>
        <w:ind w:firstLine="720"/>
        <w:jc w:val="left"/>
      </w:pPr>
      <w:r>
        <w:rPr>
          <w:rFonts w:ascii="Times New Roman" w:hAnsi="Times New Roman" w:cs="Times New Roman"/>
          <w:b w:val="0"/>
          <w:i w:val="0"/>
          <w:sz w:val="24"/>
        </w:rPr>
        <w:t xml:space="preserve">Four theoretically motivated moderators were examined. </w:t>
      </w:r>
      <w:r>
        <w:rPr>
          <w:rFonts w:ascii="Times New Roman" w:hAnsi="Times New Roman" w:cs="Times New Roman"/>
          <w:b w:val="0"/>
          <w:i/>
          <w:sz w:val="24"/>
        </w:rPr>
        <w:t>Education</w:t>
      </w:r>
      <w:r>
        <w:rPr>
          <w:rFonts w:ascii="Times New Roman" w:hAnsi="Times New Roman" w:cs="Times New Roman"/>
          <w:b w:val="0"/>
          <w:i w:val="0"/>
          <w:sz w:val="24"/>
        </w:rPr>
        <w:t xml:space="preserve"> was measured using EDUC (IPUMS harmonized) and dichotomized as bachelor's degree or higher (EDUC ≥ 111) versus less than a bachelor's degree, consistent with the civic voluntarism model's emphasis on educational thresholds. </w:t>
      </w:r>
      <w:r>
        <w:rPr>
          <w:rFonts w:ascii="Times New Roman" w:hAnsi="Times New Roman" w:cs="Times New Roman"/>
          <w:b w:val="0"/>
          <w:i/>
          <w:sz w:val="24"/>
        </w:rPr>
        <w:t>Employment status</w:t>
      </w:r>
      <w:r>
        <w:rPr>
          <w:rFonts w:ascii="Times New Roman" w:hAnsi="Times New Roman" w:cs="Times New Roman"/>
          <w:b w:val="0"/>
          <w:i w:val="0"/>
          <w:sz w:val="24"/>
        </w:rPr>
        <w:t xml:space="preserve"> was dichotomized as currently employed (EMPSTAT ∈ {10, 12}) versus not employed. </w:t>
      </w:r>
      <w:r>
        <w:rPr>
          <w:rFonts w:ascii="Times New Roman" w:hAnsi="Times New Roman" w:cs="Times New Roman"/>
          <w:b w:val="0"/>
          <w:i/>
          <w:sz w:val="24"/>
        </w:rPr>
        <w:t>Civic social media use</w:t>
      </w:r>
      <w:r>
        <w:rPr>
          <w:rFonts w:ascii="Times New Roman" w:hAnsi="Times New Roman" w:cs="Times New Roman"/>
          <w:b w:val="0"/>
          <w:i w:val="0"/>
          <w:sz w:val="24"/>
        </w:rPr>
        <w:t xml:space="preserve"> was measured using VLSOCMEDIA, which asks how often the respondent "posted, shared, or discussed issues on civic or political topics on social media" (1 = basically every day through 6 = not at all). This was dichotomized as any civic social media use (VLSOCMEDIA ≤ 4) versus no use, following the conceptual distinction between digital civic engagement and non-engagement.</w:t>
      </w:r>
    </w:p>
    <w:p>
      <w:pPr>
        <w:spacing w:before="0" w:after="0" w:lineRule="auto" w:line="480"/>
        <w:ind w:firstLine="720"/>
        <w:jc w:val="left"/>
      </w:pPr>
      <w:r>
        <w:rPr>
          <w:rFonts w:ascii="Times New Roman" w:hAnsi="Times New Roman" w:cs="Times New Roman"/>
          <w:b w:val="0"/>
          <w:i/>
          <w:sz w:val="24"/>
        </w:rPr>
        <w:t>COVID-19 period</w:t>
      </w:r>
      <w:r>
        <w:rPr>
          <w:rFonts w:ascii="Times New Roman" w:hAnsi="Times New Roman" w:cs="Times New Roman"/>
          <w:b w:val="0"/>
          <w:i w:val="0"/>
          <w:sz w:val="24"/>
        </w:rPr>
        <w:t xml:space="preserve"> was operationalized as a binary variable distinguishing pre-COVID waves (2017, 2019) from post-COVID waves (2021, 2023). This coding captures the broad disruption to social life rather than a precise epidemiological boundary, and is included to test whether the socialization–volunteering relationship is a stable feature or was altered by pandemic-related changes to social behavior.</w:t>
      </w:r>
    </w:p>
    <w:p>
      <w:pPr>
        <w:spacing w:before="0" w:after="0" w:lineRule="auto" w:line="480"/>
        <w:jc w:val="left"/>
      </w:pPr>
      <w:r>
        <w:rPr>
          <w:rFonts w:ascii="Times New Roman" w:hAnsi="Times New Roman" w:cs="Times New Roman"/>
          <w:b/>
          <w:i/>
          <w:sz w:val="24"/>
        </w:rPr>
        <w:t>Latent Profile Analysis Indicators</w:t>
      </w:r>
    </w:p>
    <w:p>
      <w:pPr>
        <w:spacing w:before="0" w:after="0" w:lineRule="auto" w:line="480"/>
        <w:ind w:firstLine="720"/>
        <w:jc w:val="left"/>
      </w:pPr>
      <w:r>
        <w:rPr>
          <w:rFonts w:ascii="Times New Roman" w:hAnsi="Times New Roman" w:cs="Times New Roman"/>
          <w:b w:val="0"/>
          <w:i w:val="0"/>
          <w:sz w:val="24"/>
        </w:rPr>
        <w:t>Six indicators were used to construct civic engagement typologies:</w:t>
      </w:r>
    </w:p>
    <w:p>
      <w:pPr>
        <w:spacing w:before="0" w:after="0" w:lineRule="auto" w:line="480"/>
        <w:ind w:firstLine="720"/>
        <w:jc w:val="left"/>
      </w:pPr>
      <w:r>
        <w:rPr>
          <w:rFonts w:ascii="Times New Roman" w:hAnsi="Times New Roman" w:cs="Times New Roman"/>
          <w:b/>
          <w:i w:val="0"/>
          <w:sz w:val="24"/>
        </w:rPr>
        <w:t>Boycotting</w:t>
      </w:r>
      <w:r>
        <w:rPr>
          <w:rFonts w:ascii="Times New Roman" w:hAnsi="Times New Roman" w:cs="Times New Roman"/>
          <w:b w:val="0"/>
          <w:i w:val="0"/>
          <w:sz w:val="24"/>
        </w:rPr>
        <w:t xml:space="preserve"> (CEBOYCOTT): Whether the respondent boycotted a product for social or political reasons (binary). </w:t>
      </w:r>
      <w:r>
        <w:rPr>
          <w:rFonts w:ascii="Times New Roman" w:hAnsi="Times New Roman" w:cs="Times New Roman"/>
          <w:b/>
          <w:i w:val="0"/>
          <w:sz w:val="24"/>
        </w:rPr>
        <w:t>Contacting officials</w:t>
      </w:r>
      <w:r>
        <w:rPr>
          <w:rFonts w:ascii="Times New Roman" w:hAnsi="Times New Roman" w:cs="Times New Roman"/>
          <w:b w:val="0"/>
          <w:i w:val="0"/>
          <w:sz w:val="24"/>
        </w:rPr>
        <w:t xml:space="preserve"> (CEPUBOFF): Whether the respondent contacted a public official (binary). </w:t>
      </w:r>
      <w:r>
        <w:rPr>
          <w:rFonts w:ascii="Times New Roman" w:hAnsi="Times New Roman" w:cs="Times New Roman"/>
          <w:b/>
          <w:i w:val="0"/>
          <w:sz w:val="24"/>
        </w:rPr>
        <w:t>Political conversation</w:t>
      </w:r>
      <w:r>
        <w:rPr>
          <w:rFonts w:ascii="Times New Roman" w:hAnsi="Times New Roman" w:cs="Times New Roman"/>
          <w:b w:val="0"/>
          <w:i w:val="0"/>
          <w:sz w:val="24"/>
        </w:rPr>
        <w:t xml:space="preserve"> (CEPOLCONV): Frequency of discussing politics (ordinal, 1–6). </w:t>
      </w:r>
      <w:r>
        <w:rPr>
          <w:rFonts w:ascii="Times New Roman" w:hAnsi="Times New Roman" w:cs="Times New Roman"/>
          <w:b/>
          <w:i w:val="0"/>
          <w:sz w:val="24"/>
        </w:rPr>
        <w:t>In-person socialization</w:t>
      </w:r>
      <w:r>
        <w:rPr>
          <w:rFonts w:ascii="Times New Roman" w:hAnsi="Times New Roman" w:cs="Times New Roman"/>
          <w:b w:val="0"/>
          <w:i w:val="0"/>
          <w:sz w:val="24"/>
        </w:rPr>
        <w:t xml:space="preserve"> (CESOCIALIZE): Frequency of in-person social contact (ordinal, 1–6). </w:t>
      </w:r>
      <w:r>
        <w:rPr>
          <w:rFonts w:ascii="Times New Roman" w:hAnsi="Times New Roman" w:cs="Times New Roman"/>
          <w:b/>
          <w:i w:val="0"/>
          <w:sz w:val="24"/>
        </w:rPr>
        <w:t>Organizational membership</w:t>
      </w:r>
      <w:r>
        <w:rPr>
          <w:rFonts w:ascii="Times New Roman" w:hAnsi="Times New Roman" w:cs="Times New Roman"/>
          <w:b w:val="0"/>
          <w:i w:val="0"/>
          <w:sz w:val="24"/>
        </w:rPr>
        <w:t xml:space="preserve"> (VLMEMBERN): Number of organizations to which the respondent belongs (count; respondents reporting no membership via VLMEMBER were coded as 0). </w:t>
      </w:r>
      <w:r>
        <w:rPr>
          <w:rFonts w:ascii="Times New Roman" w:hAnsi="Times New Roman" w:cs="Times New Roman"/>
          <w:b/>
          <w:i w:val="0"/>
          <w:sz w:val="24"/>
        </w:rPr>
        <w:t>Charitable donation</w:t>
      </w:r>
      <w:r>
        <w:rPr>
          <w:rFonts w:ascii="Times New Roman" w:hAnsi="Times New Roman" w:cs="Times New Roman"/>
          <w:b w:val="0"/>
          <w:i w:val="0"/>
          <w:sz w:val="24"/>
        </w:rPr>
        <w:t xml:space="preserve"> (VLDONATE): Whether the respondent donated to a charitable or religious organization (binary).</w:t>
      </w:r>
    </w:p>
    <w:p>
      <w:pPr>
        <w:spacing w:before="0" w:after="0" w:lineRule="auto" w:line="480"/>
        <w:ind w:firstLine="720"/>
        <w:jc w:val="left"/>
      </w:pPr>
      <w:r>
        <w:rPr>
          <w:rFonts w:ascii="Times New Roman" w:hAnsi="Times New Roman" w:cs="Times New Roman"/>
          <w:b w:val="0"/>
          <w:i w:val="0"/>
          <w:sz w:val="24"/>
        </w:rPr>
        <w:t>All six indicators are available across all four survey waves with approximately 94% valid response rates. This set captures multiple dimensions of civic life—political action, social connection, institutional membership, and philanthropic behavior—enabling person-centered identification of distinct engagement patterns.</w:t>
      </w:r>
    </w:p>
    <w:p>
      <w:pPr>
        <w:spacing w:before="0" w:after="0" w:lineRule="auto" w:line="480"/>
        <w:jc w:val="left"/>
      </w:pPr>
      <w:r>
        <w:rPr>
          <w:rFonts w:ascii="Times New Roman" w:hAnsi="Times New Roman" w:cs="Times New Roman"/>
          <w:b/>
          <w:i/>
          <w:sz w:val="24"/>
        </w:rPr>
        <w:t>Control Variables</w:t>
      </w:r>
    </w:p>
    <w:p>
      <w:pPr>
        <w:spacing w:before="0" w:after="0" w:lineRule="auto" w:line="480"/>
        <w:ind w:firstLine="720"/>
        <w:jc w:val="left"/>
      </w:pPr>
      <w:r>
        <w:rPr>
          <w:rFonts w:ascii="Times New Roman" w:hAnsi="Times New Roman" w:cs="Times New Roman"/>
          <w:b w:val="0"/>
          <w:i w:val="0"/>
          <w:sz w:val="24"/>
        </w:rPr>
        <w:t>Models controlled for age (continuous), sex (female = 1), race/ethnicity (White non-Hispanic [reference], Black non-Hispanic, Hispanic, Asian non-Hispanic, other), marital status (married = 1), family income (log-transformed midpoint), metropolitan status (metro = 1), and Census region (Northeast, Midwest, South, West [reference]). In Models 1–4, the post-COVID indicator also serves as a control; in Model 5, it is the focal moderator.</w:t>
      </w:r>
    </w:p>
    <w:p>
      <w:pPr>
        <w:spacing w:before="0" w:after="0" w:lineRule="auto" w:line="480"/>
        <w:jc w:val="left"/>
      </w:pPr>
      <w:r>
        <w:rPr>
          <w:rFonts w:ascii="Times New Roman" w:hAnsi="Times New Roman" w:cs="Times New Roman"/>
          <w:b/>
          <w:i w:val="0"/>
          <w:sz w:val="24"/>
        </w:rPr>
        <w:t>Analytic Strategy</w:t>
      </w:r>
    </w:p>
    <w:p>
      <w:pPr>
        <w:spacing w:before="0" w:after="0" w:lineRule="auto" w:line="480"/>
        <w:ind w:firstLine="720"/>
        <w:jc w:val="left"/>
      </w:pPr>
      <w:r>
        <w:rPr>
          <w:rFonts w:ascii="Times New Roman" w:hAnsi="Times New Roman" w:cs="Times New Roman"/>
          <w:b w:val="0"/>
          <w:i w:val="0"/>
          <w:sz w:val="24"/>
        </w:rPr>
        <w:t>The analysis proceeds through three integrated stages, each addressing a distinct research question while providing methodological triangulation.</w:t>
      </w:r>
    </w:p>
    <w:p>
      <w:pPr>
        <w:spacing w:before="0" w:after="0" w:lineRule="auto" w:line="480"/>
        <w:jc w:val="left"/>
      </w:pPr>
      <w:r>
        <w:rPr>
          <w:rFonts w:ascii="Times New Roman" w:hAnsi="Times New Roman" w:cs="Times New Roman"/>
          <w:b/>
          <w:i/>
          <w:sz w:val="24"/>
        </w:rPr>
        <w:t>Stage 1: Survey-Weighted Logistic Regression (RQ1)</w:t>
      </w:r>
    </w:p>
    <w:p>
      <w:pPr>
        <w:spacing w:before="0" w:after="0" w:lineRule="auto" w:line="480"/>
        <w:ind w:firstLine="720"/>
        <w:jc w:val="left"/>
      </w:pPr>
      <w:r>
        <w:rPr>
          <w:rFonts w:ascii="Times New Roman" w:hAnsi="Times New Roman" w:cs="Times New Roman"/>
          <w:b w:val="0"/>
          <w:i w:val="0"/>
          <w:sz w:val="24"/>
        </w:rPr>
        <w:t>To address RQ1, we estimate survey-weighted logistic regression models predicting volunteering status. Socialization frequency is entered as a categorical predictor to capture nonlinear effects without imposing functional form assumptions. Model 1 includes the socialization × generation interaction with post-COVID as a control. Models 2–4 extend to three-way interactions: socialization × generation × education (Model 2), socialization × generation × employment (Model 3), and socialization × generation × civic social media (Model 4). Model 5 tests the socialization × generation × post-COVID interaction to assess whether the socialization–volunteering relationship changed across the pandemic period.</w:t>
      </w:r>
    </w:p>
    <w:p>
      <w:pPr>
        <w:spacing w:before="0" w:after="0" w:lineRule="auto" w:line="480"/>
        <w:ind w:firstLine="720"/>
        <w:jc w:val="left"/>
      </w:pPr>
      <w:r>
        <w:rPr>
          <w:rFonts w:ascii="Times New Roman" w:hAnsi="Times New Roman" w:cs="Times New Roman"/>
          <w:b w:val="0"/>
          <w:i w:val="0"/>
          <w:sz w:val="24"/>
        </w:rPr>
        <w:t>We report odds ratios and average marginal effects (AMEs) computed via the `marginaleffects` package (Arel-Bundock, 2023). AMEs represent the average change in the predicted probability of volunteering for a one-unit change in the predictor, averaged across the covariate distribution. Wald tests assess the statistical significance of interaction terms.</w:t>
      </w:r>
    </w:p>
    <w:p>
      <w:pPr>
        <w:spacing w:before="0" w:after="0" w:lineRule="auto" w:line="480"/>
        <w:jc w:val="left"/>
      </w:pPr>
      <w:r>
        <w:rPr>
          <w:rFonts w:ascii="Times New Roman" w:hAnsi="Times New Roman" w:cs="Times New Roman"/>
          <w:b/>
          <w:i/>
          <w:sz w:val="24"/>
        </w:rPr>
        <w:t>Stage 2: Latent Profile Analysis (RQ2)</w:t>
      </w:r>
    </w:p>
    <w:p>
      <w:pPr>
        <w:spacing w:before="0" w:after="0" w:lineRule="auto" w:line="480"/>
        <w:ind w:firstLine="720"/>
        <w:jc w:val="left"/>
      </w:pPr>
      <w:r>
        <w:rPr>
          <w:rFonts w:ascii="Times New Roman" w:hAnsi="Times New Roman" w:cs="Times New Roman"/>
          <w:b w:val="0"/>
          <w:i w:val="0"/>
          <w:sz w:val="24"/>
        </w:rPr>
        <w:t>To address RQ2, we employ Latent Profile Analysis (LPA) to identify distinct civic engagement typologies using six standardized indicators from the pooled four-wave sample. LPA is a model-based clustering technique that identifies subgroups of individuals with similar patterns across multiple indicators (Collins &amp; Lanza, 2010; Muthén &amp; Muthén, 2000). We evaluate models with 2–7 profiles using varying variances and zero covariances (Vermunt &amp; Magidson, 2002), selecting the optimal number based on Bayesian Information Criterion (BIC), entropy, and Bootstrap Likelihood Ratio Test (BLRT). Given the large sample size (</w:t>
      </w:r>
      <w:r>
        <w:rPr>
          <w:rFonts w:ascii="Times New Roman" w:hAnsi="Times New Roman" w:cs="Times New Roman"/>
          <w:b w:val="0"/>
          <w:i/>
          <w:sz w:val="24"/>
        </w:rPr>
        <w:t>N</w:t>
      </w:r>
      <w:r>
        <w:rPr>
          <w:rFonts w:ascii="Times New Roman" w:hAnsi="Times New Roman" w:cs="Times New Roman"/>
          <w:b w:val="0"/>
          <w:i w:val="0"/>
          <w:sz w:val="24"/>
        </w:rPr>
        <w:t xml:space="preserve"> &gt; 200,000), initial model selection is conducted on a random subsample of 20,000 cases, with the selected model refit to the full sample.</w:t>
      </w:r>
    </w:p>
    <w:p>
      <w:pPr>
        <w:spacing w:before="0" w:after="0" w:lineRule="auto" w:line="480"/>
        <w:ind w:firstLine="720"/>
        <w:jc w:val="left"/>
      </w:pPr>
      <w:r>
        <w:rPr>
          <w:rFonts w:ascii="Times New Roman" w:hAnsi="Times New Roman" w:cs="Times New Roman"/>
          <w:b w:val="0"/>
          <w:i w:val="0"/>
          <w:sz w:val="24"/>
        </w:rPr>
        <w:t>After identifying profiles, we characterize each by its indicator means on the original scale, examine the generational distribution across profiles, compare volunteering rates by profile and generation, and assess whether profile distributions shifted between pre- and post-COVID periods.</w:t>
      </w:r>
    </w:p>
    <w:p>
      <w:pPr>
        <w:spacing w:before="0" w:after="0" w:lineRule="auto" w:line="480"/>
        <w:jc w:val="left"/>
      </w:pPr>
      <w:r>
        <w:rPr>
          <w:rFonts w:ascii="Times New Roman" w:hAnsi="Times New Roman" w:cs="Times New Roman"/>
          <w:b/>
          <w:i/>
          <w:sz w:val="24"/>
        </w:rPr>
        <w:t>Stage 3: Gradient Boosting with TreeSHAP (RQ3)</w:t>
      </w:r>
    </w:p>
    <w:p>
      <w:pPr>
        <w:spacing w:before="0" w:after="0" w:lineRule="auto" w:line="480"/>
        <w:ind w:firstLine="720"/>
        <w:jc w:val="left"/>
      </w:pPr>
      <w:r>
        <w:rPr>
          <w:rFonts w:ascii="Times New Roman" w:hAnsi="Times New Roman" w:cs="Times New Roman"/>
          <w:b w:val="0"/>
          <w:i w:val="0"/>
          <w:sz w:val="24"/>
        </w:rPr>
        <w:t>To address RQ3, we train an XGBoost gradient boosting classifier (Friedman, 2001) predicting volunteering from the same predictors used in the regression models, including post-COVID as a feature. This nonparametric approach makes no assumptions about functional form, automatically captures interactions, and provides a complementary test of predictor importance. Model performance is evaluated using AUC on a held-out test set (20% split).</w:t>
      </w:r>
    </w:p>
    <w:p>
      <w:pPr>
        <w:spacing w:before="0" w:after="0" w:lineRule="auto" w:line="480"/>
        <w:ind w:firstLine="720"/>
        <w:jc w:val="left"/>
      </w:pPr>
      <w:r>
        <w:rPr>
          <w:rFonts w:ascii="Times New Roman" w:hAnsi="Times New Roman" w:cs="Times New Roman"/>
          <w:b w:val="0"/>
          <w:i w:val="0"/>
          <w:sz w:val="24"/>
        </w:rPr>
        <w:t>Feature importance is decomposed using TreeSHAP (Lundberg &amp; Lee, 2017; Lundberg et al., 2020), which assigns each predictor a Shapley value representing its marginal contribution to each prediction. We report mean |SHAP| values for the full sample and by generation, and generate dependence plots for socialization that reveal threshold effects. This validates whether the patterns observed in the parametric regression—particularly the First Step Effect and generational variation—are also captured by a nonlinear model without imposed interaction structure.</w:t>
      </w:r>
    </w:p>
    <w:p>
      <w:pPr>
        <w:spacing w:before="0" w:after="0" w:lineRule="auto" w:line="480"/>
        <w:jc w:val="left"/>
      </w:pPr>
      <w:r>
        <w:rPr>
          <w:rFonts w:ascii="Times New Roman" w:hAnsi="Times New Roman" w:cs="Times New Roman"/>
          <w:b/>
          <w:i/>
          <w:sz w:val="24"/>
        </w:rPr>
        <w:t>Software</w:t>
      </w:r>
    </w:p>
    <w:p>
      <w:pPr>
        <w:spacing w:before="0" w:after="0" w:lineRule="auto" w:line="480"/>
        <w:ind w:firstLine="720"/>
        <w:jc w:val="left"/>
      </w:pPr>
      <w:r>
        <w:rPr>
          <w:rFonts w:ascii="Times New Roman" w:hAnsi="Times New Roman" w:cs="Times New Roman"/>
          <w:b w:val="0"/>
          <w:i w:val="0"/>
          <w:sz w:val="24"/>
        </w:rPr>
        <w:t>All regression analyses were conducted in R (version 4.4.x) using the `survey` package (Lumley, 2020) for design-based estimation and the `marginaleffects` package (Arel-Bundock, 2023) for AME computation. LPA was estimated using the `mclust` package (Scrucca et al., 2016). XGBoost models were trained in Python (version 3.11) using the `xgboost` library (Chen &amp; Guestrin, 2016) with learning rate = 0.05, max depth = 6, 500 boosting rounds, and L2 regularization (lambda = 1.0). The train/test split was stratified by the outcome variable (80/20). SHAP values were computed using the `shap` library (Lundberg et al., 2020).</w:t>
      </w:r>
    </w:p>
    <w:p>
      <w:pPr>
        <w:spacing w:before="0" w:after="0" w:lineRule="auto" w:line="480"/>
        <w:jc w:val="left"/>
      </w:pPr>
      <w:r>
        <w:rPr>
          <w:rFonts w:ascii="Times New Roman" w:hAnsi="Times New Roman" w:cs="Times New Roman"/>
          <w:b/>
          <w:i/>
          <w:sz w:val="24"/>
        </w:rPr>
        <w:t>Robustness Checks</w:t>
      </w:r>
    </w:p>
    <w:p>
      <w:pPr>
        <w:spacing w:before="0" w:after="0" w:lineRule="auto" w:line="480"/>
        <w:ind w:firstLine="720"/>
        <w:jc w:val="left"/>
      </w:pPr>
      <w:r>
        <w:rPr>
          <w:rFonts w:ascii="Times New Roman" w:hAnsi="Times New Roman" w:cs="Times New Roman"/>
          <w:b w:val="0"/>
          <w:i w:val="0"/>
          <w:sz w:val="24"/>
        </w:rPr>
        <w:t>Three sets of robustness analyses tested the sensitivity of the regression findings. First, we compared the observed categorical AMEs to predictions from a smooth log-linear specification to confirm that the First Step Effect reflects a genuine threshold rather than an artifact of scale concavity. Second, we added organizational membership (VLMEMBERN) as a covariate to assess the extent to which the socialization pathway operates through institutional embeddedness. Third, we included a nonlinear age control (age-squared) alongside the generation variable to provide partial leverage against age-cohort confounding.</w:t>
      </w:r>
    </w:p>
    <w:p>
      <w:pPr>
        <w:spacing w:before="0" w:after="0" w:lineRule="auto" w:line="480"/>
        <w:jc w:val="center"/>
      </w:pPr>
      <w:r>
        <w:rPr>
          <w:rFonts w:ascii="Times New Roman" w:hAnsi="Times New Roman" w:cs="Times New Roman"/>
          <w:b/>
          <w:i w:val="0"/>
          <w:sz w:val="24"/>
        </w:rPr>
        <w:t>Results</w:t>
      </w:r>
    </w:p>
    <w:p>
      <w:pPr>
        <w:spacing w:before="0" w:after="0" w:lineRule="auto" w:line="480"/>
        <w:ind w:firstLine="720"/>
        <w:jc w:val="left"/>
      </w:pPr>
      <w:r>
        <w:rPr>
          <w:rFonts w:ascii="Times New Roman" w:hAnsi="Times New Roman" w:cs="Times New Roman"/>
          <w:b w:val="0"/>
          <w:i w:val="0"/>
          <w:sz w:val="24"/>
        </w:rPr>
        <w:t>The analytic sample comprised 201,168 respondents pooled across four CPS-CEV waves (2017, 2019, 2021, 2023), with an overall volunteering rate of 32.0%. Table 1 reports sample characteristics. Gen Z respondents (</w:t>
      </w:r>
      <w:r>
        <w:rPr>
          <w:rFonts w:ascii="Times New Roman" w:hAnsi="Times New Roman" w:cs="Times New Roman"/>
          <w:b w:val="0"/>
          <w:i/>
          <w:sz w:val="24"/>
        </w:rPr>
        <w:t>n</w:t>
      </w:r>
      <w:r>
        <w:rPr>
          <w:rFonts w:ascii="Times New Roman" w:hAnsi="Times New Roman" w:cs="Times New Roman"/>
          <w:b w:val="0"/>
          <w:i w:val="0"/>
          <w:sz w:val="24"/>
        </w:rPr>
        <w:t xml:space="preserve"> = 11,038) were youngest (M = 21.1 years), least educated (14.3% BA+), and least married (9.6%). The socialization gradient was steep: nearly half of Gen Z respondents (46.3%) reported socializing no more than a few times per year, compared with 19.0% of Boomers—a rate that was stable across all four waves (range: 44.6–47.8%), indicating that Gen Z's social disconnection preceded the COVID-19 pandemic and was independent of it. The generational contrast is not merely statistical: nearly half of the youngest adult cohort in a nationally representative sample reports that their face-to-face social contact amounts to no more than a few encounters per year—a level of isolation that, for older generations, characterizes fewer than one in five respondents.</w:t>
      </w:r>
    </w:p>
    <w:p>
      <w:pPr>
        <w:spacing w:before="240" w:after="80" w:lineRule="auto" w:line="480"/>
        <w:jc w:val="left"/>
      </w:pPr>
      <w:r>
        <w:rPr>
          <w:rFonts w:ascii="Times New Roman" w:hAnsi="Times New Roman" w:cs="Times New Roman"/>
          <w:b/>
          <w:i/>
          <w:sz w:val="24"/>
        </w:rPr>
        <w:t>Table 1</w:t>
      </w:r>
      <w:r>
        <w:rPr>
          <w:rFonts w:ascii="Times New Roman" w:hAnsi="Times New Roman" w:cs="Times New Roman"/>
          <w:b w:val="0"/>
          <w:i/>
          <w:sz w:val="24"/>
        </w:rPr>
        <w:br/>
        <w:t>Sample Characteristics by Generational Cohort (CPS-CEV 2017–2023, N = 201,168)</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Rule="auto" w:line="240"/>
              <w:jc w:val="center"/>
            </w:pPr>
            <w:r/>
            <w:r>
              <w:rPr>
                <w:rFonts w:ascii="Times New Roman" w:hAnsi="Times New Roman" w:cs="Times New Roman"/>
                <w:b/>
                <w:i w:val="0"/>
                <w:sz w:val="20"/>
              </w:rPr>
              <w:t>Generation</w:t>
            </w:r>
          </w:p>
        </w:tc>
        <w:tc>
          <w:tcPr>
            <w:tcW w:type="dxa" w:w="1170"/>
          </w:tcPr>
          <w:p>
            <w:pPr>
              <w:spacing w:before="0" w:after="0" w:lineRule="auto" w:line="240"/>
              <w:jc w:val="center"/>
            </w:pPr>
            <w:r/>
            <w:r>
              <w:rPr>
                <w:rFonts w:ascii="Times New Roman" w:hAnsi="Times New Roman" w:cs="Times New Roman"/>
                <w:b/>
                <w:i w:val="0"/>
                <w:sz w:val="20"/>
              </w:rPr>
              <w:t>N</w:t>
            </w:r>
          </w:p>
        </w:tc>
        <w:tc>
          <w:tcPr>
            <w:tcW w:type="dxa" w:w="1170"/>
          </w:tcPr>
          <w:p>
            <w:pPr>
              <w:spacing w:before="0" w:after="0" w:lineRule="auto" w:line="240"/>
              <w:jc w:val="center"/>
            </w:pPr>
            <w:r/>
            <w:r>
              <w:rPr>
                <w:rFonts w:ascii="Times New Roman" w:hAnsi="Times New Roman" w:cs="Times New Roman"/>
                <w:b/>
                <w:i w:val="0"/>
                <w:sz w:val="20"/>
              </w:rPr>
              <w:t>Age (M)</w:t>
            </w:r>
          </w:p>
        </w:tc>
        <w:tc>
          <w:tcPr>
            <w:tcW w:type="dxa" w:w="1170"/>
          </w:tcPr>
          <w:p>
            <w:pPr>
              <w:spacing w:before="0" w:after="0" w:lineRule="auto" w:line="240"/>
              <w:jc w:val="center"/>
            </w:pPr>
            <w:r/>
            <w:r>
              <w:rPr>
                <w:rFonts w:ascii="Times New Roman" w:hAnsi="Times New Roman" w:cs="Times New Roman"/>
                <w:b/>
                <w:i w:val="0"/>
                <w:sz w:val="20"/>
              </w:rPr>
              <w:t>Female (%)</w:t>
            </w:r>
          </w:p>
        </w:tc>
        <w:tc>
          <w:tcPr>
            <w:tcW w:type="dxa" w:w="1170"/>
          </w:tcPr>
          <w:p>
            <w:pPr>
              <w:spacing w:before="0" w:after="0" w:lineRule="auto" w:line="240"/>
              <w:jc w:val="center"/>
            </w:pPr>
            <w:r/>
            <w:r>
              <w:rPr>
                <w:rFonts w:ascii="Times New Roman" w:hAnsi="Times New Roman" w:cs="Times New Roman"/>
                <w:b/>
                <w:i w:val="0"/>
                <w:sz w:val="20"/>
              </w:rPr>
              <w:t>BA+ (%)</w:t>
            </w:r>
          </w:p>
        </w:tc>
        <w:tc>
          <w:tcPr>
            <w:tcW w:type="dxa" w:w="1170"/>
          </w:tcPr>
          <w:p>
            <w:pPr>
              <w:spacing w:before="0" w:after="0" w:lineRule="auto" w:line="240"/>
              <w:jc w:val="center"/>
            </w:pPr>
            <w:r/>
            <w:r>
              <w:rPr>
                <w:rFonts w:ascii="Times New Roman" w:hAnsi="Times New Roman" w:cs="Times New Roman"/>
                <w:b/>
                <w:i w:val="0"/>
                <w:sz w:val="20"/>
              </w:rPr>
              <w:t>Vol. Rate (%)</w:t>
            </w:r>
          </w:p>
        </w:tc>
        <w:tc>
          <w:tcPr>
            <w:tcW w:type="dxa" w:w="1170"/>
          </w:tcPr>
          <w:p>
            <w:pPr>
              <w:spacing w:before="0" w:after="0" w:lineRule="auto" w:line="240"/>
              <w:jc w:val="center"/>
            </w:pPr>
            <w:r/>
            <w:r>
              <w:rPr>
                <w:rFonts w:ascii="Times New Roman" w:hAnsi="Times New Roman" w:cs="Times New Roman"/>
                <w:b/>
                <w:i w:val="0"/>
                <w:sz w:val="20"/>
              </w:rPr>
              <w:t>Soc. (M)</w:t>
            </w:r>
          </w:p>
        </w:tc>
        <w:tc>
          <w:tcPr>
            <w:tcW w:type="dxa" w:w="1170"/>
          </w:tcPr>
          <w:p>
            <w:pPr>
              <w:spacing w:before="0" w:after="0" w:lineRule="auto" w:line="240"/>
              <w:jc w:val="center"/>
            </w:pPr>
            <w:r/>
            <w:r>
              <w:rPr>
                <w:rFonts w:ascii="Times New Roman" w:hAnsi="Times New Roman" w:cs="Times New Roman"/>
                <w:b/>
                <w:i w:val="0"/>
                <w:sz w:val="20"/>
              </w:rPr>
              <w:t>Min. Soc. (%)</w:t>
            </w:r>
          </w:p>
        </w:tc>
      </w:tr>
      <w:tr>
        <w:tc>
          <w:tcPr>
            <w:tcW w:type="dxa" w:w="1170"/>
          </w:tcPr>
          <w:p>
            <w:pPr>
              <w:spacing w:before="0" w:after="0" w:lineRule="auto" w:line="240"/>
              <w:jc w:val="left"/>
            </w:pPr>
            <w:r/>
            <w:r>
              <w:rPr>
                <w:rFonts w:ascii="Times New Roman" w:hAnsi="Times New Roman" w:cs="Times New Roman"/>
                <w:b w:val="0"/>
                <w:i w:val="0"/>
                <w:sz w:val="20"/>
              </w:rPr>
              <w:t>Gen Z</w:t>
            </w:r>
          </w:p>
        </w:tc>
        <w:tc>
          <w:tcPr>
            <w:tcW w:type="dxa" w:w="1170"/>
          </w:tcPr>
          <w:p>
            <w:pPr>
              <w:spacing w:before="0" w:after="0" w:lineRule="auto" w:line="240"/>
              <w:jc w:val="center"/>
            </w:pPr>
            <w:r/>
            <w:r>
              <w:rPr>
                <w:rFonts w:ascii="Times New Roman" w:hAnsi="Times New Roman" w:cs="Times New Roman"/>
                <w:b w:val="0"/>
                <w:i w:val="0"/>
                <w:sz w:val="20"/>
              </w:rPr>
              <w:t>11,038</w:t>
            </w:r>
          </w:p>
        </w:tc>
        <w:tc>
          <w:tcPr>
            <w:tcW w:type="dxa" w:w="1170"/>
          </w:tcPr>
          <w:p>
            <w:pPr>
              <w:spacing w:before="0" w:after="0" w:lineRule="auto" w:line="240"/>
              <w:jc w:val="center"/>
            </w:pPr>
            <w:r/>
            <w:r>
              <w:rPr>
                <w:rFonts w:ascii="Times New Roman" w:hAnsi="Times New Roman" w:cs="Times New Roman"/>
                <w:b w:val="0"/>
                <w:i w:val="0"/>
                <w:sz w:val="20"/>
              </w:rPr>
              <w:t>21.1</w:t>
            </w:r>
          </w:p>
        </w:tc>
        <w:tc>
          <w:tcPr>
            <w:tcW w:type="dxa" w:w="1170"/>
          </w:tcPr>
          <w:p>
            <w:pPr>
              <w:spacing w:before="0" w:after="0" w:lineRule="auto" w:line="240"/>
              <w:jc w:val="center"/>
            </w:pPr>
            <w:r/>
            <w:r>
              <w:rPr>
                <w:rFonts w:ascii="Times New Roman" w:hAnsi="Times New Roman" w:cs="Times New Roman"/>
                <w:b w:val="0"/>
                <w:i w:val="0"/>
                <w:sz w:val="20"/>
              </w:rPr>
              <w:t>49.9</w:t>
            </w:r>
          </w:p>
        </w:tc>
        <w:tc>
          <w:tcPr>
            <w:tcW w:type="dxa" w:w="1170"/>
          </w:tcPr>
          <w:p>
            <w:pPr>
              <w:spacing w:before="0" w:after="0" w:lineRule="auto" w:line="240"/>
              <w:jc w:val="center"/>
            </w:pPr>
            <w:r/>
            <w:r>
              <w:rPr>
                <w:rFonts w:ascii="Times New Roman" w:hAnsi="Times New Roman" w:cs="Times New Roman"/>
                <w:b w:val="0"/>
                <w:i w:val="0"/>
                <w:sz w:val="20"/>
              </w:rPr>
              <w:t>14.3</w:t>
            </w:r>
          </w:p>
        </w:tc>
        <w:tc>
          <w:tcPr>
            <w:tcW w:type="dxa" w:w="1170"/>
          </w:tcPr>
          <w:p>
            <w:pPr>
              <w:spacing w:before="0" w:after="0" w:lineRule="auto" w:line="240"/>
              <w:jc w:val="center"/>
            </w:pPr>
            <w:r/>
            <w:r>
              <w:rPr>
                <w:rFonts w:ascii="Times New Roman" w:hAnsi="Times New Roman" w:cs="Times New Roman"/>
                <w:b w:val="0"/>
                <w:i w:val="0"/>
                <w:sz w:val="20"/>
              </w:rPr>
              <w:t>23.9</w:t>
            </w:r>
          </w:p>
        </w:tc>
        <w:tc>
          <w:tcPr>
            <w:tcW w:type="dxa" w:w="1170"/>
          </w:tcPr>
          <w:p>
            <w:pPr>
              <w:spacing w:before="0" w:after="0" w:lineRule="auto" w:line="240"/>
              <w:jc w:val="center"/>
            </w:pPr>
            <w:r/>
            <w:r>
              <w:rPr>
                <w:rFonts w:ascii="Times New Roman" w:hAnsi="Times New Roman" w:cs="Times New Roman"/>
                <w:b w:val="0"/>
                <w:i w:val="0"/>
                <w:sz w:val="20"/>
              </w:rPr>
              <w:t>3.30</w:t>
            </w:r>
          </w:p>
        </w:tc>
        <w:tc>
          <w:tcPr>
            <w:tcW w:type="dxa" w:w="1170"/>
          </w:tcPr>
          <w:p>
            <w:pPr>
              <w:spacing w:before="0" w:after="0" w:lineRule="auto" w:line="240"/>
              <w:jc w:val="center"/>
            </w:pPr>
            <w:r/>
            <w:r>
              <w:rPr>
                <w:rFonts w:ascii="Times New Roman" w:hAnsi="Times New Roman" w:cs="Times New Roman"/>
                <w:b w:val="0"/>
                <w:i w:val="0"/>
                <w:sz w:val="20"/>
              </w:rPr>
              <w:t>46.3</w:t>
            </w:r>
          </w:p>
        </w:tc>
      </w:tr>
      <w:tr>
        <w:tc>
          <w:tcPr>
            <w:tcW w:type="dxa" w:w="1170"/>
          </w:tcPr>
          <w:p>
            <w:pPr>
              <w:spacing w:before="0" w:after="0" w:lineRule="auto" w:line="240"/>
              <w:jc w:val="left"/>
            </w:pPr>
            <w:r/>
            <w:r>
              <w:rPr>
                <w:rFonts w:ascii="Times New Roman" w:hAnsi="Times New Roman" w:cs="Times New Roman"/>
                <w:b w:val="0"/>
                <w:i w:val="0"/>
                <w:sz w:val="20"/>
              </w:rPr>
              <w:t>Millennial</w:t>
            </w:r>
          </w:p>
        </w:tc>
        <w:tc>
          <w:tcPr>
            <w:tcW w:type="dxa" w:w="1170"/>
          </w:tcPr>
          <w:p>
            <w:pPr>
              <w:spacing w:before="0" w:after="0" w:lineRule="auto" w:line="240"/>
              <w:jc w:val="center"/>
            </w:pPr>
            <w:r/>
            <w:r>
              <w:rPr>
                <w:rFonts w:ascii="Times New Roman" w:hAnsi="Times New Roman" w:cs="Times New Roman"/>
                <w:b w:val="0"/>
                <w:i w:val="0"/>
                <w:sz w:val="20"/>
              </w:rPr>
              <w:t>50,325</w:t>
            </w:r>
          </w:p>
        </w:tc>
        <w:tc>
          <w:tcPr>
            <w:tcW w:type="dxa" w:w="1170"/>
          </w:tcPr>
          <w:p>
            <w:pPr>
              <w:spacing w:before="0" w:after="0" w:lineRule="auto" w:line="240"/>
              <w:jc w:val="center"/>
            </w:pPr>
            <w:r/>
            <w:r>
              <w:rPr>
                <w:rFonts w:ascii="Times New Roman" w:hAnsi="Times New Roman" w:cs="Times New Roman"/>
                <w:b w:val="0"/>
                <w:i w:val="0"/>
                <w:sz w:val="20"/>
              </w:rPr>
              <w:t>31.7</w:t>
            </w:r>
          </w:p>
        </w:tc>
        <w:tc>
          <w:tcPr>
            <w:tcW w:type="dxa" w:w="1170"/>
          </w:tcPr>
          <w:p>
            <w:pPr>
              <w:spacing w:before="0" w:after="0" w:lineRule="auto" w:line="240"/>
              <w:jc w:val="center"/>
            </w:pPr>
            <w:r/>
            <w:r>
              <w:rPr>
                <w:rFonts w:ascii="Times New Roman" w:hAnsi="Times New Roman" w:cs="Times New Roman"/>
                <w:b w:val="0"/>
                <w:i w:val="0"/>
                <w:sz w:val="20"/>
              </w:rPr>
              <w:t>52.3</w:t>
            </w:r>
          </w:p>
        </w:tc>
        <w:tc>
          <w:tcPr>
            <w:tcW w:type="dxa" w:w="1170"/>
          </w:tcPr>
          <w:p>
            <w:pPr>
              <w:spacing w:before="0" w:after="0" w:lineRule="auto" w:line="240"/>
              <w:jc w:val="center"/>
            </w:pPr>
            <w:r/>
            <w:r>
              <w:rPr>
                <w:rFonts w:ascii="Times New Roman" w:hAnsi="Times New Roman" w:cs="Times New Roman"/>
                <w:b w:val="0"/>
                <w:i w:val="0"/>
                <w:sz w:val="20"/>
              </w:rPr>
              <w:t>43.5</w:t>
            </w:r>
          </w:p>
        </w:tc>
        <w:tc>
          <w:tcPr>
            <w:tcW w:type="dxa" w:w="1170"/>
          </w:tcPr>
          <w:p>
            <w:pPr>
              <w:spacing w:before="0" w:after="0" w:lineRule="auto" w:line="240"/>
              <w:jc w:val="center"/>
            </w:pPr>
            <w:r/>
            <w:r>
              <w:rPr>
                <w:rFonts w:ascii="Times New Roman" w:hAnsi="Times New Roman" w:cs="Times New Roman"/>
                <w:b w:val="0"/>
                <w:i w:val="0"/>
                <w:sz w:val="20"/>
              </w:rPr>
              <w:t>31.8</w:t>
            </w:r>
          </w:p>
        </w:tc>
        <w:tc>
          <w:tcPr>
            <w:tcW w:type="dxa" w:w="1170"/>
          </w:tcPr>
          <w:p>
            <w:pPr>
              <w:spacing w:before="0" w:after="0" w:lineRule="auto" w:line="240"/>
              <w:jc w:val="center"/>
            </w:pPr>
            <w:r/>
            <w:r>
              <w:rPr>
                <w:rFonts w:ascii="Times New Roman" w:hAnsi="Times New Roman" w:cs="Times New Roman"/>
                <w:b w:val="0"/>
                <w:i w:val="0"/>
                <w:sz w:val="20"/>
              </w:rPr>
              <w:t>3.62</w:t>
            </w:r>
          </w:p>
        </w:tc>
        <w:tc>
          <w:tcPr>
            <w:tcW w:type="dxa" w:w="1170"/>
          </w:tcPr>
          <w:p>
            <w:pPr>
              <w:spacing w:before="0" w:after="0" w:lineRule="auto" w:line="240"/>
              <w:jc w:val="center"/>
            </w:pPr>
            <w:r/>
            <w:r>
              <w:rPr>
                <w:rFonts w:ascii="Times New Roman" w:hAnsi="Times New Roman" w:cs="Times New Roman"/>
                <w:b w:val="0"/>
                <w:i w:val="0"/>
                <w:sz w:val="20"/>
              </w:rPr>
              <w:t>31.3</w:t>
            </w:r>
          </w:p>
        </w:tc>
      </w:tr>
      <w:tr>
        <w:tc>
          <w:tcPr>
            <w:tcW w:type="dxa" w:w="1170"/>
          </w:tcPr>
          <w:p>
            <w:pPr>
              <w:spacing w:before="0" w:after="0" w:lineRule="auto" w:line="240"/>
              <w:jc w:val="left"/>
            </w:pPr>
            <w:r/>
            <w:r>
              <w:rPr>
                <w:rFonts w:ascii="Times New Roman" w:hAnsi="Times New Roman" w:cs="Times New Roman"/>
                <w:b w:val="0"/>
                <w:i w:val="0"/>
                <w:sz w:val="20"/>
              </w:rPr>
              <w:t>Gen X</w:t>
            </w:r>
          </w:p>
        </w:tc>
        <w:tc>
          <w:tcPr>
            <w:tcW w:type="dxa" w:w="1170"/>
          </w:tcPr>
          <w:p>
            <w:pPr>
              <w:spacing w:before="0" w:after="0" w:lineRule="auto" w:line="240"/>
              <w:jc w:val="center"/>
            </w:pPr>
            <w:r/>
            <w:r>
              <w:rPr>
                <w:rFonts w:ascii="Times New Roman" w:hAnsi="Times New Roman" w:cs="Times New Roman"/>
                <w:b w:val="0"/>
                <w:i w:val="0"/>
                <w:sz w:val="20"/>
              </w:rPr>
              <w:t>48,042</w:t>
            </w:r>
          </w:p>
        </w:tc>
        <w:tc>
          <w:tcPr>
            <w:tcW w:type="dxa" w:w="1170"/>
          </w:tcPr>
          <w:p>
            <w:pPr>
              <w:spacing w:before="0" w:after="0" w:lineRule="auto" w:line="240"/>
              <w:jc w:val="center"/>
            </w:pPr>
            <w:r/>
            <w:r>
              <w:rPr>
                <w:rFonts w:ascii="Times New Roman" w:hAnsi="Times New Roman" w:cs="Times New Roman"/>
                <w:b w:val="0"/>
                <w:i w:val="0"/>
                <w:sz w:val="20"/>
              </w:rPr>
              <w:t>47.2</w:t>
            </w:r>
          </w:p>
        </w:tc>
        <w:tc>
          <w:tcPr>
            <w:tcW w:type="dxa" w:w="1170"/>
          </w:tcPr>
          <w:p>
            <w:pPr>
              <w:spacing w:before="0" w:after="0" w:lineRule="auto" w:line="240"/>
              <w:jc w:val="center"/>
            </w:pPr>
            <w:r/>
            <w:r>
              <w:rPr>
                <w:rFonts w:ascii="Times New Roman" w:hAnsi="Times New Roman" w:cs="Times New Roman"/>
                <w:b w:val="0"/>
                <w:i w:val="0"/>
                <w:sz w:val="20"/>
              </w:rPr>
              <w:t>51.9</w:t>
            </w:r>
          </w:p>
        </w:tc>
        <w:tc>
          <w:tcPr>
            <w:tcW w:type="dxa" w:w="1170"/>
          </w:tcPr>
          <w:p>
            <w:pPr>
              <w:spacing w:before="0" w:after="0" w:lineRule="auto" w:line="240"/>
              <w:jc w:val="center"/>
            </w:pPr>
            <w:r/>
            <w:r>
              <w:rPr>
                <w:rFonts w:ascii="Times New Roman" w:hAnsi="Times New Roman" w:cs="Times New Roman"/>
                <w:b w:val="0"/>
                <w:i w:val="0"/>
                <w:sz w:val="20"/>
              </w:rPr>
              <w:t>40.7</w:t>
            </w:r>
          </w:p>
        </w:tc>
        <w:tc>
          <w:tcPr>
            <w:tcW w:type="dxa" w:w="1170"/>
          </w:tcPr>
          <w:p>
            <w:pPr>
              <w:spacing w:before="0" w:after="0" w:lineRule="auto" w:line="240"/>
              <w:jc w:val="center"/>
            </w:pPr>
            <w:r/>
            <w:r>
              <w:rPr>
                <w:rFonts w:ascii="Times New Roman" w:hAnsi="Times New Roman" w:cs="Times New Roman"/>
                <w:b w:val="0"/>
                <w:i w:val="0"/>
                <w:sz w:val="20"/>
              </w:rPr>
              <w:t>36.8</w:t>
            </w:r>
          </w:p>
        </w:tc>
        <w:tc>
          <w:tcPr>
            <w:tcW w:type="dxa" w:w="1170"/>
          </w:tcPr>
          <w:p>
            <w:pPr>
              <w:spacing w:before="0" w:after="0" w:lineRule="auto" w:line="240"/>
              <w:jc w:val="center"/>
            </w:pPr>
            <w:r/>
            <w:r>
              <w:rPr>
                <w:rFonts w:ascii="Times New Roman" w:hAnsi="Times New Roman" w:cs="Times New Roman"/>
                <w:b w:val="0"/>
                <w:i w:val="0"/>
                <w:sz w:val="20"/>
              </w:rPr>
              <w:t>3.94</w:t>
            </w:r>
          </w:p>
        </w:tc>
        <w:tc>
          <w:tcPr>
            <w:tcW w:type="dxa" w:w="1170"/>
          </w:tcPr>
          <w:p>
            <w:pPr>
              <w:spacing w:before="0" w:after="0" w:lineRule="auto" w:line="240"/>
              <w:jc w:val="center"/>
            </w:pPr>
            <w:r/>
            <w:r>
              <w:rPr>
                <w:rFonts w:ascii="Times New Roman" w:hAnsi="Times New Roman" w:cs="Times New Roman"/>
                <w:b w:val="0"/>
                <w:i w:val="0"/>
                <w:sz w:val="20"/>
              </w:rPr>
              <w:t>23.4</w:t>
            </w:r>
          </w:p>
        </w:tc>
      </w:tr>
      <w:tr>
        <w:tc>
          <w:tcPr>
            <w:tcW w:type="dxa" w:w="1170"/>
          </w:tcPr>
          <w:p>
            <w:pPr>
              <w:spacing w:before="0" w:after="0" w:lineRule="auto" w:line="240"/>
              <w:jc w:val="left"/>
            </w:pPr>
            <w:r/>
            <w:r>
              <w:rPr>
                <w:rFonts w:ascii="Times New Roman" w:hAnsi="Times New Roman" w:cs="Times New Roman"/>
                <w:b w:val="0"/>
                <w:i w:val="0"/>
                <w:sz w:val="20"/>
              </w:rPr>
              <w:t>Boomer</w:t>
            </w:r>
          </w:p>
        </w:tc>
        <w:tc>
          <w:tcPr>
            <w:tcW w:type="dxa" w:w="1170"/>
          </w:tcPr>
          <w:p>
            <w:pPr>
              <w:spacing w:before="0" w:after="0" w:lineRule="auto" w:line="240"/>
              <w:jc w:val="center"/>
            </w:pPr>
            <w:r/>
            <w:r>
              <w:rPr>
                <w:rFonts w:ascii="Times New Roman" w:hAnsi="Times New Roman" w:cs="Times New Roman"/>
                <w:b w:val="0"/>
                <w:i w:val="0"/>
                <w:sz w:val="20"/>
              </w:rPr>
              <w:t>68,065</w:t>
            </w:r>
          </w:p>
        </w:tc>
        <w:tc>
          <w:tcPr>
            <w:tcW w:type="dxa" w:w="1170"/>
          </w:tcPr>
          <w:p>
            <w:pPr>
              <w:spacing w:before="0" w:after="0" w:lineRule="auto" w:line="240"/>
              <w:jc w:val="center"/>
            </w:pPr>
            <w:r/>
            <w:r>
              <w:rPr>
                <w:rFonts w:ascii="Times New Roman" w:hAnsi="Times New Roman" w:cs="Times New Roman"/>
                <w:b w:val="0"/>
                <w:i w:val="0"/>
                <w:sz w:val="20"/>
              </w:rPr>
              <w:t>64.5</w:t>
            </w:r>
          </w:p>
        </w:tc>
        <w:tc>
          <w:tcPr>
            <w:tcW w:type="dxa" w:w="1170"/>
          </w:tcPr>
          <w:p>
            <w:pPr>
              <w:spacing w:before="0" w:after="0" w:lineRule="auto" w:line="240"/>
              <w:jc w:val="center"/>
            </w:pPr>
            <w:r/>
            <w:r>
              <w:rPr>
                <w:rFonts w:ascii="Times New Roman" w:hAnsi="Times New Roman" w:cs="Times New Roman"/>
                <w:b w:val="0"/>
                <w:i w:val="0"/>
                <w:sz w:val="20"/>
              </w:rPr>
              <w:t>53.6</w:t>
            </w:r>
          </w:p>
        </w:tc>
        <w:tc>
          <w:tcPr>
            <w:tcW w:type="dxa" w:w="1170"/>
          </w:tcPr>
          <w:p>
            <w:pPr>
              <w:spacing w:before="0" w:after="0" w:lineRule="auto" w:line="240"/>
              <w:jc w:val="center"/>
            </w:pPr>
            <w:r/>
            <w:r>
              <w:rPr>
                <w:rFonts w:ascii="Times New Roman" w:hAnsi="Times New Roman" w:cs="Times New Roman"/>
                <w:b w:val="0"/>
                <w:i w:val="0"/>
                <w:sz w:val="20"/>
              </w:rPr>
              <w:t>34.2</w:t>
            </w:r>
          </w:p>
        </w:tc>
        <w:tc>
          <w:tcPr>
            <w:tcW w:type="dxa" w:w="1170"/>
          </w:tcPr>
          <w:p>
            <w:pPr>
              <w:spacing w:before="0" w:after="0" w:lineRule="auto" w:line="240"/>
              <w:jc w:val="center"/>
            </w:pPr>
            <w:r/>
            <w:r>
              <w:rPr>
                <w:rFonts w:ascii="Times New Roman" w:hAnsi="Times New Roman" w:cs="Times New Roman"/>
                <w:b w:val="0"/>
                <w:i w:val="0"/>
                <w:sz w:val="20"/>
              </w:rPr>
              <w:t>32.2</w:t>
            </w:r>
          </w:p>
        </w:tc>
        <w:tc>
          <w:tcPr>
            <w:tcW w:type="dxa" w:w="1170"/>
          </w:tcPr>
          <w:p>
            <w:pPr>
              <w:spacing w:before="0" w:after="0" w:lineRule="auto" w:line="240"/>
              <w:jc w:val="center"/>
            </w:pPr>
            <w:r/>
            <w:r>
              <w:rPr>
                <w:rFonts w:ascii="Times New Roman" w:hAnsi="Times New Roman" w:cs="Times New Roman"/>
                <w:b w:val="0"/>
                <w:i w:val="0"/>
                <w:sz w:val="20"/>
              </w:rPr>
              <w:t>4.16</w:t>
            </w:r>
          </w:p>
        </w:tc>
        <w:tc>
          <w:tcPr>
            <w:tcW w:type="dxa" w:w="1170"/>
          </w:tcPr>
          <w:p>
            <w:pPr>
              <w:spacing w:before="0" w:after="0" w:lineRule="auto" w:line="240"/>
              <w:jc w:val="center"/>
            </w:pPr>
            <w:r/>
            <w:r>
              <w:rPr>
                <w:rFonts w:ascii="Times New Roman" w:hAnsi="Times New Roman" w:cs="Times New Roman"/>
                <w:b w:val="0"/>
                <w:i w:val="0"/>
                <w:sz w:val="20"/>
              </w:rPr>
              <w:t>19.0</w:t>
            </w:r>
          </w:p>
        </w:tc>
      </w:tr>
      <w:tr>
        <w:tc>
          <w:tcPr>
            <w:tcW w:type="dxa" w:w="1170"/>
          </w:tcPr>
          <w:p>
            <w:pPr>
              <w:spacing w:before="0" w:after="0" w:lineRule="auto" w:line="240"/>
              <w:jc w:val="left"/>
            </w:pPr>
            <w:r/>
            <w:r>
              <w:rPr>
                <w:rFonts w:ascii="Times New Roman" w:hAnsi="Times New Roman" w:cs="Times New Roman"/>
                <w:b w:val="0"/>
                <w:i w:val="0"/>
                <w:sz w:val="20"/>
              </w:rPr>
              <w:t>Silent</w:t>
            </w:r>
          </w:p>
        </w:tc>
        <w:tc>
          <w:tcPr>
            <w:tcW w:type="dxa" w:w="1170"/>
          </w:tcPr>
          <w:p>
            <w:pPr>
              <w:spacing w:before="0" w:after="0" w:lineRule="auto" w:line="240"/>
              <w:jc w:val="center"/>
            </w:pPr>
            <w:r/>
            <w:r>
              <w:rPr>
                <w:rFonts w:ascii="Times New Roman" w:hAnsi="Times New Roman" w:cs="Times New Roman"/>
                <w:b w:val="0"/>
                <w:i w:val="0"/>
                <w:sz w:val="20"/>
              </w:rPr>
              <w:t>23,698</w:t>
            </w:r>
          </w:p>
        </w:tc>
        <w:tc>
          <w:tcPr>
            <w:tcW w:type="dxa" w:w="1170"/>
          </w:tcPr>
          <w:p>
            <w:pPr>
              <w:spacing w:before="0" w:after="0" w:lineRule="auto" w:line="240"/>
              <w:jc w:val="center"/>
            </w:pPr>
            <w:r/>
            <w:r>
              <w:rPr>
                <w:rFonts w:ascii="Times New Roman" w:hAnsi="Times New Roman" w:cs="Times New Roman"/>
                <w:b w:val="0"/>
                <w:i w:val="0"/>
                <w:sz w:val="20"/>
              </w:rPr>
              <w:t>79.5</w:t>
            </w:r>
          </w:p>
        </w:tc>
        <w:tc>
          <w:tcPr>
            <w:tcW w:type="dxa" w:w="1170"/>
          </w:tcPr>
          <w:p>
            <w:pPr>
              <w:spacing w:before="0" w:after="0" w:lineRule="auto" w:line="240"/>
              <w:jc w:val="center"/>
            </w:pPr>
            <w:r/>
            <w:r>
              <w:rPr>
                <w:rFonts w:ascii="Times New Roman" w:hAnsi="Times New Roman" w:cs="Times New Roman"/>
                <w:b w:val="0"/>
                <w:i w:val="0"/>
                <w:sz w:val="20"/>
              </w:rPr>
              <w:t>57.1</w:t>
            </w:r>
          </w:p>
        </w:tc>
        <w:tc>
          <w:tcPr>
            <w:tcW w:type="dxa" w:w="1170"/>
          </w:tcPr>
          <w:p>
            <w:pPr>
              <w:spacing w:before="0" w:after="0" w:lineRule="auto" w:line="240"/>
              <w:jc w:val="center"/>
            </w:pPr>
            <w:r/>
            <w:r>
              <w:rPr>
                <w:rFonts w:ascii="Times New Roman" w:hAnsi="Times New Roman" w:cs="Times New Roman"/>
                <w:b w:val="0"/>
                <w:i w:val="0"/>
                <w:sz w:val="20"/>
              </w:rPr>
              <w:t>29.0</w:t>
            </w:r>
          </w:p>
        </w:tc>
        <w:tc>
          <w:tcPr>
            <w:tcW w:type="dxa" w:w="1170"/>
          </w:tcPr>
          <w:p>
            <w:pPr>
              <w:spacing w:before="0" w:after="0" w:lineRule="auto" w:line="240"/>
              <w:jc w:val="center"/>
            </w:pPr>
            <w:r/>
            <w:r>
              <w:rPr>
                <w:rFonts w:ascii="Times New Roman" w:hAnsi="Times New Roman" w:cs="Times New Roman"/>
                <w:b w:val="0"/>
                <w:i w:val="0"/>
                <w:sz w:val="20"/>
              </w:rPr>
              <w:t>25.9</w:t>
            </w:r>
          </w:p>
        </w:tc>
        <w:tc>
          <w:tcPr>
            <w:tcW w:type="dxa" w:w="1170"/>
          </w:tcPr>
          <w:p>
            <w:pPr>
              <w:spacing w:before="0" w:after="0" w:lineRule="auto" w:line="240"/>
              <w:jc w:val="center"/>
            </w:pPr>
            <w:r/>
            <w:r>
              <w:rPr>
                <w:rFonts w:ascii="Times New Roman" w:hAnsi="Times New Roman" w:cs="Times New Roman"/>
                <w:b w:val="0"/>
                <w:i w:val="0"/>
                <w:sz w:val="20"/>
              </w:rPr>
              <w:t>4.36</w:t>
            </w:r>
          </w:p>
        </w:tc>
        <w:tc>
          <w:tcPr>
            <w:tcW w:type="dxa" w:w="1170"/>
          </w:tcPr>
          <w:p>
            <w:pPr>
              <w:spacing w:before="0" w:after="0" w:lineRule="auto" w:line="240"/>
              <w:jc w:val="center"/>
            </w:pPr>
            <w:r/>
            <w:r>
              <w:rPr>
                <w:rFonts w:ascii="Times New Roman" w:hAnsi="Times New Roman" w:cs="Times New Roman"/>
                <w:b w:val="0"/>
                <w:i w:val="0"/>
                <w:sz w:val="20"/>
              </w:rPr>
              <w:t>19.5</w:t>
            </w:r>
          </w:p>
        </w:tc>
      </w:tr>
    </w:tbl>
    <w:p>
      <w:pPr>
        <w:spacing w:before="80" w:after="240" w:lineRule="auto" w:line="480"/>
      </w:pPr>
    </w:p>
    <w:p>
      <w:pPr>
        <w:spacing w:before="0" w:after="0" w:lineRule="auto" w:line="480"/>
        <w:jc w:val="left"/>
      </w:pPr>
      <w:r>
        <w:rPr>
          <w:rFonts w:ascii="Times New Roman" w:hAnsi="Times New Roman" w:cs="Times New Roman"/>
          <w:b/>
          <w:i w:val="0"/>
          <w:sz w:val="24"/>
        </w:rPr>
        <w:t>The First Step Effect</w:t>
      </w:r>
    </w:p>
    <w:p>
      <w:pPr>
        <w:spacing w:before="0" w:after="0" w:lineRule="auto" w:line="480"/>
        <w:ind w:firstLine="720"/>
        <w:jc w:val="left"/>
      </w:pPr>
      <w:r>
        <w:rPr>
          <w:rFonts w:ascii="Times New Roman" w:hAnsi="Times New Roman" w:cs="Times New Roman"/>
          <w:b w:val="0"/>
          <w:i w:val="0"/>
          <w:sz w:val="24"/>
        </w:rPr>
        <w:t xml:space="preserve">Survey-weighted logistic regression confirmed that the socialization–volunteering relationship varies across generations (socialization × generation interaction: Wald F = 5.00, df = 20, </w:t>
      </w:r>
      <w:r>
        <w:rPr>
          <w:rFonts w:ascii="Times New Roman" w:hAnsi="Times New Roman" w:cs="Times New Roman"/>
          <w:b w:val="0"/>
          <w:i/>
          <w:sz w:val="24"/>
        </w:rPr>
        <w:t>p</w:t>
      </w:r>
      <w:r>
        <w:rPr>
          <w:rFonts w:ascii="Times New Roman" w:hAnsi="Times New Roman" w:cs="Times New Roman"/>
          <w:b w:val="0"/>
          <w:i w:val="0"/>
          <w:sz w:val="24"/>
        </w:rPr>
        <w:t xml:space="preserve"> &lt; .001). Figure 1 displays the predicted probabilities. Two patterns stand out.</w:t>
      </w: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pred_prob_soc_gen.png"/>
                    <pic:cNvPicPr/>
                  </pic:nvPicPr>
                  <pic:blipFill>
                    <a:blip r:embed="rId9"/>
                    <a:stretch>
                      <a:fillRect/>
                    </a:stretch>
                  </pic:blipFill>
                  <pic:spPr>
                    <a:xfrm>
                      <a:off x="0" y="0"/>
                      <a:ext cx="5029200" cy="3352800"/>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1. </w:t>
      </w:r>
      <w:r>
        <w:rPr>
          <w:rFonts w:ascii="Times New Roman" w:hAnsi="Times New Roman" w:cs="Times New Roman"/>
          <w:b w:val="0"/>
          <w:i w:val="0"/>
          <w:sz w:val="24"/>
        </w:rPr>
        <w:t>Predicted probability of volunteering by in-person socialization level and generation, from survey-weighted logistic regression (Model 1). Shaded bands represent 95% confidence intervals.</w:t>
      </w:r>
    </w:p>
    <w:p>
      <w:pPr>
        <w:spacing w:before="0" w:after="0" w:lineRule="auto" w:line="480"/>
        <w:ind w:firstLine="720"/>
        <w:jc w:val="left"/>
      </w:pPr>
      <w:r>
        <w:rPr>
          <w:rFonts w:ascii="Times New Roman" w:hAnsi="Times New Roman" w:cs="Times New Roman"/>
          <w:b w:val="0"/>
          <w:i w:val="0"/>
          <w:sz w:val="24"/>
        </w:rPr>
        <w:t>The first is a universal threshold. For every generation, the transition from no socialization to minimal socialization (a few times per year) produced the single largest marginal gain in volunteering probability (Table 2). This "First Step" effect ranged from 7.3 percentage points for the Silent Generation to 10.3 points for Gen X, with Gen Z at 8.1 points (95% CI [5.0, 11.2])—comparable in magnitude to the education gradient (BA+ vs. no BA). Subsequent transitions yielded progressively smaller gains, following a concave dose–response pattern: the move from isolation to minimal contact is worth roughly as much, in terms of volunteering probability, as the next three transitions combined. Across all cohorts, breaking out of complete social isolation was associated with the largest marginal civic return. Robustness analyses confirmed that this threshold is genuine: the observed categorical AMEs exceeded smooth log-linear predictions by 2.4 to 4.7 percentage points across all generations, with the excess largest for Gen Z (4.7 pp). When organizational membership was added as a covariate, the First Step Effect was attenuated by approximately 30%, indicating that part of the socialization pathway operates through institutional embeddedness—but a substantial independent association remained.</w:t>
      </w:r>
    </w:p>
    <w:p>
      <w:pPr>
        <w:spacing w:before="240" w:after="80" w:lineRule="auto" w:line="480"/>
        <w:jc w:val="left"/>
      </w:pPr>
      <w:r>
        <w:rPr>
          <w:rFonts w:ascii="Times New Roman" w:hAnsi="Times New Roman" w:cs="Times New Roman"/>
          <w:b/>
          <w:i/>
          <w:sz w:val="24"/>
        </w:rPr>
        <w:t>Table 2</w:t>
      </w:r>
      <w:r>
        <w:rPr>
          <w:rFonts w:ascii="Times New Roman" w:hAnsi="Times New Roman" w:cs="Times New Roman"/>
          <w:b w:val="0"/>
          <w:i/>
          <w:sz w:val="24"/>
        </w:rPr>
        <w:br/>
        <w:t>First Step Effect: Average Marginal Effects for the Transition From No Socialization to Minimal Socialization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Rule="auto" w:line="240"/>
              <w:jc w:val="center"/>
            </w:pPr>
            <w:r/>
            <w:r>
              <w:rPr>
                <w:rFonts w:ascii="Times New Roman" w:hAnsi="Times New Roman" w:cs="Times New Roman"/>
                <w:b/>
                <w:i w:val="0"/>
                <w:sz w:val="20"/>
              </w:rPr>
              <w:t>Generation</w:t>
            </w:r>
          </w:p>
        </w:tc>
        <w:tc>
          <w:tcPr>
            <w:tcW w:type="dxa" w:w="1872"/>
          </w:tcPr>
          <w:p>
            <w:pPr>
              <w:spacing w:before="0" w:after="0" w:lineRule="auto" w:line="240"/>
              <w:jc w:val="center"/>
            </w:pPr>
            <w:r/>
            <w:r>
              <w:rPr>
                <w:rFonts w:ascii="Times New Roman" w:hAnsi="Times New Roman" w:cs="Times New Roman"/>
                <w:b/>
                <w:i w:val="0"/>
                <w:sz w:val="20"/>
              </w:rPr>
              <w:t>AME (pp)</w:t>
            </w:r>
          </w:p>
        </w:tc>
        <w:tc>
          <w:tcPr>
            <w:tcW w:type="dxa" w:w="1872"/>
          </w:tcPr>
          <w:p>
            <w:pPr>
              <w:spacing w:before="0" w:after="0" w:lineRule="auto" w:line="240"/>
              <w:jc w:val="center"/>
            </w:pPr>
            <w:r/>
            <w:r>
              <w:rPr>
                <w:rFonts w:ascii="Times New Roman" w:hAnsi="Times New Roman" w:cs="Times New Roman"/>
                <w:b/>
                <w:i w:val="0"/>
                <w:sz w:val="20"/>
              </w:rPr>
              <w:t>95% CI Lower</w:t>
            </w:r>
          </w:p>
        </w:tc>
        <w:tc>
          <w:tcPr>
            <w:tcW w:type="dxa" w:w="1872"/>
          </w:tcPr>
          <w:p>
            <w:pPr>
              <w:spacing w:before="0" w:after="0" w:lineRule="auto" w:line="240"/>
              <w:jc w:val="center"/>
            </w:pPr>
            <w:r/>
            <w:r>
              <w:rPr>
                <w:rFonts w:ascii="Times New Roman" w:hAnsi="Times New Roman" w:cs="Times New Roman"/>
                <w:b/>
                <w:i w:val="0"/>
                <w:sz w:val="20"/>
              </w:rPr>
              <w:t>95% CI Upper</w:t>
            </w:r>
          </w:p>
        </w:tc>
        <w:tc>
          <w:tcPr>
            <w:tcW w:type="dxa" w:w="1872"/>
          </w:tcPr>
          <w:p>
            <w:pPr>
              <w:spacing w:before="0" w:after="0" w:lineRule="auto" w:line="240"/>
              <w:jc w:val="center"/>
            </w:pPr>
            <w:r/>
            <w:r>
              <w:rPr>
                <w:rFonts w:ascii="Times New Roman" w:hAnsi="Times New Roman" w:cs="Times New Roman"/>
                <w:b/>
                <w:i w:val="0"/>
                <w:sz w:val="20"/>
              </w:rPr>
              <w:t>p</w:t>
            </w:r>
          </w:p>
        </w:tc>
      </w:tr>
      <w:tr>
        <w:tc>
          <w:tcPr>
            <w:tcW w:type="dxa" w:w="1872"/>
          </w:tcPr>
          <w:p>
            <w:pPr>
              <w:spacing w:before="0" w:after="0" w:lineRule="auto" w:line="240"/>
              <w:jc w:val="left"/>
            </w:pPr>
            <w:r/>
            <w:r>
              <w:rPr>
                <w:rFonts w:ascii="Times New Roman" w:hAnsi="Times New Roman" w:cs="Times New Roman"/>
                <w:b w:val="0"/>
                <w:i w:val="0"/>
                <w:sz w:val="20"/>
              </w:rPr>
              <w:t>Gen Z</w:t>
            </w:r>
          </w:p>
        </w:tc>
        <w:tc>
          <w:tcPr>
            <w:tcW w:type="dxa" w:w="1872"/>
          </w:tcPr>
          <w:p>
            <w:pPr>
              <w:spacing w:before="0" w:after="0" w:lineRule="auto" w:line="240"/>
              <w:jc w:val="center"/>
            </w:pPr>
            <w:r/>
            <w:r>
              <w:rPr>
                <w:rFonts w:ascii="Times New Roman" w:hAnsi="Times New Roman" w:cs="Times New Roman"/>
                <w:b w:val="0"/>
                <w:i w:val="0"/>
                <w:sz w:val="20"/>
              </w:rPr>
              <w:t>8.1</w:t>
            </w:r>
          </w:p>
        </w:tc>
        <w:tc>
          <w:tcPr>
            <w:tcW w:type="dxa" w:w="1872"/>
          </w:tcPr>
          <w:p>
            <w:pPr>
              <w:spacing w:before="0" w:after="0" w:lineRule="auto" w:line="240"/>
              <w:jc w:val="center"/>
            </w:pPr>
            <w:r/>
            <w:r>
              <w:rPr>
                <w:rFonts w:ascii="Times New Roman" w:hAnsi="Times New Roman" w:cs="Times New Roman"/>
                <w:b w:val="0"/>
                <w:i w:val="0"/>
                <w:sz w:val="20"/>
              </w:rPr>
              <w:t>5.0</w:t>
            </w:r>
          </w:p>
        </w:tc>
        <w:tc>
          <w:tcPr>
            <w:tcW w:type="dxa" w:w="1872"/>
          </w:tcPr>
          <w:p>
            <w:pPr>
              <w:spacing w:before="0" w:after="0" w:lineRule="auto" w:line="240"/>
              <w:jc w:val="center"/>
            </w:pPr>
            <w:r/>
            <w:r>
              <w:rPr>
                <w:rFonts w:ascii="Times New Roman" w:hAnsi="Times New Roman" w:cs="Times New Roman"/>
                <w:b w:val="0"/>
                <w:i w:val="0"/>
                <w:sz w:val="20"/>
              </w:rPr>
              <w:t>11.2</w:t>
            </w:r>
          </w:p>
        </w:tc>
        <w:tc>
          <w:tcPr>
            <w:tcW w:type="dxa" w:w="1872"/>
          </w:tcPr>
          <w:p>
            <w:pPr>
              <w:spacing w:before="0" w:after="0" w:lineRule="auto" w:line="240"/>
              <w:jc w:val="center"/>
            </w:pPr>
            <w:r/>
            <w:r>
              <w:rPr>
                <w:rFonts w:ascii="Times New Roman" w:hAnsi="Times New Roman" w:cs="Times New Roman"/>
                <w:b w:val="0"/>
                <w:i w:val="0"/>
                <w:sz w:val="20"/>
              </w:rPr>
              <w:t>&lt; .001</w:t>
            </w:r>
          </w:p>
        </w:tc>
      </w:tr>
      <w:tr>
        <w:tc>
          <w:tcPr>
            <w:tcW w:type="dxa" w:w="1872"/>
          </w:tcPr>
          <w:p>
            <w:pPr>
              <w:spacing w:before="0" w:after="0" w:lineRule="auto" w:line="240"/>
              <w:jc w:val="left"/>
            </w:pPr>
            <w:r/>
            <w:r>
              <w:rPr>
                <w:rFonts w:ascii="Times New Roman" w:hAnsi="Times New Roman" w:cs="Times New Roman"/>
                <w:b w:val="0"/>
                <w:i w:val="0"/>
                <w:sz w:val="20"/>
              </w:rPr>
              <w:t>Millennial</w:t>
            </w:r>
          </w:p>
        </w:tc>
        <w:tc>
          <w:tcPr>
            <w:tcW w:type="dxa" w:w="1872"/>
          </w:tcPr>
          <w:p>
            <w:pPr>
              <w:spacing w:before="0" w:after="0" w:lineRule="auto" w:line="240"/>
              <w:jc w:val="center"/>
            </w:pPr>
            <w:r/>
            <w:r>
              <w:rPr>
                <w:rFonts w:ascii="Times New Roman" w:hAnsi="Times New Roman" w:cs="Times New Roman"/>
                <w:b w:val="0"/>
                <w:i w:val="0"/>
                <w:sz w:val="20"/>
              </w:rPr>
              <w:t>8.0</w:t>
            </w:r>
          </w:p>
        </w:tc>
        <w:tc>
          <w:tcPr>
            <w:tcW w:type="dxa" w:w="1872"/>
          </w:tcPr>
          <w:p>
            <w:pPr>
              <w:spacing w:before="0" w:after="0" w:lineRule="auto" w:line="240"/>
              <w:jc w:val="center"/>
            </w:pPr>
            <w:r/>
            <w:r>
              <w:rPr>
                <w:rFonts w:ascii="Times New Roman" w:hAnsi="Times New Roman" w:cs="Times New Roman"/>
                <w:b w:val="0"/>
                <w:i w:val="0"/>
                <w:sz w:val="20"/>
              </w:rPr>
              <w:t>6.5</w:t>
            </w:r>
          </w:p>
        </w:tc>
        <w:tc>
          <w:tcPr>
            <w:tcW w:type="dxa" w:w="1872"/>
          </w:tcPr>
          <w:p>
            <w:pPr>
              <w:spacing w:before="0" w:after="0" w:lineRule="auto" w:line="240"/>
              <w:jc w:val="center"/>
            </w:pPr>
            <w:r/>
            <w:r>
              <w:rPr>
                <w:rFonts w:ascii="Times New Roman" w:hAnsi="Times New Roman" w:cs="Times New Roman"/>
                <w:b w:val="0"/>
                <w:i w:val="0"/>
                <w:sz w:val="20"/>
              </w:rPr>
              <w:t>9.5</w:t>
            </w:r>
          </w:p>
        </w:tc>
        <w:tc>
          <w:tcPr>
            <w:tcW w:type="dxa" w:w="1872"/>
          </w:tcPr>
          <w:p>
            <w:pPr>
              <w:spacing w:before="0" w:after="0" w:lineRule="auto" w:line="240"/>
              <w:jc w:val="center"/>
            </w:pPr>
            <w:r/>
            <w:r>
              <w:rPr>
                <w:rFonts w:ascii="Times New Roman" w:hAnsi="Times New Roman" w:cs="Times New Roman"/>
                <w:b w:val="0"/>
                <w:i w:val="0"/>
                <w:sz w:val="20"/>
              </w:rPr>
              <w:t>&lt; .001</w:t>
            </w:r>
          </w:p>
        </w:tc>
      </w:tr>
      <w:tr>
        <w:tc>
          <w:tcPr>
            <w:tcW w:type="dxa" w:w="1872"/>
          </w:tcPr>
          <w:p>
            <w:pPr>
              <w:spacing w:before="0" w:after="0" w:lineRule="auto" w:line="240"/>
              <w:jc w:val="left"/>
            </w:pPr>
            <w:r/>
            <w:r>
              <w:rPr>
                <w:rFonts w:ascii="Times New Roman" w:hAnsi="Times New Roman" w:cs="Times New Roman"/>
                <w:b w:val="0"/>
                <w:i w:val="0"/>
                <w:sz w:val="20"/>
              </w:rPr>
              <w:t>Gen X</w:t>
            </w:r>
          </w:p>
        </w:tc>
        <w:tc>
          <w:tcPr>
            <w:tcW w:type="dxa" w:w="1872"/>
          </w:tcPr>
          <w:p>
            <w:pPr>
              <w:spacing w:before="0" w:after="0" w:lineRule="auto" w:line="240"/>
              <w:jc w:val="center"/>
            </w:pPr>
            <w:r/>
            <w:r>
              <w:rPr>
                <w:rFonts w:ascii="Times New Roman" w:hAnsi="Times New Roman" w:cs="Times New Roman"/>
                <w:b w:val="0"/>
                <w:i w:val="0"/>
                <w:sz w:val="20"/>
              </w:rPr>
              <w:t>10.3</w:t>
            </w:r>
          </w:p>
        </w:tc>
        <w:tc>
          <w:tcPr>
            <w:tcW w:type="dxa" w:w="1872"/>
          </w:tcPr>
          <w:p>
            <w:pPr>
              <w:spacing w:before="0" w:after="0" w:lineRule="auto" w:line="240"/>
              <w:jc w:val="center"/>
            </w:pPr>
            <w:r/>
            <w:r>
              <w:rPr>
                <w:rFonts w:ascii="Times New Roman" w:hAnsi="Times New Roman" w:cs="Times New Roman"/>
                <w:b w:val="0"/>
                <w:i w:val="0"/>
                <w:sz w:val="20"/>
              </w:rPr>
              <w:t>8.6</w:t>
            </w:r>
          </w:p>
        </w:tc>
        <w:tc>
          <w:tcPr>
            <w:tcW w:type="dxa" w:w="1872"/>
          </w:tcPr>
          <w:p>
            <w:pPr>
              <w:spacing w:before="0" w:after="0" w:lineRule="auto" w:line="240"/>
              <w:jc w:val="center"/>
            </w:pPr>
            <w:r/>
            <w:r>
              <w:rPr>
                <w:rFonts w:ascii="Times New Roman" w:hAnsi="Times New Roman" w:cs="Times New Roman"/>
                <w:b w:val="0"/>
                <w:i w:val="0"/>
                <w:sz w:val="20"/>
              </w:rPr>
              <w:t>12.0</w:t>
            </w:r>
          </w:p>
        </w:tc>
        <w:tc>
          <w:tcPr>
            <w:tcW w:type="dxa" w:w="1872"/>
          </w:tcPr>
          <w:p>
            <w:pPr>
              <w:spacing w:before="0" w:after="0" w:lineRule="auto" w:line="240"/>
              <w:jc w:val="center"/>
            </w:pPr>
            <w:r/>
            <w:r>
              <w:rPr>
                <w:rFonts w:ascii="Times New Roman" w:hAnsi="Times New Roman" w:cs="Times New Roman"/>
                <w:b w:val="0"/>
                <w:i w:val="0"/>
                <w:sz w:val="20"/>
              </w:rPr>
              <w:t>&lt; .001</w:t>
            </w:r>
          </w:p>
        </w:tc>
      </w:tr>
      <w:tr>
        <w:tc>
          <w:tcPr>
            <w:tcW w:type="dxa" w:w="1872"/>
          </w:tcPr>
          <w:p>
            <w:pPr>
              <w:spacing w:before="0" w:after="0" w:lineRule="auto" w:line="240"/>
              <w:jc w:val="left"/>
            </w:pPr>
            <w:r/>
            <w:r>
              <w:rPr>
                <w:rFonts w:ascii="Times New Roman" w:hAnsi="Times New Roman" w:cs="Times New Roman"/>
                <w:b w:val="0"/>
                <w:i w:val="0"/>
                <w:sz w:val="20"/>
              </w:rPr>
              <w:t>Boomer</w:t>
            </w:r>
          </w:p>
        </w:tc>
        <w:tc>
          <w:tcPr>
            <w:tcW w:type="dxa" w:w="1872"/>
          </w:tcPr>
          <w:p>
            <w:pPr>
              <w:spacing w:before="0" w:after="0" w:lineRule="auto" w:line="240"/>
              <w:jc w:val="center"/>
            </w:pPr>
            <w:r/>
            <w:r>
              <w:rPr>
                <w:rFonts w:ascii="Times New Roman" w:hAnsi="Times New Roman" w:cs="Times New Roman"/>
                <w:b w:val="0"/>
                <w:i w:val="0"/>
                <w:sz w:val="20"/>
              </w:rPr>
              <w:t>8.8</w:t>
            </w:r>
          </w:p>
        </w:tc>
        <w:tc>
          <w:tcPr>
            <w:tcW w:type="dxa" w:w="1872"/>
          </w:tcPr>
          <w:p>
            <w:pPr>
              <w:spacing w:before="0" w:after="0" w:lineRule="auto" w:line="240"/>
              <w:jc w:val="center"/>
            </w:pPr>
            <w:r/>
            <w:r>
              <w:rPr>
                <w:rFonts w:ascii="Times New Roman" w:hAnsi="Times New Roman" w:cs="Times New Roman"/>
                <w:b w:val="0"/>
                <w:i w:val="0"/>
                <w:sz w:val="20"/>
              </w:rPr>
              <w:t>7.4</w:t>
            </w:r>
          </w:p>
        </w:tc>
        <w:tc>
          <w:tcPr>
            <w:tcW w:type="dxa" w:w="1872"/>
          </w:tcPr>
          <w:p>
            <w:pPr>
              <w:spacing w:before="0" w:after="0" w:lineRule="auto" w:line="240"/>
              <w:jc w:val="center"/>
            </w:pPr>
            <w:r/>
            <w:r>
              <w:rPr>
                <w:rFonts w:ascii="Times New Roman" w:hAnsi="Times New Roman" w:cs="Times New Roman"/>
                <w:b w:val="0"/>
                <w:i w:val="0"/>
                <w:sz w:val="20"/>
              </w:rPr>
              <w:t>10.1</w:t>
            </w:r>
          </w:p>
        </w:tc>
        <w:tc>
          <w:tcPr>
            <w:tcW w:type="dxa" w:w="1872"/>
          </w:tcPr>
          <w:p>
            <w:pPr>
              <w:spacing w:before="0" w:after="0" w:lineRule="auto" w:line="240"/>
              <w:jc w:val="center"/>
            </w:pPr>
            <w:r/>
            <w:r>
              <w:rPr>
                <w:rFonts w:ascii="Times New Roman" w:hAnsi="Times New Roman" w:cs="Times New Roman"/>
                <w:b w:val="0"/>
                <w:i w:val="0"/>
                <w:sz w:val="20"/>
              </w:rPr>
              <w:t>&lt; .001</w:t>
            </w:r>
          </w:p>
        </w:tc>
      </w:tr>
      <w:tr>
        <w:tc>
          <w:tcPr>
            <w:tcW w:type="dxa" w:w="1872"/>
          </w:tcPr>
          <w:p>
            <w:pPr>
              <w:spacing w:before="0" w:after="0" w:lineRule="auto" w:line="240"/>
              <w:jc w:val="left"/>
            </w:pPr>
            <w:r/>
            <w:r>
              <w:rPr>
                <w:rFonts w:ascii="Times New Roman" w:hAnsi="Times New Roman" w:cs="Times New Roman"/>
                <w:b w:val="0"/>
                <w:i w:val="0"/>
                <w:sz w:val="20"/>
              </w:rPr>
              <w:t>Silent</w:t>
            </w:r>
          </w:p>
        </w:tc>
        <w:tc>
          <w:tcPr>
            <w:tcW w:type="dxa" w:w="1872"/>
          </w:tcPr>
          <w:p>
            <w:pPr>
              <w:spacing w:before="0" w:after="0" w:lineRule="auto" w:line="240"/>
              <w:jc w:val="center"/>
            </w:pPr>
            <w:r/>
            <w:r>
              <w:rPr>
                <w:rFonts w:ascii="Times New Roman" w:hAnsi="Times New Roman" w:cs="Times New Roman"/>
                <w:b w:val="0"/>
                <w:i w:val="0"/>
                <w:sz w:val="20"/>
              </w:rPr>
              <w:t>7.3</w:t>
            </w:r>
          </w:p>
        </w:tc>
        <w:tc>
          <w:tcPr>
            <w:tcW w:type="dxa" w:w="1872"/>
          </w:tcPr>
          <w:p>
            <w:pPr>
              <w:spacing w:before="0" w:after="0" w:lineRule="auto" w:line="240"/>
              <w:jc w:val="center"/>
            </w:pPr>
            <w:r/>
            <w:r>
              <w:rPr>
                <w:rFonts w:ascii="Times New Roman" w:hAnsi="Times New Roman" w:cs="Times New Roman"/>
                <w:b w:val="0"/>
                <w:i w:val="0"/>
                <w:sz w:val="20"/>
              </w:rPr>
              <w:t>5.2</w:t>
            </w:r>
          </w:p>
        </w:tc>
        <w:tc>
          <w:tcPr>
            <w:tcW w:type="dxa" w:w="1872"/>
          </w:tcPr>
          <w:p>
            <w:pPr>
              <w:spacing w:before="0" w:after="0" w:lineRule="auto" w:line="240"/>
              <w:jc w:val="center"/>
            </w:pPr>
            <w:r/>
            <w:r>
              <w:rPr>
                <w:rFonts w:ascii="Times New Roman" w:hAnsi="Times New Roman" w:cs="Times New Roman"/>
                <w:b w:val="0"/>
                <w:i w:val="0"/>
                <w:sz w:val="20"/>
              </w:rPr>
              <w:t>9.5</w:t>
            </w:r>
          </w:p>
        </w:tc>
        <w:tc>
          <w:tcPr>
            <w:tcW w:type="dxa" w:w="1872"/>
          </w:tcPr>
          <w:p>
            <w:pPr>
              <w:spacing w:before="0" w:after="0" w:lineRule="auto" w:line="240"/>
              <w:jc w:val="center"/>
            </w:pPr>
            <w:r/>
            <w:r>
              <w:rPr>
                <w:rFonts w:ascii="Times New Roman" w:hAnsi="Times New Roman" w:cs="Times New Roman"/>
                <w:b w:val="0"/>
                <w:i w:val="0"/>
                <w:sz w:val="20"/>
              </w:rPr>
              <w:t>&lt; .001</w:t>
            </w:r>
          </w:p>
        </w:tc>
      </w:tr>
    </w:tbl>
    <w:p>
      <w:pPr>
        <w:spacing w:before="80" w:after="240" w:lineRule="auto" w:line="480"/>
      </w:pPr>
    </w:p>
    <w:p>
      <w:pPr>
        <w:spacing w:before="0" w:after="0" w:lineRule="auto" w:line="480"/>
        <w:ind w:firstLine="720"/>
        <w:jc w:val="left"/>
      </w:pPr>
      <w:r>
        <w:rPr>
          <w:rFonts w:ascii="Times New Roman" w:hAnsi="Times New Roman" w:cs="Times New Roman"/>
          <w:b w:val="0"/>
          <w:i w:val="0"/>
          <w:sz w:val="24"/>
        </w:rPr>
        <w:t>The second pattern is unique to Gen Z: a plateau. Gen Z's predicted volunteering probability rose sharply from 27.3% at no socialization to 48.4% at a few times per month, then flatlined—reaching only 50.8% at daily socialization. No other generation exhibited this ceiling. Boomers climbed continuously from 16.7% to 46.8%; Gen X showed the steepest overall gradient (22.0% to 48.1%). A striking baseline comparison deserves note: Gen Z's predicted volunteering probability at zero socialization (27.3%) exceeded that of every other generation, including Boomers (16.7%), suggesting that low volunteering rates among Gen Z do not reflect weaker civic motivation. The plateau instead suggests that for Gen Z, additional face-to-face contact beyond a moderate threshold is not associated with additional civic recruitment, possibly because the social contexts in which high-frequency Gen Z socialization occurs are decoupled from the community-based institutions that historically channel contact into voluntarism.</w:t>
      </w:r>
    </w:p>
    <w:p>
      <w:pPr>
        <w:spacing w:before="0" w:after="0" w:lineRule="auto" w:line="480"/>
        <w:jc w:val="left"/>
      </w:pPr>
      <w:r>
        <w:rPr>
          <w:rFonts w:ascii="Times New Roman" w:hAnsi="Times New Roman" w:cs="Times New Roman"/>
          <w:b/>
          <w:i w:val="0"/>
          <w:sz w:val="24"/>
        </w:rPr>
        <w:t>Moderators and Temporal Stability</w:t>
      </w:r>
    </w:p>
    <w:p>
      <w:pPr>
        <w:spacing w:before="0" w:after="0" w:lineRule="auto" w:line="480"/>
        <w:ind w:firstLine="720"/>
        <w:jc w:val="left"/>
      </w:pPr>
      <w:r>
        <w:rPr>
          <w:rFonts w:ascii="Times New Roman" w:hAnsi="Times New Roman" w:cs="Times New Roman"/>
          <w:b w:val="0"/>
          <w:i w:val="0"/>
          <w:sz w:val="24"/>
        </w:rPr>
        <w:t>Three-way interactions tested whether education, employment, civic social media use, or the COVID-19 period altered the socialization–volunteering–generation relationship. Education was the only significant moderator (</w:t>
      </w:r>
      <w:r>
        <w:rPr>
          <w:rFonts w:ascii="Times New Roman" w:hAnsi="Times New Roman" w:cs="Times New Roman"/>
          <w:b w:val="0"/>
          <w:i/>
          <w:sz w:val="24"/>
        </w:rPr>
        <w:t>p</w:t>
      </w:r>
      <w:r>
        <w:rPr>
          <w:rFonts w:ascii="Times New Roman" w:hAnsi="Times New Roman" w:cs="Times New Roman"/>
          <w:b w:val="0"/>
          <w:i w:val="0"/>
          <w:sz w:val="24"/>
        </w:rPr>
        <w:t xml:space="preserve"> = .009): holding a bachelor's degree amplified the socialization–volunteering gradient for all generations, but the amplification was more pronounced for older cohorts. Among Boomers, the First Step AME was approximately 3 percentage points larger for BA+ respondents than for those without a degree; among Gen Z, the difference was less than 1 point, and the plateau persisted even among degree holders. Employment did not significantly moderate the relationship (</w:t>
      </w:r>
      <w:r>
        <w:rPr>
          <w:rFonts w:ascii="Times New Roman" w:hAnsi="Times New Roman" w:cs="Times New Roman"/>
          <w:b w:val="0"/>
          <w:i/>
          <w:sz w:val="24"/>
        </w:rPr>
        <w:t>p</w:t>
      </w:r>
      <w:r>
        <w:rPr>
          <w:rFonts w:ascii="Times New Roman" w:hAnsi="Times New Roman" w:cs="Times New Roman"/>
          <w:b w:val="0"/>
          <w:i w:val="0"/>
          <w:sz w:val="24"/>
        </w:rPr>
        <w:t xml:space="preserve"> = .056), nor did civic social media use (</w:t>
      </w:r>
      <w:r>
        <w:rPr>
          <w:rFonts w:ascii="Times New Roman" w:hAnsi="Times New Roman" w:cs="Times New Roman"/>
          <w:b w:val="0"/>
          <w:i/>
          <w:sz w:val="24"/>
        </w:rPr>
        <w:t>p</w:t>
      </w:r>
      <w:r>
        <w:rPr>
          <w:rFonts w:ascii="Times New Roman" w:hAnsi="Times New Roman" w:cs="Times New Roman"/>
          <w:b w:val="0"/>
          <w:i w:val="0"/>
          <w:sz w:val="24"/>
        </w:rPr>
        <w:t xml:space="preserve"> = .969). The social media null finding is theoretically informative: it indicates that digital civic engagement does not compensate for the absence of face-to-face socialization, and it does so uniformly across generations—offering no special pathway for digitally native young adults. The near-significant employment result (</w:t>
      </w:r>
      <w:r>
        <w:rPr>
          <w:rFonts w:ascii="Times New Roman" w:hAnsi="Times New Roman" w:cs="Times New Roman"/>
          <w:b w:val="0"/>
          <w:i/>
          <w:sz w:val="24"/>
        </w:rPr>
        <w:t>p</w:t>
      </w:r>
      <w:r>
        <w:rPr>
          <w:rFonts w:ascii="Times New Roman" w:hAnsi="Times New Roman" w:cs="Times New Roman"/>
          <w:b w:val="0"/>
          <w:i w:val="0"/>
          <w:sz w:val="24"/>
        </w:rPr>
        <w:t xml:space="preserve"> = .056) is worth noting despite failing to clear the conventional threshold: the direction of the effect suggested that employed respondents exhibited a steeper socialization–volunteering gradient than those not employed, consistent with the CVM's prediction that workplace networks provide additional recruitment channels. The effect was modest, however, and did not differ meaningfully across generations.</w:t>
      </w:r>
    </w:p>
    <w:p>
      <w:pPr>
        <w:spacing w:before="0" w:after="0" w:lineRule="auto" w:line="480"/>
        <w:ind w:firstLine="720"/>
        <w:jc w:val="left"/>
      </w:pPr>
      <w:r>
        <w:rPr>
          <w:rFonts w:ascii="Times New Roman" w:hAnsi="Times New Roman" w:cs="Times New Roman"/>
          <w:b w:val="0"/>
          <w:i w:val="0"/>
          <w:sz w:val="24"/>
        </w:rPr>
        <w:t>The temporal stability test was among the most consequential. The socialization × generation × post-COVID interaction was not significant (</w:t>
      </w:r>
      <w:r>
        <w:rPr>
          <w:rFonts w:ascii="Times New Roman" w:hAnsi="Times New Roman" w:cs="Times New Roman"/>
          <w:b w:val="0"/>
          <w:i/>
          <w:sz w:val="24"/>
        </w:rPr>
        <w:t>p</w:t>
      </w:r>
      <w:r>
        <w:rPr>
          <w:rFonts w:ascii="Times New Roman" w:hAnsi="Times New Roman" w:cs="Times New Roman"/>
          <w:b w:val="0"/>
          <w:i w:val="0"/>
          <w:sz w:val="24"/>
        </w:rPr>
        <w:t xml:space="preserve"> = .420), confirming that the patterns documented above—including the Gen Z plateau—were present before the pandemic and unchanged afterward. The pre-COVID First Step AME for Gen Z (10.7 points, 95% CI [5.8, 15.6]) was comparable to the full-sample estimate, and the overall relationship structure was preserved across periods. This rules out the interpretation that declining youth volunteering is a pandemic artifact; it is a cohort characteristic.</w:t>
      </w:r>
    </w:p>
    <w:p>
      <w:pPr>
        <w:spacing w:before="0" w:after="0" w:lineRule="auto" w:line="480"/>
        <w:jc w:val="left"/>
      </w:pPr>
      <w:r>
        <w:rPr>
          <w:rFonts w:ascii="Times New Roman" w:hAnsi="Times New Roman" w:cs="Times New Roman"/>
          <w:b/>
          <w:i w:val="0"/>
          <w:sz w:val="24"/>
        </w:rPr>
        <w:t>Civic Engagement Profiles</w:t>
      </w:r>
    </w:p>
    <w:p>
      <w:pPr>
        <w:spacing w:before="0" w:after="0" w:lineRule="auto" w:line="480"/>
        <w:ind w:firstLine="720"/>
        <w:jc w:val="left"/>
      </w:pPr>
      <w:r>
        <w:rPr>
          <w:rFonts w:ascii="Times New Roman" w:hAnsi="Times New Roman" w:cs="Times New Roman"/>
          <w:b w:val="0"/>
          <w:i w:val="0"/>
          <w:sz w:val="24"/>
        </w:rPr>
        <w:t xml:space="preserve">Person-centered analysis tested whether the regression findings hold when individuals are classified by their full pattern of civic behavior rather than by individual predictors. LPA identified six distinct profiles (Table 3). Three anchor the interpretive framework: the </w:t>
      </w:r>
      <w:r>
        <w:rPr>
          <w:rFonts w:ascii="Times New Roman" w:hAnsi="Times New Roman" w:cs="Times New Roman"/>
          <w:b w:val="0"/>
          <w:i/>
          <w:sz w:val="24"/>
        </w:rPr>
        <w:t>Isolated Disengaged</w:t>
      </w:r>
      <w:r>
        <w:rPr>
          <w:rFonts w:ascii="Times New Roman" w:hAnsi="Times New Roman" w:cs="Times New Roman"/>
          <w:b w:val="0"/>
          <w:i w:val="0"/>
          <w:sz w:val="24"/>
        </w:rPr>
        <w:t xml:space="preserve"> (19.0% of sample; volunteering rate 9.0%), characterized by minimal scores on every indicator; the </w:t>
      </w:r>
      <w:r>
        <w:rPr>
          <w:rFonts w:ascii="Times New Roman" w:hAnsi="Times New Roman" w:cs="Times New Roman"/>
          <w:b w:val="0"/>
          <w:i/>
          <w:sz w:val="24"/>
        </w:rPr>
        <w:t>Mainstream Donors</w:t>
      </w:r>
      <w:r>
        <w:rPr>
          <w:rFonts w:ascii="Times New Roman" w:hAnsi="Times New Roman" w:cs="Times New Roman"/>
          <w:b w:val="0"/>
          <w:i w:val="0"/>
          <w:sz w:val="24"/>
        </w:rPr>
        <w:t xml:space="preserve"> (33.1%; volunteering rate 41.4%), representing institutionally embedded civic engagement; and the </w:t>
      </w:r>
      <w:r>
        <w:rPr>
          <w:rFonts w:ascii="Times New Roman" w:hAnsi="Times New Roman" w:cs="Times New Roman"/>
          <w:b w:val="0"/>
          <w:i/>
          <w:sz w:val="24"/>
        </w:rPr>
        <w:t>Fully Engaged</w:t>
      </w:r>
      <w:r>
        <w:rPr>
          <w:rFonts w:ascii="Times New Roman" w:hAnsi="Times New Roman" w:cs="Times New Roman"/>
          <w:b w:val="0"/>
          <w:i w:val="0"/>
          <w:sz w:val="24"/>
        </w:rPr>
        <w:t xml:space="preserve"> (12.0%; volunteering rate 66.7%), scoring highest on virtually every dimension. The </w:t>
      </w:r>
      <w:r>
        <w:rPr>
          <w:rFonts w:ascii="Times New Roman" w:hAnsi="Times New Roman" w:cs="Times New Roman"/>
          <w:b w:val="0"/>
          <w:i/>
          <w:sz w:val="24"/>
        </w:rPr>
        <w:t>Socially Active Non-Donors</w:t>
      </w:r>
      <w:r>
        <w:rPr>
          <w:rFonts w:ascii="Times New Roman" w:hAnsi="Times New Roman" w:cs="Times New Roman"/>
          <w:b w:val="0"/>
          <w:i w:val="0"/>
          <w:sz w:val="24"/>
        </w:rPr>
        <w:t xml:space="preserve"> (17.5%; volunteering rate 14.6%) are theoretically important: their members reported the highest socialization of any class (M = 4.70) yet volunteered at rates below the sample mean, demonstrating that socialization without institutional anchoring does not translate into voluntarism. Two remaining profiles round out the typology: the </w:t>
      </w:r>
      <w:r>
        <w:rPr>
          <w:rFonts w:ascii="Times New Roman" w:hAnsi="Times New Roman" w:cs="Times New Roman"/>
          <w:b w:val="0"/>
          <w:i/>
          <w:sz w:val="24"/>
        </w:rPr>
        <w:t>Politically Aware Isolated</w:t>
      </w:r>
      <w:r>
        <w:rPr>
          <w:rFonts w:ascii="Times New Roman" w:hAnsi="Times New Roman" w:cs="Times New Roman"/>
          <w:b w:val="0"/>
          <w:i w:val="0"/>
          <w:sz w:val="24"/>
        </w:rPr>
        <w:t xml:space="preserve"> (7.1%; volunteering rate 11.7%), who engaged in frequent political conversation but reported minimal social contact, and the </w:t>
      </w:r>
      <w:r>
        <w:rPr>
          <w:rFonts w:ascii="Times New Roman" w:hAnsi="Times New Roman" w:cs="Times New Roman"/>
          <w:b w:val="0"/>
          <w:i/>
          <w:sz w:val="24"/>
        </w:rPr>
        <w:t>Activist Boycotters</w:t>
      </w:r>
      <w:r>
        <w:rPr>
          <w:rFonts w:ascii="Times New Roman" w:hAnsi="Times New Roman" w:cs="Times New Roman"/>
          <w:b w:val="0"/>
          <w:i w:val="0"/>
          <w:sz w:val="24"/>
        </w:rPr>
        <w:t xml:space="preserve"> (11.3%; volunteering rate 46.9%), defined by universal boycotting behavior alongside moderate organizational membership.</w:t>
      </w:r>
    </w:p>
    <w:p>
      <w:pPr>
        <w:spacing w:before="240" w:after="80" w:lineRule="auto" w:line="480"/>
        <w:jc w:val="left"/>
      </w:pPr>
      <w:r>
        <w:rPr>
          <w:rFonts w:ascii="Times New Roman" w:hAnsi="Times New Roman" w:cs="Times New Roman"/>
          <w:b/>
          <w:i/>
          <w:sz w:val="24"/>
        </w:rPr>
        <w:t>Table 3</w:t>
      </w:r>
      <w:r>
        <w:rPr>
          <w:rFonts w:ascii="Times New Roman" w:hAnsi="Times New Roman" w:cs="Times New Roman"/>
          <w:b w:val="0"/>
          <w:i/>
          <w:sz w:val="24"/>
        </w:rPr>
        <w:br/>
        <w:t>Latent Profile Characteristics: Indicator Means and Volunteering Rates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Rule="auto" w:line="240"/>
              <w:jc w:val="center"/>
            </w:pPr>
            <w:r/>
            <w:r>
              <w:rPr>
                <w:rFonts w:ascii="Times New Roman" w:hAnsi="Times New Roman" w:cs="Times New Roman"/>
                <w:b/>
                <w:i w:val="0"/>
                <w:sz w:val="20"/>
              </w:rPr>
              <w:t>Profile</w:t>
            </w:r>
          </w:p>
        </w:tc>
        <w:tc>
          <w:tcPr>
            <w:tcW w:type="dxa" w:w="1040"/>
          </w:tcPr>
          <w:p>
            <w:pPr>
              <w:spacing w:before="0" w:after="0" w:lineRule="auto" w:line="240"/>
              <w:jc w:val="center"/>
            </w:pPr>
            <w:r/>
            <w:r>
              <w:rPr>
                <w:rFonts w:ascii="Times New Roman" w:hAnsi="Times New Roman" w:cs="Times New Roman"/>
                <w:b/>
                <w:i w:val="0"/>
                <w:sz w:val="20"/>
              </w:rPr>
              <w:t>% Sample</w:t>
            </w:r>
          </w:p>
        </w:tc>
        <w:tc>
          <w:tcPr>
            <w:tcW w:type="dxa" w:w="1040"/>
          </w:tcPr>
          <w:p>
            <w:pPr>
              <w:spacing w:before="0" w:after="0" w:lineRule="auto" w:line="240"/>
              <w:jc w:val="center"/>
            </w:pPr>
            <w:r/>
            <w:r>
              <w:rPr>
                <w:rFonts w:ascii="Times New Roman" w:hAnsi="Times New Roman" w:cs="Times New Roman"/>
                <w:b/>
                <w:i w:val="0"/>
                <w:sz w:val="20"/>
              </w:rPr>
              <w:t>Boycott (%)</w:t>
            </w:r>
          </w:p>
        </w:tc>
        <w:tc>
          <w:tcPr>
            <w:tcW w:type="dxa" w:w="1040"/>
          </w:tcPr>
          <w:p>
            <w:pPr>
              <w:spacing w:before="0" w:after="0" w:lineRule="auto" w:line="240"/>
              <w:jc w:val="center"/>
            </w:pPr>
            <w:r/>
            <w:r>
              <w:rPr>
                <w:rFonts w:ascii="Times New Roman" w:hAnsi="Times New Roman" w:cs="Times New Roman"/>
                <w:b/>
                <w:i w:val="0"/>
                <w:sz w:val="20"/>
              </w:rPr>
              <w:t>Contact Off. (%)</w:t>
            </w:r>
          </w:p>
        </w:tc>
        <w:tc>
          <w:tcPr>
            <w:tcW w:type="dxa" w:w="1040"/>
          </w:tcPr>
          <w:p>
            <w:pPr>
              <w:spacing w:before="0" w:after="0" w:lineRule="auto" w:line="240"/>
              <w:jc w:val="center"/>
            </w:pPr>
            <w:r/>
            <w:r>
              <w:rPr>
                <w:rFonts w:ascii="Times New Roman" w:hAnsi="Times New Roman" w:cs="Times New Roman"/>
                <w:b/>
                <w:i w:val="0"/>
                <w:sz w:val="20"/>
              </w:rPr>
              <w:t>Pol. Conv. (M)</w:t>
            </w:r>
          </w:p>
        </w:tc>
        <w:tc>
          <w:tcPr>
            <w:tcW w:type="dxa" w:w="1040"/>
          </w:tcPr>
          <w:p>
            <w:pPr>
              <w:spacing w:before="0" w:after="0" w:lineRule="auto" w:line="240"/>
              <w:jc w:val="center"/>
            </w:pPr>
            <w:r/>
            <w:r>
              <w:rPr>
                <w:rFonts w:ascii="Times New Roman" w:hAnsi="Times New Roman" w:cs="Times New Roman"/>
                <w:b/>
                <w:i w:val="0"/>
                <w:sz w:val="20"/>
              </w:rPr>
              <w:t>Socialize (M)</w:t>
            </w:r>
          </w:p>
        </w:tc>
        <w:tc>
          <w:tcPr>
            <w:tcW w:type="dxa" w:w="1040"/>
          </w:tcPr>
          <w:p>
            <w:pPr>
              <w:spacing w:before="0" w:after="0" w:lineRule="auto" w:line="240"/>
              <w:jc w:val="center"/>
            </w:pPr>
            <w:r/>
            <w:r>
              <w:rPr>
                <w:rFonts w:ascii="Times New Roman" w:hAnsi="Times New Roman" w:cs="Times New Roman"/>
                <w:b/>
                <w:i w:val="0"/>
                <w:sz w:val="20"/>
              </w:rPr>
              <w:t>Org. Memb. (M)</w:t>
            </w:r>
          </w:p>
        </w:tc>
        <w:tc>
          <w:tcPr>
            <w:tcW w:type="dxa" w:w="1040"/>
          </w:tcPr>
          <w:p>
            <w:pPr>
              <w:spacing w:before="0" w:after="0" w:lineRule="auto" w:line="240"/>
              <w:jc w:val="center"/>
            </w:pPr>
            <w:r/>
            <w:r>
              <w:rPr>
                <w:rFonts w:ascii="Times New Roman" w:hAnsi="Times New Roman" w:cs="Times New Roman"/>
                <w:b/>
                <w:i w:val="0"/>
                <w:sz w:val="20"/>
              </w:rPr>
              <w:t>Donated (%)</w:t>
            </w:r>
          </w:p>
        </w:tc>
        <w:tc>
          <w:tcPr>
            <w:tcW w:type="dxa" w:w="1040"/>
          </w:tcPr>
          <w:p>
            <w:pPr>
              <w:spacing w:before="0" w:after="0" w:lineRule="auto" w:line="240"/>
              <w:jc w:val="center"/>
            </w:pPr>
            <w:r/>
            <w:r>
              <w:rPr>
                <w:rFonts w:ascii="Times New Roman" w:hAnsi="Times New Roman" w:cs="Times New Roman"/>
                <w:b/>
                <w:i w:val="0"/>
                <w:sz w:val="20"/>
              </w:rPr>
              <w:t>Vol. Rate (%)</w:t>
            </w:r>
          </w:p>
        </w:tc>
      </w:tr>
      <w:tr>
        <w:tc>
          <w:tcPr>
            <w:tcW w:type="dxa" w:w="1040"/>
          </w:tcPr>
          <w:p>
            <w:pPr>
              <w:spacing w:before="0" w:after="0" w:lineRule="auto" w:line="240"/>
              <w:jc w:val="left"/>
            </w:pPr>
            <w:r/>
            <w:r>
              <w:rPr>
                <w:rFonts w:ascii="Times New Roman" w:hAnsi="Times New Roman" w:cs="Times New Roman"/>
                <w:b w:val="0"/>
                <w:i w:val="0"/>
                <w:sz w:val="20"/>
              </w:rPr>
              <w:t>Isolated Disengaged</w:t>
            </w:r>
          </w:p>
        </w:tc>
        <w:tc>
          <w:tcPr>
            <w:tcW w:type="dxa" w:w="1040"/>
          </w:tcPr>
          <w:p>
            <w:pPr>
              <w:spacing w:before="0" w:after="0" w:lineRule="auto" w:line="240"/>
              <w:jc w:val="center"/>
            </w:pPr>
            <w:r/>
            <w:r>
              <w:rPr>
                <w:rFonts w:ascii="Times New Roman" w:hAnsi="Times New Roman" w:cs="Times New Roman"/>
                <w:b w:val="0"/>
                <w:i w:val="0"/>
                <w:sz w:val="20"/>
              </w:rPr>
              <w:t>19.0</w:t>
            </w:r>
          </w:p>
        </w:tc>
        <w:tc>
          <w:tcPr>
            <w:tcW w:type="dxa" w:w="1040"/>
          </w:tcPr>
          <w:p>
            <w:pPr>
              <w:spacing w:before="0" w:after="0" w:lineRule="auto" w:line="240"/>
              <w:jc w:val="center"/>
            </w:pPr>
            <w:r/>
            <w:r>
              <w:rPr>
                <w:rFonts w:ascii="Times New Roman" w:hAnsi="Times New Roman" w:cs="Times New Roman"/>
                <w:b w:val="0"/>
                <w:i w:val="0"/>
                <w:sz w:val="20"/>
              </w:rPr>
              <w:t>1.4</w:t>
            </w:r>
          </w:p>
        </w:tc>
        <w:tc>
          <w:tcPr>
            <w:tcW w:type="dxa" w:w="1040"/>
          </w:tcPr>
          <w:p>
            <w:pPr>
              <w:spacing w:before="0" w:after="0" w:lineRule="auto" w:line="240"/>
              <w:jc w:val="center"/>
            </w:pPr>
            <w:r/>
            <w:r>
              <w:rPr>
                <w:rFonts w:ascii="Times New Roman" w:hAnsi="Times New Roman" w:cs="Times New Roman"/>
                <w:b w:val="0"/>
                <w:i w:val="0"/>
                <w:sz w:val="20"/>
              </w:rPr>
              <w:t>0.7</w:t>
            </w:r>
          </w:p>
        </w:tc>
        <w:tc>
          <w:tcPr>
            <w:tcW w:type="dxa" w:w="1040"/>
          </w:tcPr>
          <w:p>
            <w:pPr>
              <w:spacing w:before="0" w:after="0" w:lineRule="auto" w:line="240"/>
              <w:jc w:val="center"/>
            </w:pPr>
            <w:r/>
            <w:r>
              <w:rPr>
                <w:rFonts w:ascii="Times New Roman" w:hAnsi="Times New Roman" w:cs="Times New Roman"/>
                <w:b w:val="0"/>
                <w:i w:val="0"/>
                <w:sz w:val="20"/>
              </w:rPr>
              <w:t>1.31</w:t>
            </w:r>
          </w:p>
        </w:tc>
        <w:tc>
          <w:tcPr>
            <w:tcW w:type="dxa" w:w="1040"/>
          </w:tcPr>
          <w:p>
            <w:pPr>
              <w:spacing w:before="0" w:after="0" w:lineRule="auto" w:line="240"/>
              <w:jc w:val="center"/>
            </w:pPr>
            <w:r/>
            <w:r>
              <w:rPr>
                <w:rFonts w:ascii="Times New Roman" w:hAnsi="Times New Roman" w:cs="Times New Roman"/>
                <w:b w:val="0"/>
                <w:i w:val="0"/>
                <w:sz w:val="20"/>
              </w:rPr>
              <w:t>1.34</w:t>
            </w:r>
          </w:p>
        </w:tc>
        <w:tc>
          <w:tcPr>
            <w:tcW w:type="dxa" w:w="1040"/>
          </w:tcPr>
          <w:p>
            <w:pPr>
              <w:spacing w:before="0" w:after="0" w:lineRule="auto" w:line="240"/>
              <w:jc w:val="center"/>
            </w:pPr>
            <w:r/>
            <w:r>
              <w:rPr>
                <w:rFonts w:ascii="Times New Roman" w:hAnsi="Times New Roman" w:cs="Times New Roman"/>
                <w:b w:val="0"/>
                <w:i w:val="0"/>
                <w:sz w:val="20"/>
              </w:rPr>
              <w:t>0.08</w:t>
            </w:r>
          </w:p>
        </w:tc>
        <w:tc>
          <w:tcPr>
            <w:tcW w:type="dxa" w:w="1040"/>
          </w:tcPr>
          <w:p>
            <w:pPr>
              <w:spacing w:before="0" w:after="0" w:lineRule="auto" w:line="240"/>
              <w:jc w:val="center"/>
            </w:pPr>
            <w:r/>
            <w:r>
              <w:rPr>
                <w:rFonts w:ascii="Times New Roman" w:hAnsi="Times New Roman" w:cs="Times New Roman"/>
                <w:b w:val="0"/>
                <w:i w:val="0"/>
                <w:sz w:val="20"/>
              </w:rPr>
              <w:t>15.0</w:t>
            </w:r>
          </w:p>
        </w:tc>
        <w:tc>
          <w:tcPr>
            <w:tcW w:type="dxa" w:w="1040"/>
          </w:tcPr>
          <w:p>
            <w:pPr>
              <w:spacing w:before="0" w:after="0" w:lineRule="auto" w:line="240"/>
              <w:jc w:val="center"/>
            </w:pPr>
            <w:r/>
            <w:r>
              <w:rPr>
                <w:rFonts w:ascii="Times New Roman" w:hAnsi="Times New Roman" w:cs="Times New Roman"/>
                <w:b w:val="0"/>
                <w:i w:val="0"/>
                <w:sz w:val="20"/>
              </w:rPr>
              <w:t>9.0</w:t>
            </w:r>
          </w:p>
        </w:tc>
      </w:tr>
      <w:tr>
        <w:tc>
          <w:tcPr>
            <w:tcW w:type="dxa" w:w="1040"/>
          </w:tcPr>
          <w:p>
            <w:pPr>
              <w:spacing w:before="0" w:after="0" w:lineRule="auto" w:line="240"/>
              <w:jc w:val="left"/>
            </w:pPr>
            <w:r/>
            <w:r>
              <w:rPr>
                <w:rFonts w:ascii="Times New Roman" w:hAnsi="Times New Roman" w:cs="Times New Roman"/>
                <w:b w:val="0"/>
                <w:i w:val="0"/>
                <w:sz w:val="20"/>
              </w:rPr>
              <w:t>Politically Aware Isolated</w:t>
            </w:r>
          </w:p>
        </w:tc>
        <w:tc>
          <w:tcPr>
            <w:tcW w:type="dxa" w:w="1040"/>
          </w:tcPr>
          <w:p>
            <w:pPr>
              <w:spacing w:before="0" w:after="0" w:lineRule="auto" w:line="240"/>
              <w:jc w:val="center"/>
            </w:pPr>
            <w:r/>
            <w:r>
              <w:rPr>
                <w:rFonts w:ascii="Times New Roman" w:hAnsi="Times New Roman" w:cs="Times New Roman"/>
                <w:b w:val="0"/>
                <w:i w:val="0"/>
                <w:sz w:val="20"/>
              </w:rPr>
              <w:t>7.1</w:t>
            </w:r>
          </w:p>
        </w:tc>
        <w:tc>
          <w:tcPr>
            <w:tcW w:type="dxa" w:w="1040"/>
          </w:tcPr>
          <w:p>
            <w:pPr>
              <w:spacing w:before="0" w:after="0" w:lineRule="auto" w:line="240"/>
              <w:jc w:val="center"/>
            </w:pPr>
            <w:r/>
            <w:r>
              <w:rPr>
                <w:rFonts w:ascii="Times New Roman" w:hAnsi="Times New Roman" w:cs="Times New Roman"/>
                <w:b w:val="0"/>
                <w:i w:val="0"/>
                <w:sz w:val="20"/>
              </w:rPr>
              <w:t>0.0</w:t>
            </w:r>
          </w:p>
        </w:tc>
        <w:tc>
          <w:tcPr>
            <w:tcW w:type="dxa" w:w="1040"/>
          </w:tcPr>
          <w:p>
            <w:pPr>
              <w:spacing w:before="0" w:after="0" w:lineRule="auto" w:line="240"/>
              <w:jc w:val="center"/>
            </w:pPr>
            <w:r/>
            <w:r>
              <w:rPr>
                <w:rFonts w:ascii="Times New Roman" w:hAnsi="Times New Roman" w:cs="Times New Roman"/>
                <w:b w:val="0"/>
                <w:i w:val="0"/>
                <w:sz w:val="20"/>
              </w:rPr>
              <w:t>1.2</w:t>
            </w:r>
          </w:p>
        </w:tc>
        <w:tc>
          <w:tcPr>
            <w:tcW w:type="dxa" w:w="1040"/>
          </w:tcPr>
          <w:p>
            <w:pPr>
              <w:spacing w:before="0" w:after="0" w:lineRule="auto" w:line="240"/>
              <w:jc w:val="center"/>
            </w:pPr>
            <w:r/>
            <w:r>
              <w:rPr>
                <w:rFonts w:ascii="Times New Roman" w:hAnsi="Times New Roman" w:cs="Times New Roman"/>
                <w:b w:val="0"/>
                <w:i w:val="0"/>
                <w:sz w:val="20"/>
              </w:rPr>
              <w:t>4.91</w:t>
            </w:r>
          </w:p>
        </w:tc>
        <w:tc>
          <w:tcPr>
            <w:tcW w:type="dxa" w:w="1040"/>
          </w:tcPr>
          <w:p>
            <w:pPr>
              <w:spacing w:before="0" w:after="0" w:lineRule="auto" w:line="240"/>
              <w:jc w:val="center"/>
            </w:pPr>
            <w:r/>
            <w:r>
              <w:rPr>
                <w:rFonts w:ascii="Times New Roman" w:hAnsi="Times New Roman" w:cs="Times New Roman"/>
                <w:b w:val="0"/>
                <w:i w:val="0"/>
                <w:sz w:val="20"/>
              </w:rPr>
              <w:t>1.51</w:t>
            </w:r>
          </w:p>
        </w:tc>
        <w:tc>
          <w:tcPr>
            <w:tcW w:type="dxa" w:w="1040"/>
          </w:tcPr>
          <w:p>
            <w:pPr>
              <w:spacing w:before="0" w:after="0" w:lineRule="auto" w:line="240"/>
              <w:jc w:val="center"/>
            </w:pPr>
            <w:r/>
            <w:r>
              <w:rPr>
                <w:rFonts w:ascii="Times New Roman" w:hAnsi="Times New Roman" w:cs="Times New Roman"/>
                <w:b w:val="0"/>
                <w:i w:val="0"/>
                <w:sz w:val="20"/>
              </w:rPr>
              <w:t>0.15</w:t>
            </w:r>
          </w:p>
        </w:tc>
        <w:tc>
          <w:tcPr>
            <w:tcW w:type="dxa" w:w="1040"/>
          </w:tcPr>
          <w:p>
            <w:pPr>
              <w:spacing w:before="0" w:after="0" w:lineRule="auto" w:line="240"/>
              <w:jc w:val="center"/>
            </w:pPr>
            <w:r/>
            <w:r>
              <w:rPr>
                <w:rFonts w:ascii="Times New Roman" w:hAnsi="Times New Roman" w:cs="Times New Roman"/>
                <w:b w:val="0"/>
                <w:i w:val="0"/>
                <w:sz w:val="20"/>
              </w:rPr>
              <w:t>0.0</w:t>
            </w:r>
          </w:p>
        </w:tc>
        <w:tc>
          <w:tcPr>
            <w:tcW w:type="dxa" w:w="1040"/>
          </w:tcPr>
          <w:p>
            <w:pPr>
              <w:spacing w:before="0" w:after="0" w:lineRule="auto" w:line="240"/>
              <w:jc w:val="center"/>
            </w:pPr>
            <w:r/>
            <w:r>
              <w:rPr>
                <w:rFonts w:ascii="Times New Roman" w:hAnsi="Times New Roman" w:cs="Times New Roman"/>
                <w:b w:val="0"/>
                <w:i w:val="0"/>
                <w:sz w:val="20"/>
              </w:rPr>
              <w:t>11.7</w:t>
            </w:r>
          </w:p>
        </w:tc>
      </w:tr>
      <w:tr>
        <w:tc>
          <w:tcPr>
            <w:tcW w:type="dxa" w:w="1040"/>
          </w:tcPr>
          <w:p>
            <w:pPr>
              <w:spacing w:before="0" w:after="0" w:lineRule="auto" w:line="240"/>
              <w:jc w:val="left"/>
            </w:pPr>
            <w:r/>
            <w:r>
              <w:rPr>
                <w:rFonts w:ascii="Times New Roman" w:hAnsi="Times New Roman" w:cs="Times New Roman"/>
                <w:b w:val="0"/>
                <w:i w:val="0"/>
                <w:sz w:val="20"/>
              </w:rPr>
              <w:t>Socially Active Non-Donors</w:t>
            </w:r>
          </w:p>
        </w:tc>
        <w:tc>
          <w:tcPr>
            <w:tcW w:type="dxa" w:w="1040"/>
          </w:tcPr>
          <w:p>
            <w:pPr>
              <w:spacing w:before="0" w:after="0" w:lineRule="auto" w:line="240"/>
              <w:jc w:val="center"/>
            </w:pPr>
            <w:r/>
            <w:r>
              <w:rPr>
                <w:rFonts w:ascii="Times New Roman" w:hAnsi="Times New Roman" w:cs="Times New Roman"/>
                <w:b w:val="0"/>
                <w:i w:val="0"/>
                <w:sz w:val="20"/>
              </w:rPr>
              <w:t>17.5</w:t>
            </w:r>
          </w:p>
        </w:tc>
        <w:tc>
          <w:tcPr>
            <w:tcW w:type="dxa" w:w="1040"/>
          </w:tcPr>
          <w:p>
            <w:pPr>
              <w:spacing w:before="0" w:after="0" w:lineRule="auto" w:line="240"/>
              <w:jc w:val="center"/>
            </w:pPr>
            <w:r/>
            <w:r>
              <w:rPr>
                <w:rFonts w:ascii="Times New Roman" w:hAnsi="Times New Roman" w:cs="Times New Roman"/>
                <w:b w:val="0"/>
                <w:i w:val="0"/>
                <w:sz w:val="20"/>
              </w:rPr>
              <w:t>0.0</w:t>
            </w:r>
          </w:p>
        </w:tc>
        <w:tc>
          <w:tcPr>
            <w:tcW w:type="dxa" w:w="1040"/>
          </w:tcPr>
          <w:p>
            <w:pPr>
              <w:spacing w:before="0" w:after="0" w:lineRule="auto" w:line="240"/>
              <w:jc w:val="center"/>
            </w:pPr>
            <w:r/>
            <w:r>
              <w:rPr>
                <w:rFonts w:ascii="Times New Roman" w:hAnsi="Times New Roman" w:cs="Times New Roman"/>
                <w:b w:val="0"/>
                <w:i w:val="0"/>
                <w:sz w:val="20"/>
              </w:rPr>
              <w:t>0.6</w:t>
            </w:r>
          </w:p>
        </w:tc>
        <w:tc>
          <w:tcPr>
            <w:tcW w:type="dxa" w:w="1040"/>
          </w:tcPr>
          <w:p>
            <w:pPr>
              <w:spacing w:before="0" w:after="0" w:lineRule="auto" w:line="240"/>
              <w:jc w:val="center"/>
            </w:pPr>
            <w:r/>
            <w:r>
              <w:rPr>
                <w:rFonts w:ascii="Times New Roman" w:hAnsi="Times New Roman" w:cs="Times New Roman"/>
                <w:b w:val="0"/>
                <w:i w:val="0"/>
                <w:sz w:val="20"/>
              </w:rPr>
              <w:t>3.15</w:t>
            </w:r>
          </w:p>
        </w:tc>
        <w:tc>
          <w:tcPr>
            <w:tcW w:type="dxa" w:w="1040"/>
          </w:tcPr>
          <w:p>
            <w:pPr>
              <w:spacing w:before="0" w:after="0" w:lineRule="auto" w:line="240"/>
              <w:jc w:val="center"/>
            </w:pPr>
            <w:r/>
            <w:r>
              <w:rPr>
                <w:rFonts w:ascii="Times New Roman" w:hAnsi="Times New Roman" w:cs="Times New Roman"/>
                <w:b w:val="0"/>
                <w:i w:val="0"/>
                <w:sz w:val="20"/>
              </w:rPr>
              <w:t>4.70</w:t>
            </w:r>
          </w:p>
        </w:tc>
        <w:tc>
          <w:tcPr>
            <w:tcW w:type="dxa" w:w="1040"/>
          </w:tcPr>
          <w:p>
            <w:pPr>
              <w:spacing w:before="0" w:after="0" w:lineRule="auto" w:line="240"/>
              <w:jc w:val="center"/>
            </w:pPr>
            <w:r/>
            <w:r>
              <w:rPr>
                <w:rFonts w:ascii="Times New Roman" w:hAnsi="Times New Roman" w:cs="Times New Roman"/>
                <w:b w:val="0"/>
                <w:i w:val="0"/>
                <w:sz w:val="20"/>
              </w:rPr>
              <w:t>0.17</w:t>
            </w:r>
          </w:p>
        </w:tc>
        <w:tc>
          <w:tcPr>
            <w:tcW w:type="dxa" w:w="1040"/>
          </w:tcPr>
          <w:p>
            <w:pPr>
              <w:spacing w:before="0" w:after="0" w:lineRule="auto" w:line="240"/>
              <w:jc w:val="center"/>
            </w:pPr>
            <w:r/>
            <w:r>
              <w:rPr>
                <w:rFonts w:ascii="Times New Roman" w:hAnsi="Times New Roman" w:cs="Times New Roman"/>
                <w:b w:val="0"/>
                <w:i w:val="0"/>
                <w:sz w:val="20"/>
              </w:rPr>
              <w:t>0.0</w:t>
            </w:r>
          </w:p>
        </w:tc>
        <w:tc>
          <w:tcPr>
            <w:tcW w:type="dxa" w:w="1040"/>
          </w:tcPr>
          <w:p>
            <w:pPr>
              <w:spacing w:before="0" w:after="0" w:lineRule="auto" w:line="240"/>
              <w:jc w:val="center"/>
            </w:pPr>
            <w:r/>
            <w:r>
              <w:rPr>
                <w:rFonts w:ascii="Times New Roman" w:hAnsi="Times New Roman" w:cs="Times New Roman"/>
                <w:b w:val="0"/>
                <w:i w:val="0"/>
                <w:sz w:val="20"/>
              </w:rPr>
              <w:t>14.6</w:t>
            </w:r>
          </w:p>
        </w:tc>
      </w:tr>
      <w:tr>
        <w:tc>
          <w:tcPr>
            <w:tcW w:type="dxa" w:w="1040"/>
          </w:tcPr>
          <w:p>
            <w:pPr>
              <w:spacing w:before="0" w:after="0" w:lineRule="auto" w:line="240"/>
              <w:jc w:val="left"/>
            </w:pPr>
            <w:r/>
            <w:r>
              <w:rPr>
                <w:rFonts w:ascii="Times New Roman" w:hAnsi="Times New Roman" w:cs="Times New Roman"/>
                <w:b w:val="0"/>
                <w:i w:val="0"/>
                <w:sz w:val="20"/>
              </w:rPr>
              <w:t>Mainstream Donors</w:t>
            </w:r>
          </w:p>
        </w:tc>
        <w:tc>
          <w:tcPr>
            <w:tcW w:type="dxa" w:w="1040"/>
          </w:tcPr>
          <w:p>
            <w:pPr>
              <w:spacing w:before="0" w:after="0" w:lineRule="auto" w:line="240"/>
              <w:jc w:val="center"/>
            </w:pPr>
            <w:r/>
            <w:r>
              <w:rPr>
                <w:rFonts w:ascii="Times New Roman" w:hAnsi="Times New Roman" w:cs="Times New Roman"/>
                <w:b w:val="0"/>
                <w:i w:val="0"/>
                <w:sz w:val="20"/>
              </w:rPr>
              <w:t>33.1</w:t>
            </w:r>
          </w:p>
        </w:tc>
        <w:tc>
          <w:tcPr>
            <w:tcW w:type="dxa" w:w="1040"/>
          </w:tcPr>
          <w:p>
            <w:pPr>
              <w:spacing w:before="0" w:after="0" w:lineRule="auto" w:line="240"/>
              <w:jc w:val="center"/>
            </w:pPr>
            <w:r/>
            <w:r>
              <w:rPr>
                <w:rFonts w:ascii="Times New Roman" w:hAnsi="Times New Roman" w:cs="Times New Roman"/>
                <w:b w:val="0"/>
                <w:i w:val="0"/>
                <w:sz w:val="20"/>
              </w:rPr>
              <w:t>0.0</w:t>
            </w:r>
          </w:p>
        </w:tc>
        <w:tc>
          <w:tcPr>
            <w:tcW w:type="dxa" w:w="1040"/>
          </w:tcPr>
          <w:p>
            <w:pPr>
              <w:spacing w:before="0" w:after="0" w:lineRule="auto" w:line="240"/>
              <w:jc w:val="center"/>
            </w:pPr>
            <w:r/>
            <w:r>
              <w:rPr>
                <w:rFonts w:ascii="Times New Roman" w:hAnsi="Times New Roman" w:cs="Times New Roman"/>
                <w:b w:val="0"/>
                <w:i w:val="0"/>
                <w:sz w:val="20"/>
              </w:rPr>
              <w:t>0.0</w:t>
            </w:r>
          </w:p>
        </w:tc>
        <w:tc>
          <w:tcPr>
            <w:tcW w:type="dxa" w:w="1040"/>
          </w:tcPr>
          <w:p>
            <w:pPr>
              <w:spacing w:before="0" w:after="0" w:lineRule="auto" w:line="240"/>
              <w:jc w:val="center"/>
            </w:pPr>
            <w:r/>
            <w:r>
              <w:rPr>
                <w:rFonts w:ascii="Times New Roman" w:hAnsi="Times New Roman" w:cs="Times New Roman"/>
                <w:b w:val="0"/>
                <w:i w:val="0"/>
                <w:sz w:val="20"/>
              </w:rPr>
              <w:t>3.60</w:t>
            </w:r>
          </w:p>
        </w:tc>
        <w:tc>
          <w:tcPr>
            <w:tcW w:type="dxa" w:w="1040"/>
          </w:tcPr>
          <w:p>
            <w:pPr>
              <w:spacing w:before="0" w:after="0" w:lineRule="auto" w:line="240"/>
              <w:jc w:val="center"/>
            </w:pPr>
            <w:r/>
            <w:r>
              <w:rPr>
                <w:rFonts w:ascii="Times New Roman" w:hAnsi="Times New Roman" w:cs="Times New Roman"/>
                <w:b w:val="0"/>
                <w:i w:val="0"/>
                <w:sz w:val="20"/>
              </w:rPr>
              <w:t>3.77</w:t>
            </w:r>
          </w:p>
        </w:tc>
        <w:tc>
          <w:tcPr>
            <w:tcW w:type="dxa" w:w="1040"/>
          </w:tcPr>
          <w:p>
            <w:pPr>
              <w:spacing w:before="0" w:after="0" w:lineRule="auto" w:line="240"/>
              <w:jc w:val="center"/>
            </w:pPr>
            <w:r/>
            <w:r>
              <w:rPr>
                <w:rFonts w:ascii="Times New Roman" w:hAnsi="Times New Roman" w:cs="Times New Roman"/>
                <w:b w:val="0"/>
                <w:i w:val="0"/>
                <w:sz w:val="20"/>
              </w:rPr>
              <w:t>0.71</w:t>
            </w:r>
          </w:p>
        </w:tc>
        <w:tc>
          <w:tcPr>
            <w:tcW w:type="dxa" w:w="1040"/>
          </w:tcPr>
          <w:p>
            <w:pPr>
              <w:spacing w:before="0" w:after="0" w:lineRule="auto" w:line="240"/>
              <w:jc w:val="center"/>
            </w:pPr>
            <w:r/>
            <w:r>
              <w:rPr>
                <w:rFonts w:ascii="Times New Roman" w:hAnsi="Times New Roman" w:cs="Times New Roman"/>
                <w:b w:val="0"/>
                <w:i w:val="0"/>
                <w:sz w:val="20"/>
              </w:rPr>
              <w:t>99.9</w:t>
            </w:r>
          </w:p>
        </w:tc>
        <w:tc>
          <w:tcPr>
            <w:tcW w:type="dxa" w:w="1040"/>
          </w:tcPr>
          <w:p>
            <w:pPr>
              <w:spacing w:before="0" w:after="0" w:lineRule="auto" w:line="240"/>
              <w:jc w:val="center"/>
            </w:pPr>
            <w:r/>
            <w:r>
              <w:rPr>
                <w:rFonts w:ascii="Times New Roman" w:hAnsi="Times New Roman" w:cs="Times New Roman"/>
                <w:b w:val="0"/>
                <w:i w:val="0"/>
                <w:sz w:val="20"/>
              </w:rPr>
              <w:t>41.4</w:t>
            </w:r>
          </w:p>
        </w:tc>
      </w:tr>
      <w:tr>
        <w:tc>
          <w:tcPr>
            <w:tcW w:type="dxa" w:w="1040"/>
          </w:tcPr>
          <w:p>
            <w:pPr>
              <w:spacing w:before="0" w:after="0" w:lineRule="auto" w:line="240"/>
              <w:jc w:val="left"/>
            </w:pPr>
            <w:r/>
            <w:r>
              <w:rPr>
                <w:rFonts w:ascii="Times New Roman" w:hAnsi="Times New Roman" w:cs="Times New Roman"/>
                <w:b w:val="0"/>
                <w:i w:val="0"/>
                <w:sz w:val="20"/>
              </w:rPr>
              <w:t>Activist Boycotters</w:t>
            </w:r>
          </w:p>
        </w:tc>
        <w:tc>
          <w:tcPr>
            <w:tcW w:type="dxa" w:w="1040"/>
          </w:tcPr>
          <w:p>
            <w:pPr>
              <w:spacing w:before="0" w:after="0" w:lineRule="auto" w:line="240"/>
              <w:jc w:val="center"/>
            </w:pPr>
            <w:r/>
            <w:r>
              <w:rPr>
                <w:rFonts w:ascii="Times New Roman" w:hAnsi="Times New Roman" w:cs="Times New Roman"/>
                <w:b w:val="0"/>
                <w:i w:val="0"/>
                <w:sz w:val="20"/>
              </w:rPr>
              <w:t>11.3</w:t>
            </w:r>
          </w:p>
        </w:tc>
        <w:tc>
          <w:tcPr>
            <w:tcW w:type="dxa" w:w="1040"/>
          </w:tcPr>
          <w:p>
            <w:pPr>
              <w:spacing w:before="0" w:after="0" w:lineRule="auto" w:line="240"/>
              <w:jc w:val="center"/>
            </w:pPr>
            <w:r/>
            <w:r>
              <w:rPr>
                <w:rFonts w:ascii="Times New Roman" w:hAnsi="Times New Roman" w:cs="Times New Roman"/>
                <w:b w:val="0"/>
                <w:i w:val="0"/>
                <w:sz w:val="20"/>
              </w:rPr>
              <w:t>100.0</w:t>
            </w:r>
          </w:p>
        </w:tc>
        <w:tc>
          <w:tcPr>
            <w:tcW w:type="dxa" w:w="1040"/>
          </w:tcPr>
          <w:p>
            <w:pPr>
              <w:spacing w:before="0" w:after="0" w:lineRule="auto" w:line="240"/>
              <w:jc w:val="center"/>
            </w:pPr>
            <w:r/>
            <w:r>
              <w:rPr>
                <w:rFonts w:ascii="Times New Roman" w:hAnsi="Times New Roman" w:cs="Times New Roman"/>
                <w:b w:val="0"/>
                <w:i w:val="0"/>
                <w:sz w:val="20"/>
              </w:rPr>
              <w:t>0.0</w:t>
            </w:r>
          </w:p>
        </w:tc>
        <w:tc>
          <w:tcPr>
            <w:tcW w:type="dxa" w:w="1040"/>
          </w:tcPr>
          <w:p>
            <w:pPr>
              <w:spacing w:before="0" w:after="0" w:lineRule="auto" w:line="240"/>
              <w:jc w:val="center"/>
            </w:pPr>
            <w:r/>
            <w:r>
              <w:rPr>
                <w:rFonts w:ascii="Times New Roman" w:hAnsi="Times New Roman" w:cs="Times New Roman"/>
                <w:b w:val="0"/>
                <w:i w:val="0"/>
                <w:sz w:val="20"/>
              </w:rPr>
              <w:t>4.28</w:t>
            </w:r>
          </w:p>
        </w:tc>
        <w:tc>
          <w:tcPr>
            <w:tcW w:type="dxa" w:w="1040"/>
          </w:tcPr>
          <w:p>
            <w:pPr>
              <w:spacing w:before="0" w:after="0" w:lineRule="auto" w:line="240"/>
              <w:jc w:val="center"/>
            </w:pPr>
            <w:r/>
            <w:r>
              <w:rPr>
                <w:rFonts w:ascii="Times New Roman" w:hAnsi="Times New Roman" w:cs="Times New Roman"/>
                <w:b w:val="0"/>
                <w:i w:val="0"/>
                <w:sz w:val="20"/>
              </w:rPr>
              <w:t>3.57</w:t>
            </w:r>
          </w:p>
        </w:tc>
        <w:tc>
          <w:tcPr>
            <w:tcW w:type="dxa" w:w="1040"/>
          </w:tcPr>
          <w:p>
            <w:pPr>
              <w:spacing w:before="0" w:after="0" w:lineRule="auto" w:line="240"/>
              <w:jc w:val="center"/>
            </w:pPr>
            <w:r/>
            <w:r>
              <w:rPr>
                <w:rFonts w:ascii="Times New Roman" w:hAnsi="Times New Roman" w:cs="Times New Roman"/>
                <w:b w:val="0"/>
                <w:i w:val="0"/>
                <w:sz w:val="20"/>
              </w:rPr>
              <w:t>1.03</w:t>
            </w:r>
          </w:p>
        </w:tc>
        <w:tc>
          <w:tcPr>
            <w:tcW w:type="dxa" w:w="1040"/>
          </w:tcPr>
          <w:p>
            <w:pPr>
              <w:spacing w:before="0" w:after="0" w:lineRule="auto" w:line="240"/>
              <w:jc w:val="center"/>
            </w:pPr>
            <w:r/>
            <w:r>
              <w:rPr>
                <w:rFonts w:ascii="Times New Roman" w:hAnsi="Times New Roman" w:cs="Times New Roman"/>
                <w:b w:val="0"/>
                <w:i w:val="0"/>
                <w:sz w:val="20"/>
              </w:rPr>
              <w:t>78.0</w:t>
            </w:r>
          </w:p>
        </w:tc>
        <w:tc>
          <w:tcPr>
            <w:tcW w:type="dxa" w:w="1040"/>
          </w:tcPr>
          <w:p>
            <w:pPr>
              <w:spacing w:before="0" w:after="0" w:lineRule="auto" w:line="240"/>
              <w:jc w:val="center"/>
            </w:pPr>
            <w:r/>
            <w:r>
              <w:rPr>
                <w:rFonts w:ascii="Times New Roman" w:hAnsi="Times New Roman" w:cs="Times New Roman"/>
                <w:b w:val="0"/>
                <w:i w:val="0"/>
                <w:sz w:val="20"/>
              </w:rPr>
              <w:t>46.9</w:t>
            </w:r>
          </w:p>
        </w:tc>
      </w:tr>
      <w:tr>
        <w:tc>
          <w:tcPr>
            <w:tcW w:type="dxa" w:w="1040"/>
          </w:tcPr>
          <w:p>
            <w:pPr>
              <w:spacing w:before="0" w:after="0" w:lineRule="auto" w:line="240"/>
              <w:jc w:val="left"/>
            </w:pPr>
            <w:r/>
            <w:r>
              <w:rPr>
                <w:rFonts w:ascii="Times New Roman" w:hAnsi="Times New Roman" w:cs="Times New Roman"/>
                <w:b w:val="0"/>
                <w:i w:val="0"/>
                <w:sz w:val="20"/>
              </w:rPr>
              <w:t>Fully Engaged</w:t>
            </w:r>
          </w:p>
        </w:tc>
        <w:tc>
          <w:tcPr>
            <w:tcW w:type="dxa" w:w="1040"/>
          </w:tcPr>
          <w:p>
            <w:pPr>
              <w:spacing w:before="0" w:after="0" w:lineRule="auto" w:line="240"/>
              <w:jc w:val="center"/>
            </w:pPr>
            <w:r/>
            <w:r>
              <w:rPr>
                <w:rFonts w:ascii="Times New Roman" w:hAnsi="Times New Roman" w:cs="Times New Roman"/>
                <w:b w:val="0"/>
                <w:i w:val="0"/>
                <w:sz w:val="20"/>
              </w:rPr>
              <w:t>12.0</w:t>
            </w:r>
          </w:p>
        </w:tc>
        <w:tc>
          <w:tcPr>
            <w:tcW w:type="dxa" w:w="1040"/>
          </w:tcPr>
          <w:p>
            <w:pPr>
              <w:spacing w:before="0" w:after="0" w:lineRule="auto" w:line="240"/>
              <w:jc w:val="center"/>
            </w:pPr>
            <w:r/>
            <w:r>
              <w:rPr>
                <w:rFonts w:ascii="Times New Roman" w:hAnsi="Times New Roman" w:cs="Times New Roman"/>
                <w:b w:val="0"/>
                <w:i w:val="0"/>
                <w:sz w:val="20"/>
              </w:rPr>
              <w:t>49.7</w:t>
            </w:r>
          </w:p>
        </w:tc>
        <w:tc>
          <w:tcPr>
            <w:tcW w:type="dxa" w:w="1040"/>
          </w:tcPr>
          <w:p>
            <w:pPr>
              <w:spacing w:before="0" w:after="0" w:lineRule="auto" w:line="240"/>
              <w:jc w:val="center"/>
            </w:pPr>
            <w:r/>
            <w:r>
              <w:rPr>
                <w:rFonts w:ascii="Times New Roman" w:hAnsi="Times New Roman" w:cs="Times New Roman"/>
                <w:b w:val="0"/>
                <w:i w:val="0"/>
                <w:sz w:val="20"/>
              </w:rPr>
              <w:t>100.0</w:t>
            </w:r>
          </w:p>
        </w:tc>
        <w:tc>
          <w:tcPr>
            <w:tcW w:type="dxa" w:w="1040"/>
          </w:tcPr>
          <w:p>
            <w:pPr>
              <w:spacing w:before="0" w:after="0" w:lineRule="auto" w:line="240"/>
              <w:jc w:val="center"/>
            </w:pPr>
            <w:r/>
            <w:r>
              <w:rPr>
                <w:rFonts w:ascii="Times New Roman" w:hAnsi="Times New Roman" w:cs="Times New Roman"/>
                <w:b w:val="0"/>
                <w:i w:val="0"/>
                <w:sz w:val="20"/>
              </w:rPr>
              <w:t>4.59</w:t>
            </w:r>
          </w:p>
        </w:tc>
        <w:tc>
          <w:tcPr>
            <w:tcW w:type="dxa" w:w="1040"/>
          </w:tcPr>
          <w:p>
            <w:pPr>
              <w:spacing w:before="0" w:after="0" w:lineRule="auto" w:line="240"/>
              <w:jc w:val="center"/>
            </w:pPr>
            <w:r/>
            <w:r>
              <w:rPr>
                <w:rFonts w:ascii="Times New Roman" w:hAnsi="Times New Roman" w:cs="Times New Roman"/>
                <w:b w:val="0"/>
                <w:i w:val="0"/>
                <w:sz w:val="20"/>
              </w:rPr>
              <w:t>4.04</w:t>
            </w:r>
          </w:p>
        </w:tc>
        <w:tc>
          <w:tcPr>
            <w:tcW w:type="dxa" w:w="1040"/>
          </w:tcPr>
          <w:p>
            <w:pPr>
              <w:spacing w:before="0" w:after="0" w:lineRule="auto" w:line="240"/>
              <w:jc w:val="center"/>
            </w:pPr>
            <w:r/>
            <w:r>
              <w:rPr>
                <w:rFonts w:ascii="Times New Roman" w:hAnsi="Times New Roman" w:cs="Times New Roman"/>
                <w:b w:val="0"/>
                <w:i w:val="0"/>
                <w:sz w:val="20"/>
              </w:rPr>
              <w:t>1.81</w:t>
            </w:r>
          </w:p>
        </w:tc>
        <w:tc>
          <w:tcPr>
            <w:tcW w:type="dxa" w:w="1040"/>
          </w:tcPr>
          <w:p>
            <w:pPr>
              <w:spacing w:before="0" w:after="0" w:lineRule="auto" w:line="240"/>
              <w:jc w:val="center"/>
            </w:pPr>
            <w:r/>
            <w:r>
              <w:rPr>
                <w:rFonts w:ascii="Times New Roman" w:hAnsi="Times New Roman" w:cs="Times New Roman"/>
                <w:b w:val="0"/>
                <w:i w:val="0"/>
                <w:sz w:val="20"/>
              </w:rPr>
              <w:t>86.6</w:t>
            </w:r>
          </w:p>
        </w:tc>
        <w:tc>
          <w:tcPr>
            <w:tcW w:type="dxa" w:w="1040"/>
          </w:tcPr>
          <w:p>
            <w:pPr>
              <w:spacing w:before="0" w:after="0" w:lineRule="auto" w:line="240"/>
              <w:jc w:val="center"/>
            </w:pPr>
            <w:r/>
            <w:r>
              <w:rPr>
                <w:rFonts w:ascii="Times New Roman" w:hAnsi="Times New Roman" w:cs="Times New Roman"/>
                <w:b w:val="0"/>
                <w:i w:val="0"/>
                <w:sz w:val="20"/>
              </w:rPr>
              <w:t>66.7</w:t>
            </w:r>
          </w:p>
        </w:tc>
      </w:tr>
    </w:tbl>
    <w:p>
      <w:pPr>
        <w:spacing w:before="80" w:after="240" w:lineRule="auto" w:line="480"/>
      </w:pPr>
    </w:p>
    <w:p>
      <w:pPr>
        <w:spacing w:before="0" w:after="0" w:lineRule="auto" w:line="480"/>
        <w:ind w:firstLine="720"/>
        <w:jc w:val="left"/>
      </w:pPr>
      <w:r>
        <w:rPr>
          <w:rFonts w:ascii="Times New Roman" w:hAnsi="Times New Roman" w:cs="Times New Roman"/>
          <w:b w:val="0"/>
          <w:i w:val="0"/>
          <w:sz w:val="24"/>
        </w:rPr>
        <w:t>The generational distribution across profiles was pronounced (Table 4; Figure 2). Over a third of Gen Z (35.3%) fell into the Isolated Disengaged profile—more than double the Boomer rate (15.3%)—while only 3.7% of Gen Z reached Fully Engaged status (vs. 15.1% of Boomers). Combining the two socially isolated profiles (Isolated Disengaged and Politically Aware Isolated), over half of Gen Z (50.6%) occupied profiles defined by social disconnection. These proportions were essentially unchanged between the pre- and post-COVID periods (Isolated Disengaged: 35.5% vs. 35.2%), providing person-centered corroboration of the regression-based temporal stability finding. The concentration of Gen Z in socially disconnected profiles is striking in absolute terms: more than one in three Gen Z respondents fell into the profile defined by minimal engagement on every civic indicator—a rate suggesting that social disconnection is not a marginal phenomenon among young adults but a dominant pattern.</w:t>
      </w:r>
    </w:p>
    <w:p>
      <w:pPr>
        <w:spacing w:before="240" w:after="80" w:lineRule="auto" w:line="480"/>
        <w:jc w:val="left"/>
      </w:pPr>
      <w:r>
        <w:rPr>
          <w:rFonts w:ascii="Times New Roman" w:hAnsi="Times New Roman" w:cs="Times New Roman"/>
          <w:b/>
          <w:i/>
          <w:sz w:val="24"/>
        </w:rPr>
        <w:t>Table 4</w:t>
      </w:r>
      <w:r>
        <w:rPr>
          <w:rFonts w:ascii="Times New Roman" w:hAnsi="Times New Roman" w:cs="Times New Roman"/>
          <w:b w:val="0"/>
          <w:i/>
          <w:sz w:val="24"/>
        </w:rPr>
        <w:br/>
        <w:t>Generational Distribution Across Civic Engagement Profiles (%)</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0" w:after="0" w:lineRule="auto" w:line="240"/>
              <w:jc w:val="center"/>
            </w:pPr>
            <w:r/>
            <w:r>
              <w:rPr>
                <w:rFonts w:ascii="Times New Roman" w:hAnsi="Times New Roman" w:cs="Times New Roman"/>
                <w:b/>
                <w:i w:val="0"/>
                <w:sz w:val="20"/>
              </w:rPr>
              <w:t>Generation</w:t>
            </w:r>
          </w:p>
        </w:tc>
        <w:tc>
          <w:tcPr>
            <w:tcW w:type="dxa" w:w="1337"/>
          </w:tcPr>
          <w:p>
            <w:pPr>
              <w:spacing w:before="0" w:after="0" w:lineRule="auto" w:line="240"/>
              <w:jc w:val="center"/>
            </w:pPr>
            <w:r/>
            <w:r>
              <w:rPr>
                <w:rFonts w:ascii="Times New Roman" w:hAnsi="Times New Roman" w:cs="Times New Roman"/>
                <w:b/>
                <w:i w:val="0"/>
                <w:sz w:val="20"/>
              </w:rPr>
              <w:t>Isolated Disengaged</w:t>
            </w:r>
          </w:p>
        </w:tc>
        <w:tc>
          <w:tcPr>
            <w:tcW w:type="dxa" w:w="1337"/>
          </w:tcPr>
          <w:p>
            <w:pPr>
              <w:spacing w:before="0" w:after="0" w:lineRule="auto" w:line="240"/>
              <w:jc w:val="center"/>
            </w:pPr>
            <w:r/>
            <w:r>
              <w:rPr>
                <w:rFonts w:ascii="Times New Roman" w:hAnsi="Times New Roman" w:cs="Times New Roman"/>
                <w:b/>
                <w:i w:val="0"/>
                <w:sz w:val="20"/>
              </w:rPr>
              <w:t>Politically Aware Isolated</w:t>
            </w:r>
          </w:p>
        </w:tc>
        <w:tc>
          <w:tcPr>
            <w:tcW w:type="dxa" w:w="1337"/>
          </w:tcPr>
          <w:p>
            <w:pPr>
              <w:spacing w:before="0" w:after="0" w:lineRule="auto" w:line="240"/>
              <w:jc w:val="center"/>
            </w:pPr>
            <w:r/>
            <w:r>
              <w:rPr>
                <w:rFonts w:ascii="Times New Roman" w:hAnsi="Times New Roman" w:cs="Times New Roman"/>
                <w:b/>
                <w:i w:val="0"/>
                <w:sz w:val="20"/>
              </w:rPr>
              <w:t>Socially Active Non-Donors</w:t>
            </w:r>
          </w:p>
        </w:tc>
        <w:tc>
          <w:tcPr>
            <w:tcW w:type="dxa" w:w="1337"/>
          </w:tcPr>
          <w:p>
            <w:pPr>
              <w:spacing w:before="0" w:after="0" w:lineRule="auto" w:line="240"/>
              <w:jc w:val="center"/>
            </w:pPr>
            <w:r/>
            <w:r>
              <w:rPr>
                <w:rFonts w:ascii="Times New Roman" w:hAnsi="Times New Roman" w:cs="Times New Roman"/>
                <w:b/>
                <w:i w:val="0"/>
                <w:sz w:val="20"/>
              </w:rPr>
              <w:t>Mainstream Donors</w:t>
            </w:r>
          </w:p>
        </w:tc>
        <w:tc>
          <w:tcPr>
            <w:tcW w:type="dxa" w:w="1337"/>
          </w:tcPr>
          <w:p>
            <w:pPr>
              <w:spacing w:before="0" w:after="0" w:lineRule="auto" w:line="240"/>
              <w:jc w:val="center"/>
            </w:pPr>
            <w:r/>
            <w:r>
              <w:rPr>
                <w:rFonts w:ascii="Times New Roman" w:hAnsi="Times New Roman" w:cs="Times New Roman"/>
                <w:b/>
                <w:i w:val="0"/>
                <w:sz w:val="20"/>
              </w:rPr>
              <w:t>Activist Boycotters</w:t>
            </w:r>
          </w:p>
        </w:tc>
        <w:tc>
          <w:tcPr>
            <w:tcW w:type="dxa" w:w="1337"/>
          </w:tcPr>
          <w:p>
            <w:pPr>
              <w:spacing w:before="0" w:after="0" w:lineRule="auto" w:line="240"/>
              <w:jc w:val="center"/>
            </w:pPr>
            <w:r/>
            <w:r>
              <w:rPr>
                <w:rFonts w:ascii="Times New Roman" w:hAnsi="Times New Roman" w:cs="Times New Roman"/>
                <w:b/>
                <w:i w:val="0"/>
                <w:sz w:val="20"/>
              </w:rPr>
              <w:t>Fully Engaged</w:t>
            </w:r>
          </w:p>
        </w:tc>
      </w:tr>
      <w:tr>
        <w:tc>
          <w:tcPr>
            <w:tcW w:type="dxa" w:w="1337"/>
          </w:tcPr>
          <w:p>
            <w:pPr>
              <w:spacing w:before="0" w:after="0" w:lineRule="auto" w:line="240"/>
              <w:jc w:val="left"/>
            </w:pPr>
            <w:r/>
            <w:r>
              <w:rPr>
                <w:rFonts w:ascii="Times New Roman" w:hAnsi="Times New Roman" w:cs="Times New Roman"/>
                <w:b w:val="0"/>
                <w:i w:val="0"/>
                <w:sz w:val="20"/>
              </w:rPr>
              <w:t>Gen Z</w:t>
            </w:r>
          </w:p>
        </w:tc>
        <w:tc>
          <w:tcPr>
            <w:tcW w:type="dxa" w:w="1337"/>
          </w:tcPr>
          <w:p>
            <w:pPr>
              <w:spacing w:before="0" w:after="0" w:lineRule="auto" w:line="240"/>
              <w:jc w:val="center"/>
            </w:pPr>
            <w:r/>
            <w:r>
              <w:rPr>
                <w:rFonts w:ascii="Times New Roman" w:hAnsi="Times New Roman" w:cs="Times New Roman"/>
                <w:b w:val="0"/>
                <w:i w:val="0"/>
                <w:sz w:val="20"/>
              </w:rPr>
              <w:t>35.3</w:t>
            </w:r>
          </w:p>
        </w:tc>
        <w:tc>
          <w:tcPr>
            <w:tcW w:type="dxa" w:w="1337"/>
          </w:tcPr>
          <w:p>
            <w:pPr>
              <w:spacing w:before="0" w:after="0" w:lineRule="auto" w:line="240"/>
              <w:jc w:val="center"/>
            </w:pPr>
            <w:r/>
            <w:r>
              <w:rPr>
                <w:rFonts w:ascii="Times New Roman" w:hAnsi="Times New Roman" w:cs="Times New Roman"/>
                <w:b w:val="0"/>
                <w:i w:val="0"/>
                <w:sz w:val="20"/>
              </w:rPr>
              <w:t>15.3</w:t>
            </w:r>
          </w:p>
        </w:tc>
        <w:tc>
          <w:tcPr>
            <w:tcW w:type="dxa" w:w="1337"/>
          </w:tcPr>
          <w:p>
            <w:pPr>
              <w:spacing w:before="0" w:after="0" w:lineRule="auto" w:line="240"/>
              <w:jc w:val="center"/>
            </w:pPr>
            <w:r/>
            <w:r>
              <w:rPr>
                <w:rFonts w:ascii="Times New Roman" w:hAnsi="Times New Roman" w:cs="Times New Roman"/>
                <w:b w:val="0"/>
                <w:i w:val="0"/>
                <w:sz w:val="20"/>
              </w:rPr>
              <w:t>20.5</w:t>
            </w:r>
          </w:p>
        </w:tc>
        <w:tc>
          <w:tcPr>
            <w:tcW w:type="dxa" w:w="1337"/>
          </w:tcPr>
          <w:p>
            <w:pPr>
              <w:spacing w:before="0" w:after="0" w:lineRule="auto" w:line="240"/>
              <w:jc w:val="center"/>
            </w:pPr>
            <w:r/>
            <w:r>
              <w:rPr>
                <w:rFonts w:ascii="Times New Roman" w:hAnsi="Times New Roman" w:cs="Times New Roman"/>
                <w:b w:val="0"/>
                <w:i w:val="0"/>
                <w:sz w:val="20"/>
              </w:rPr>
              <w:t>16.4</w:t>
            </w:r>
          </w:p>
        </w:tc>
        <w:tc>
          <w:tcPr>
            <w:tcW w:type="dxa" w:w="1337"/>
          </w:tcPr>
          <w:p>
            <w:pPr>
              <w:spacing w:before="0" w:after="0" w:lineRule="auto" w:line="240"/>
              <w:jc w:val="center"/>
            </w:pPr>
            <w:r/>
            <w:r>
              <w:rPr>
                <w:rFonts w:ascii="Times New Roman" w:hAnsi="Times New Roman" w:cs="Times New Roman"/>
                <w:b w:val="0"/>
                <w:i w:val="0"/>
                <w:sz w:val="20"/>
              </w:rPr>
              <w:t>8.9</w:t>
            </w:r>
          </w:p>
        </w:tc>
        <w:tc>
          <w:tcPr>
            <w:tcW w:type="dxa" w:w="1337"/>
          </w:tcPr>
          <w:p>
            <w:pPr>
              <w:spacing w:before="0" w:after="0" w:lineRule="auto" w:line="240"/>
              <w:jc w:val="center"/>
            </w:pPr>
            <w:r/>
            <w:r>
              <w:rPr>
                <w:rFonts w:ascii="Times New Roman" w:hAnsi="Times New Roman" w:cs="Times New Roman"/>
                <w:b w:val="0"/>
                <w:i w:val="0"/>
                <w:sz w:val="20"/>
              </w:rPr>
              <w:t>3.7</w:t>
            </w:r>
          </w:p>
        </w:tc>
      </w:tr>
      <w:tr>
        <w:tc>
          <w:tcPr>
            <w:tcW w:type="dxa" w:w="1337"/>
          </w:tcPr>
          <w:p>
            <w:pPr>
              <w:spacing w:before="0" w:after="0" w:lineRule="auto" w:line="240"/>
              <w:jc w:val="left"/>
            </w:pPr>
            <w:r/>
            <w:r>
              <w:rPr>
                <w:rFonts w:ascii="Times New Roman" w:hAnsi="Times New Roman" w:cs="Times New Roman"/>
                <w:b w:val="0"/>
                <w:i w:val="0"/>
                <w:sz w:val="20"/>
              </w:rPr>
              <w:t>Millennial</w:t>
            </w:r>
          </w:p>
        </w:tc>
        <w:tc>
          <w:tcPr>
            <w:tcW w:type="dxa" w:w="1337"/>
          </w:tcPr>
          <w:p>
            <w:pPr>
              <w:spacing w:before="0" w:after="0" w:lineRule="auto" w:line="240"/>
              <w:jc w:val="center"/>
            </w:pPr>
            <w:r/>
            <w:r>
              <w:rPr>
                <w:rFonts w:ascii="Times New Roman" w:hAnsi="Times New Roman" w:cs="Times New Roman"/>
                <w:b w:val="0"/>
                <w:i w:val="0"/>
                <w:sz w:val="20"/>
              </w:rPr>
              <w:t>22.4</w:t>
            </w:r>
          </w:p>
        </w:tc>
        <w:tc>
          <w:tcPr>
            <w:tcW w:type="dxa" w:w="1337"/>
          </w:tcPr>
          <w:p>
            <w:pPr>
              <w:spacing w:before="0" w:after="0" w:lineRule="auto" w:line="240"/>
              <w:jc w:val="center"/>
            </w:pPr>
            <w:r/>
            <w:r>
              <w:rPr>
                <w:rFonts w:ascii="Times New Roman" w:hAnsi="Times New Roman" w:cs="Times New Roman"/>
                <w:b w:val="0"/>
                <w:i w:val="0"/>
                <w:sz w:val="20"/>
              </w:rPr>
              <w:t>9.9</w:t>
            </w:r>
          </w:p>
        </w:tc>
        <w:tc>
          <w:tcPr>
            <w:tcW w:type="dxa" w:w="1337"/>
          </w:tcPr>
          <w:p>
            <w:pPr>
              <w:spacing w:before="0" w:after="0" w:lineRule="auto" w:line="240"/>
              <w:jc w:val="center"/>
            </w:pPr>
            <w:r/>
            <w:r>
              <w:rPr>
                <w:rFonts w:ascii="Times New Roman" w:hAnsi="Times New Roman" w:cs="Times New Roman"/>
                <w:b w:val="0"/>
                <w:i w:val="0"/>
                <w:sz w:val="20"/>
              </w:rPr>
              <w:t>17.6</w:t>
            </w:r>
          </w:p>
        </w:tc>
        <w:tc>
          <w:tcPr>
            <w:tcW w:type="dxa" w:w="1337"/>
          </w:tcPr>
          <w:p>
            <w:pPr>
              <w:spacing w:before="0" w:after="0" w:lineRule="auto" w:line="240"/>
              <w:jc w:val="center"/>
            </w:pPr>
            <w:r/>
            <w:r>
              <w:rPr>
                <w:rFonts w:ascii="Times New Roman" w:hAnsi="Times New Roman" w:cs="Times New Roman"/>
                <w:b w:val="0"/>
                <w:i w:val="0"/>
                <w:sz w:val="20"/>
              </w:rPr>
              <w:t>28.4</w:t>
            </w:r>
          </w:p>
        </w:tc>
        <w:tc>
          <w:tcPr>
            <w:tcW w:type="dxa" w:w="1337"/>
          </w:tcPr>
          <w:p>
            <w:pPr>
              <w:spacing w:before="0" w:after="0" w:lineRule="auto" w:line="240"/>
              <w:jc w:val="center"/>
            </w:pPr>
            <w:r/>
            <w:r>
              <w:rPr>
                <w:rFonts w:ascii="Times New Roman" w:hAnsi="Times New Roman" w:cs="Times New Roman"/>
                <w:b w:val="0"/>
                <w:i w:val="0"/>
                <w:sz w:val="20"/>
              </w:rPr>
              <w:t>12.4</w:t>
            </w:r>
          </w:p>
        </w:tc>
        <w:tc>
          <w:tcPr>
            <w:tcW w:type="dxa" w:w="1337"/>
          </w:tcPr>
          <w:p>
            <w:pPr>
              <w:spacing w:before="0" w:after="0" w:lineRule="auto" w:line="240"/>
              <w:jc w:val="center"/>
            </w:pPr>
            <w:r/>
            <w:r>
              <w:rPr>
                <w:rFonts w:ascii="Times New Roman" w:hAnsi="Times New Roman" w:cs="Times New Roman"/>
                <w:b w:val="0"/>
                <w:i w:val="0"/>
                <w:sz w:val="20"/>
              </w:rPr>
              <w:t>9.2</w:t>
            </w:r>
          </w:p>
        </w:tc>
      </w:tr>
      <w:tr>
        <w:tc>
          <w:tcPr>
            <w:tcW w:type="dxa" w:w="1337"/>
          </w:tcPr>
          <w:p>
            <w:pPr>
              <w:spacing w:before="0" w:after="0" w:lineRule="auto" w:line="240"/>
              <w:jc w:val="left"/>
            </w:pPr>
            <w:r/>
            <w:r>
              <w:rPr>
                <w:rFonts w:ascii="Times New Roman" w:hAnsi="Times New Roman" w:cs="Times New Roman"/>
                <w:b w:val="0"/>
                <w:i w:val="0"/>
                <w:sz w:val="20"/>
              </w:rPr>
              <w:t>Gen X</w:t>
            </w:r>
          </w:p>
        </w:tc>
        <w:tc>
          <w:tcPr>
            <w:tcW w:type="dxa" w:w="1337"/>
          </w:tcPr>
          <w:p>
            <w:pPr>
              <w:spacing w:before="0" w:after="0" w:lineRule="auto" w:line="240"/>
              <w:jc w:val="center"/>
            </w:pPr>
            <w:r/>
            <w:r>
              <w:rPr>
                <w:rFonts w:ascii="Times New Roman" w:hAnsi="Times New Roman" w:cs="Times New Roman"/>
                <w:b w:val="0"/>
                <w:i w:val="0"/>
                <w:sz w:val="20"/>
              </w:rPr>
              <w:t>18.1</w:t>
            </w:r>
          </w:p>
        </w:tc>
        <w:tc>
          <w:tcPr>
            <w:tcW w:type="dxa" w:w="1337"/>
          </w:tcPr>
          <w:p>
            <w:pPr>
              <w:spacing w:before="0" w:after="0" w:lineRule="auto" w:line="240"/>
              <w:jc w:val="center"/>
            </w:pPr>
            <w:r/>
            <w:r>
              <w:rPr>
                <w:rFonts w:ascii="Times New Roman" w:hAnsi="Times New Roman" w:cs="Times New Roman"/>
                <w:b w:val="0"/>
                <w:i w:val="0"/>
                <w:sz w:val="20"/>
              </w:rPr>
              <w:t>6.6</w:t>
            </w:r>
          </w:p>
        </w:tc>
        <w:tc>
          <w:tcPr>
            <w:tcW w:type="dxa" w:w="1337"/>
          </w:tcPr>
          <w:p>
            <w:pPr>
              <w:spacing w:before="0" w:after="0" w:lineRule="auto" w:line="240"/>
              <w:jc w:val="center"/>
            </w:pPr>
            <w:r/>
            <w:r>
              <w:rPr>
                <w:rFonts w:ascii="Times New Roman" w:hAnsi="Times New Roman" w:cs="Times New Roman"/>
                <w:b w:val="0"/>
                <w:i w:val="0"/>
                <w:sz w:val="20"/>
              </w:rPr>
              <w:t>16.9</w:t>
            </w:r>
          </w:p>
        </w:tc>
        <w:tc>
          <w:tcPr>
            <w:tcW w:type="dxa" w:w="1337"/>
          </w:tcPr>
          <w:p>
            <w:pPr>
              <w:spacing w:before="0" w:after="0" w:lineRule="auto" w:line="240"/>
              <w:jc w:val="center"/>
            </w:pPr>
            <w:r/>
            <w:r>
              <w:rPr>
                <w:rFonts w:ascii="Times New Roman" w:hAnsi="Times New Roman" w:cs="Times New Roman"/>
                <w:b w:val="0"/>
                <w:i w:val="0"/>
                <w:sz w:val="20"/>
              </w:rPr>
              <w:t>33.6</w:t>
            </w:r>
          </w:p>
        </w:tc>
        <w:tc>
          <w:tcPr>
            <w:tcW w:type="dxa" w:w="1337"/>
          </w:tcPr>
          <w:p>
            <w:pPr>
              <w:spacing w:before="0" w:after="0" w:lineRule="auto" w:line="240"/>
              <w:jc w:val="center"/>
            </w:pPr>
            <w:r/>
            <w:r>
              <w:rPr>
                <w:rFonts w:ascii="Times New Roman" w:hAnsi="Times New Roman" w:cs="Times New Roman"/>
                <w:b w:val="0"/>
                <w:i w:val="0"/>
                <w:sz w:val="20"/>
              </w:rPr>
              <w:t>12.3</w:t>
            </w:r>
          </w:p>
        </w:tc>
        <w:tc>
          <w:tcPr>
            <w:tcW w:type="dxa" w:w="1337"/>
          </w:tcPr>
          <w:p>
            <w:pPr>
              <w:spacing w:before="0" w:after="0" w:lineRule="auto" w:line="240"/>
              <w:jc w:val="center"/>
            </w:pPr>
            <w:r/>
            <w:r>
              <w:rPr>
                <w:rFonts w:ascii="Times New Roman" w:hAnsi="Times New Roman" w:cs="Times New Roman"/>
                <w:b w:val="0"/>
                <w:i w:val="0"/>
                <w:sz w:val="20"/>
              </w:rPr>
              <w:t>12.5</w:t>
            </w:r>
          </w:p>
        </w:tc>
      </w:tr>
      <w:tr>
        <w:tc>
          <w:tcPr>
            <w:tcW w:type="dxa" w:w="1337"/>
          </w:tcPr>
          <w:p>
            <w:pPr>
              <w:spacing w:before="0" w:after="0" w:lineRule="auto" w:line="240"/>
              <w:jc w:val="left"/>
            </w:pPr>
            <w:r/>
            <w:r>
              <w:rPr>
                <w:rFonts w:ascii="Times New Roman" w:hAnsi="Times New Roman" w:cs="Times New Roman"/>
                <w:b w:val="0"/>
                <w:i w:val="0"/>
                <w:sz w:val="20"/>
              </w:rPr>
              <w:t>Boomer</w:t>
            </w:r>
          </w:p>
        </w:tc>
        <w:tc>
          <w:tcPr>
            <w:tcW w:type="dxa" w:w="1337"/>
          </w:tcPr>
          <w:p>
            <w:pPr>
              <w:spacing w:before="0" w:after="0" w:lineRule="auto" w:line="240"/>
              <w:jc w:val="center"/>
            </w:pPr>
            <w:r/>
            <w:r>
              <w:rPr>
                <w:rFonts w:ascii="Times New Roman" w:hAnsi="Times New Roman" w:cs="Times New Roman"/>
                <w:b w:val="0"/>
                <w:i w:val="0"/>
                <w:sz w:val="20"/>
              </w:rPr>
              <w:t>15.3</w:t>
            </w:r>
          </w:p>
        </w:tc>
        <w:tc>
          <w:tcPr>
            <w:tcW w:type="dxa" w:w="1337"/>
          </w:tcPr>
          <w:p>
            <w:pPr>
              <w:spacing w:before="0" w:after="0" w:lineRule="auto" w:line="240"/>
              <w:jc w:val="center"/>
            </w:pPr>
            <w:r/>
            <w:r>
              <w:rPr>
                <w:rFonts w:ascii="Times New Roman" w:hAnsi="Times New Roman" w:cs="Times New Roman"/>
                <w:b w:val="0"/>
                <w:i w:val="0"/>
                <w:sz w:val="20"/>
              </w:rPr>
              <w:t>5.1</w:t>
            </w:r>
          </w:p>
        </w:tc>
        <w:tc>
          <w:tcPr>
            <w:tcW w:type="dxa" w:w="1337"/>
          </w:tcPr>
          <w:p>
            <w:pPr>
              <w:spacing w:before="0" w:after="0" w:lineRule="auto" w:line="240"/>
              <w:jc w:val="center"/>
            </w:pPr>
            <w:r/>
            <w:r>
              <w:rPr>
                <w:rFonts w:ascii="Times New Roman" w:hAnsi="Times New Roman" w:cs="Times New Roman"/>
                <w:b w:val="0"/>
                <w:i w:val="0"/>
                <w:sz w:val="20"/>
              </w:rPr>
              <w:t>16.9</w:t>
            </w:r>
          </w:p>
        </w:tc>
        <w:tc>
          <w:tcPr>
            <w:tcW w:type="dxa" w:w="1337"/>
          </w:tcPr>
          <w:p>
            <w:pPr>
              <w:spacing w:before="0" w:after="0" w:lineRule="auto" w:line="240"/>
              <w:jc w:val="center"/>
            </w:pPr>
            <w:r/>
            <w:r>
              <w:rPr>
                <w:rFonts w:ascii="Times New Roman" w:hAnsi="Times New Roman" w:cs="Times New Roman"/>
                <w:b w:val="0"/>
                <w:i w:val="0"/>
                <w:sz w:val="20"/>
              </w:rPr>
              <w:t>35.9</w:t>
            </w:r>
          </w:p>
        </w:tc>
        <w:tc>
          <w:tcPr>
            <w:tcW w:type="dxa" w:w="1337"/>
          </w:tcPr>
          <w:p>
            <w:pPr>
              <w:spacing w:before="0" w:after="0" w:lineRule="auto" w:line="240"/>
              <w:jc w:val="center"/>
            </w:pPr>
            <w:r/>
            <w:r>
              <w:rPr>
                <w:rFonts w:ascii="Times New Roman" w:hAnsi="Times New Roman" w:cs="Times New Roman"/>
                <w:b w:val="0"/>
                <w:i w:val="0"/>
                <w:sz w:val="20"/>
              </w:rPr>
              <w:t>11.7</w:t>
            </w:r>
          </w:p>
        </w:tc>
        <w:tc>
          <w:tcPr>
            <w:tcW w:type="dxa" w:w="1337"/>
          </w:tcPr>
          <w:p>
            <w:pPr>
              <w:spacing w:before="0" w:after="0" w:lineRule="auto" w:line="240"/>
              <w:jc w:val="center"/>
            </w:pPr>
            <w:r/>
            <w:r>
              <w:rPr>
                <w:rFonts w:ascii="Times New Roman" w:hAnsi="Times New Roman" w:cs="Times New Roman"/>
                <w:b w:val="0"/>
                <w:i w:val="0"/>
                <w:sz w:val="20"/>
              </w:rPr>
              <w:t>15.1</w:t>
            </w:r>
          </w:p>
        </w:tc>
      </w:tr>
      <w:tr>
        <w:tc>
          <w:tcPr>
            <w:tcW w:type="dxa" w:w="1337"/>
          </w:tcPr>
          <w:p>
            <w:pPr>
              <w:spacing w:before="0" w:after="0" w:lineRule="auto" w:line="240"/>
              <w:jc w:val="left"/>
            </w:pPr>
            <w:r/>
            <w:r>
              <w:rPr>
                <w:rFonts w:ascii="Times New Roman" w:hAnsi="Times New Roman" w:cs="Times New Roman"/>
                <w:b w:val="0"/>
                <w:i w:val="0"/>
                <w:sz w:val="20"/>
              </w:rPr>
              <w:t>Silent</w:t>
            </w:r>
          </w:p>
        </w:tc>
        <w:tc>
          <w:tcPr>
            <w:tcW w:type="dxa" w:w="1337"/>
          </w:tcPr>
          <w:p>
            <w:pPr>
              <w:spacing w:before="0" w:after="0" w:lineRule="auto" w:line="240"/>
              <w:jc w:val="center"/>
            </w:pPr>
            <w:r/>
            <w:r>
              <w:rPr>
                <w:rFonts w:ascii="Times New Roman" w:hAnsi="Times New Roman" w:cs="Times New Roman"/>
                <w:b w:val="0"/>
                <w:i w:val="0"/>
                <w:sz w:val="20"/>
              </w:rPr>
              <w:t>16.8</w:t>
            </w:r>
          </w:p>
        </w:tc>
        <w:tc>
          <w:tcPr>
            <w:tcW w:type="dxa" w:w="1337"/>
          </w:tcPr>
          <w:p>
            <w:pPr>
              <w:spacing w:before="0" w:after="0" w:lineRule="auto" w:line="240"/>
              <w:jc w:val="center"/>
            </w:pPr>
            <w:r/>
            <w:r>
              <w:rPr>
                <w:rFonts w:ascii="Times New Roman" w:hAnsi="Times New Roman" w:cs="Times New Roman"/>
                <w:b w:val="0"/>
                <w:i w:val="0"/>
                <w:sz w:val="20"/>
              </w:rPr>
              <w:t>4.4</w:t>
            </w:r>
          </w:p>
        </w:tc>
        <w:tc>
          <w:tcPr>
            <w:tcW w:type="dxa" w:w="1337"/>
          </w:tcPr>
          <w:p>
            <w:pPr>
              <w:spacing w:before="0" w:after="0" w:lineRule="auto" w:line="240"/>
              <w:jc w:val="center"/>
            </w:pPr>
            <w:r/>
            <w:r>
              <w:rPr>
                <w:rFonts w:ascii="Times New Roman" w:hAnsi="Times New Roman" w:cs="Times New Roman"/>
                <w:b w:val="0"/>
                <w:i w:val="0"/>
                <w:sz w:val="20"/>
              </w:rPr>
              <w:t>18.7</w:t>
            </w:r>
          </w:p>
        </w:tc>
        <w:tc>
          <w:tcPr>
            <w:tcW w:type="dxa" w:w="1337"/>
          </w:tcPr>
          <w:p>
            <w:pPr>
              <w:spacing w:before="0" w:after="0" w:lineRule="auto" w:line="240"/>
              <w:jc w:val="center"/>
            </w:pPr>
            <w:r/>
            <w:r>
              <w:rPr>
                <w:rFonts w:ascii="Times New Roman" w:hAnsi="Times New Roman" w:cs="Times New Roman"/>
                <w:b w:val="0"/>
                <w:i w:val="0"/>
                <w:sz w:val="20"/>
              </w:rPr>
              <w:t>41.9</w:t>
            </w:r>
          </w:p>
        </w:tc>
        <w:tc>
          <w:tcPr>
            <w:tcW w:type="dxa" w:w="1337"/>
          </w:tcPr>
          <w:p>
            <w:pPr>
              <w:spacing w:before="0" w:after="0" w:lineRule="auto" w:line="240"/>
              <w:jc w:val="center"/>
            </w:pPr>
            <w:r/>
            <w:r>
              <w:rPr>
                <w:rFonts w:ascii="Times New Roman" w:hAnsi="Times New Roman" w:cs="Times New Roman"/>
                <w:b w:val="0"/>
                <w:i w:val="0"/>
                <w:sz w:val="20"/>
              </w:rPr>
              <w:t>6.6</w:t>
            </w:r>
          </w:p>
        </w:tc>
        <w:tc>
          <w:tcPr>
            <w:tcW w:type="dxa" w:w="1337"/>
          </w:tcPr>
          <w:p>
            <w:pPr>
              <w:spacing w:before="0" w:after="0" w:lineRule="auto" w:line="240"/>
              <w:jc w:val="center"/>
            </w:pPr>
            <w:r/>
            <w:r>
              <w:rPr>
                <w:rFonts w:ascii="Times New Roman" w:hAnsi="Times New Roman" w:cs="Times New Roman"/>
                <w:b w:val="0"/>
                <w:i w:val="0"/>
                <w:sz w:val="20"/>
              </w:rPr>
              <w:t>11.5</w:t>
            </w:r>
          </w:p>
        </w:tc>
      </w:tr>
    </w:tbl>
    <w:p>
      <w:pPr>
        <w:spacing w:before="80" w:after="240" w:lineRule="auto" w:line="480"/>
      </w:pP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lpa_generation_distribution.png"/>
                    <pic:cNvPicPr/>
                  </pic:nvPicPr>
                  <pic:blipFill>
                    <a:blip r:embed="rId10"/>
                    <a:stretch>
                      <a:fillRect/>
                    </a:stretch>
                  </pic:blipFill>
                  <pic:spPr>
                    <a:xfrm>
                      <a:off x="0" y="0"/>
                      <a:ext cx="5029200" cy="3017520"/>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2. </w:t>
      </w:r>
      <w:r>
        <w:rPr>
          <w:rFonts w:ascii="Times New Roman" w:hAnsi="Times New Roman" w:cs="Times New Roman"/>
          <w:b w:val="0"/>
          <w:i w:val="0"/>
          <w:sz w:val="24"/>
        </w:rPr>
        <w:t>Generational distribution across six latent civic engagement profiles.</w:t>
      </w:r>
    </w:p>
    <w:p>
      <w:pPr>
        <w:spacing w:before="0" w:after="0" w:lineRule="auto" w:line="480"/>
        <w:jc w:val="left"/>
      </w:pPr>
      <w:r>
        <w:rPr>
          <w:rFonts w:ascii="Times New Roman" w:hAnsi="Times New Roman" w:cs="Times New Roman"/>
          <w:b/>
          <w:i w:val="0"/>
          <w:sz w:val="24"/>
        </w:rPr>
        <w:t>Predictive Validation</w:t>
      </w:r>
    </w:p>
    <w:p>
      <w:pPr>
        <w:spacing w:before="0" w:after="0" w:lineRule="auto" w:line="480"/>
        <w:ind w:firstLine="720"/>
        <w:jc w:val="left"/>
      </w:pPr>
      <w:r>
        <w:rPr>
          <w:rFonts w:ascii="Times New Roman" w:hAnsi="Times New Roman" w:cs="Times New Roman"/>
          <w:b w:val="0"/>
          <w:i w:val="0"/>
          <w:sz w:val="24"/>
        </w:rPr>
        <w:t>The regression and profile analyses both rely on researcher-specified variable roles. A final analysis asked whether an algorithm with no imposed structure reaches the same conclusion. An XGBoost classifier trained on the full covariate set achieved test-set AUC = .731, comparable to prior survey-based models of volunteering. TreeSHAP decomposition revealed a generation-specific reversal in feature importance (Figure 3): socialization frequency was the single most important predictor of volunteering for Gen Z (mean |SHAP| = 0.467, indicating that socialization shifted the predicted probability by an average of 0.47 on the log-odds scale), whereas education ranked first for every other generation (mean |SHAP| = 0.426–0.472). SHAP dependence plots independently recovered both the First Step Effect—the steepest gradient at the lowest socialization transition—and the Gen Z plateau, confirming that these patterns are not artifacts of the parametric regression specification. The convergence across methods is itself a finding: a flexible machine learning algorithm, given no information about which variables should interact or where thresholds should fall, independently identified the same two patterns discovered through theory-guided regression—the First Step Effect and the Gen Z plateau—strengthening confidence that these patterns reflect genuine features of the data rather than modeling choices.</w:t>
      </w: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1591365"/>
            <wp:docPr id="3" name="Picture 3"/>
            <wp:cNvGraphicFramePr>
              <a:graphicFrameLocks noChangeAspect="1"/>
            </wp:cNvGraphicFramePr>
            <a:graphic>
              <a:graphicData uri="http://schemas.openxmlformats.org/drawingml/2006/picture">
                <pic:pic>
                  <pic:nvPicPr>
                    <pic:cNvPr id="0" name="shap_all_generations.png"/>
                    <pic:cNvPicPr/>
                  </pic:nvPicPr>
                  <pic:blipFill>
                    <a:blip r:embed="rId11"/>
                    <a:stretch>
                      <a:fillRect/>
                    </a:stretch>
                  </pic:blipFill>
                  <pic:spPr>
                    <a:xfrm>
                      <a:off x="0" y="0"/>
                      <a:ext cx="5029200" cy="1591365"/>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3. </w:t>
      </w:r>
      <w:r>
        <w:rPr>
          <w:rFonts w:ascii="Times New Roman" w:hAnsi="Times New Roman" w:cs="Times New Roman"/>
          <w:b w:val="0"/>
          <w:i w:val="0"/>
          <w:sz w:val="24"/>
        </w:rPr>
        <w:t>Feature importance (mean |SHAP|) by generation from gradient boosting model. Socialization frequency ranks first for Gen Z; education ranks first for all other generations.</w:t>
      </w:r>
    </w:p>
    <w:p>
      <w:pPr>
        <w:spacing w:before="0" w:after="0" w:lineRule="auto" w:line="480"/>
        <w:jc w:val="center"/>
      </w:pPr>
      <w:r>
        <w:rPr>
          <w:rFonts w:ascii="Times New Roman" w:hAnsi="Times New Roman" w:cs="Times New Roman"/>
          <w:b/>
          <w:i w:val="0"/>
          <w:sz w:val="24"/>
        </w:rPr>
        <w:t>Discussion</w:t>
      </w:r>
    </w:p>
    <w:p>
      <w:pPr>
        <w:spacing w:before="0" w:after="0" w:lineRule="auto" w:line="480"/>
        <w:ind w:firstLine="720"/>
        <w:jc w:val="left"/>
      </w:pPr>
      <w:r>
        <w:rPr>
          <w:rFonts w:ascii="Times New Roman" w:hAnsi="Times New Roman" w:cs="Times New Roman"/>
          <w:b w:val="0"/>
          <w:i w:val="0"/>
          <w:sz w:val="24"/>
        </w:rPr>
        <w:t>Three independent analytic approaches arrived at the same answer: in-person socialization is the strongest correlate of volunteering for the most socially disconnected generation in the available CPS-CEV record, and the initial step out of isolation yields the largest marginal civic return. The three methods—logistic regression, latent profile analysis, and gradient boosting—do not share assumptions about functional form, variable roles, or sample heterogeneity. Agreement under those conditions is not trivial.</w:t>
      </w:r>
    </w:p>
    <w:p>
      <w:pPr>
        <w:spacing w:before="0" w:after="0" w:lineRule="auto" w:line="480"/>
        <w:ind w:firstLine="720"/>
        <w:jc w:val="left"/>
      </w:pPr>
      <w:r>
        <w:rPr>
          <w:rFonts w:ascii="Times New Roman" w:hAnsi="Times New Roman" w:cs="Times New Roman"/>
          <w:b w:val="0"/>
          <w:i w:val="0"/>
          <w:sz w:val="24"/>
        </w:rPr>
        <w:t>Cacioppo and Cacioppo's (2014) theorized cycle of social withdrawal predicts exactly this pattern: even minimal social contact should disrupt the self-reinforcing dynamic of isolation and perceived social threat, producing disproportionate gains at the lowest end of the socialization continuum. The First Step Effect confirms that prediction across all five generations. Beyond this initial threshold, however, the generational trajectories diverged. Gen Z's volunteering probability plateaued at moderate socialization levels, a ceiling absent in every older cohort (see Figure 1). The plateau is inconsistent with classical social capital theory (Putnam, 2000), which predicts continuous returns from increased social contact for populations embedded in dense associational networks. For Gen Z, additional contact beyond a moderate threshold appears decoupled from the community-based institutions through which civic recruitment historically occurs.</w:t>
      </w:r>
    </w:p>
    <w:p>
      <w:pPr>
        <w:spacing w:before="0" w:after="0" w:lineRule="auto" w:line="480"/>
        <w:ind w:firstLine="720"/>
        <w:jc w:val="left"/>
      </w:pPr>
      <w:r>
        <w:rPr>
          <w:rFonts w:ascii="Times New Roman" w:hAnsi="Times New Roman" w:cs="Times New Roman"/>
          <w:b w:val="0"/>
          <w:i w:val="0"/>
          <w:sz w:val="24"/>
        </w:rPr>
        <w:t>Education was the only significant moderator of the socialization–volunteering–generation relationship (</w:t>
      </w:r>
      <w:r>
        <w:rPr>
          <w:rFonts w:ascii="Times New Roman" w:hAnsi="Times New Roman" w:cs="Times New Roman"/>
          <w:b w:val="0"/>
          <w:i/>
          <w:sz w:val="24"/>
        </w:rPr>
        <w:t>p</w:t>
      </w:r>
      <w:r>
        <w:rPr>
          <w:rFonts w:ascii="Times New Roman" w:hAnsi="Times New Roman" w:cs="Times New Roman"/>
          <w:b w:val="0"/>
          <w:i w:val="0"/>
          <w:sz w:val="24"/>
        </w:rPr>
        <w:t xml:space="preserve"> = .009), amplifying the gradient more strongly for older cohorts—though the Gen Z plateau persisted even among degree holders, partially supporting H3a. Neither employment (</w:t>
      </w:r>
      <w:r>
        <w:rPr>
          <w:rFonts w:ascii="Times New Roman" w:hAnsi="Times New Roman" w:cs="Times New Roman"/>
          <w:b w:val="0"/>
          <w:i/>
          <w:sz w:val="24"/>
        </w:rPr>
        <w:t>p</w:t>
      </w:r>
      <w:r>
        <w:rPr>
          <w:rFonts w:ascii="Times New Roman" w:hAnsi="Times New Roman" w:cs="Times New Roman"/>
          <w:b w:val="0"/>
          <w:i w:val="0"/>
          <w:sz w:val="24"/>
        </w:rPr>
        <w:t xml:space="preserve"> = .056) nor civic social media use altered the pattern, contrary to the predictions of H3b and H3c. The social media null (</w:t>
      </w:r>
      <w:r>
        <w:rPr>
          <w:rFonts w:ascii="Times New Roman" w:hAnsi="Times New Roman" w:cs="Times New Roman"/>
          <w:b w:val="0"/>
          <w:i/>
          <w:sz w:val="24"/>
        </w:rPr>
        <w:t>p</w:t>
      </w:r>
      <w:r>
        <w:rPr>
          <w:rFonts w:ascii="Times New Roman" w:hAnsi="Times New Roman" w:cs="Times New Roman"/>
          <w:b w:val="0"/>
          <w:i w:val="0"/>
          <w:sz w:val="24"/>
        </w:rPr>
        <w:t xml:space="preserve"> = .969) warrants emphasis: the digital compensation effect posited by Bennett and Segerberg's (2012) connective action framework does not operate differently for digitally native young adults. Online civic activity offers no special substitute for face-to-face contact.</w:t>
      </w:r>
    </w:p>
    <w:p>
      <w:pPr>
        <w:spacing w:before="0" w:after="0" w:lineRule="auto" w:line="480"/>
        <w:ind w:firstLine="720"/>
        <w:jc w:val="left"/>
      </w:pPr>
      <w:r>
        <w:rPr>
          <w:rFonts w:ascii="Times New Roman" w:hAnsi="Times New Roman" w:cs="Times New Roman"/>
          <w:b w:val="0"/>
          <w:i w:val="0"/>
          <w:sz w:val="24"/>
        </w:rPr>
        <w:t>The pandemic explanation does not survive the data. The socialization × generation × post-COVID interaction was not significant (</w:t>
      </w:r>
      <w:r>
        <w:rPr>
          <w:rFonts w:ascii="Times New Roman" w:hAnsi="Times New Roman" w:cs="Times New Roman"/>
          <w:b w:val="0"/>
          <w:i/>
          <w:sz w:val="24"/>
        </w:rPr>
        <w:t>p</w:t>
      </w:r>
      <w:r>
        <w:rPr>
          <w:rFonts w:ascii="Times New Roman" w:hAnsi="Times New Roman" w:cs="Times New Roman"/>
          <w:b w:val="0"/>
          <w:i w:val="0"/>
          <w:sz w:val="24"/>
        </w:rPr>
        <w:t xml:space="preserve"> = .420), and the pre-COVID First Step AME for Gen Z (10.7 points) was comparable to the full-sample estimate, supporting H3d. Gen Z's weaker conversion of social contact into volunteering was evident before COVID-19 and unchanged afterward. Pandemic recovery strategies alone will not resolve the civic engagement deficit among young adults—the deficit predates the pandemic. Twenge et al. (2019) documented that declines in adolescent socialization were well underway by 2017; the present analysis extends that work to its civic consequences.</w:t>
      </w:r>
    </w:p>
    <w:p>
      <w:pPr>
        <w:spacing w:before="0" w:after="0" w:lineRule="auto" w:line="480"/>
        <w:ind w:firstLine="720"/>
        <w:jc w:val="left"/>
      </w:pPr>
      <w:r>
        <w:rPr>
          <w:rFonts w:ascii="Times New Roman" w:hAnsi="Times New Roman" w:cs="Times New Roman"/>
          <w:b w:val="0"/>
          <w:i w:val="0"/>
          <w:sz w:val="24"/>
        </w:rPr>
        <w:t>The person-centered analysis reinforced these findings through a complementary lens. Gen Z was disproportionately concentrated in socially disconnected profiles (see Table 4): over half (50.6%) occupied the Isolated Disengaged or Politically Aware Isolated classes, and only 3.7% reached Fully Engaged status—consistent with H4 and H5. These proportions were essentially unchanged across the pre- and post-COVID periods, corroborating the temporal stability finding.</w:t>
      </w:r>
    </w:p>
    <w:p>
      <w:pPr>
        <w:spacing w:before="0" w:after="0" w:lineRule="auto" w:line="480"/>
        <w:ind w:firstLine="720"/>
        <w:jc w:val="left"/>
      </w:pPr>
      <w:r>
        <w:rPr>
          <w:rFonts w:ascii="Times New Roman" w:hAnsi="Times New Roman" w:cs="Times New Roman"/>
          <w:b w:val="0"/>
          <w:i w:val="0"/>
          <w:sz w:val="24"/>
        </w:rPr>
        <w:t>The Socially Active Non-Donors profile qualifies the socialization thesis. Members of this class reported the highest socialization scores (M = 4.70) of any profile yet volunteered at only 14.6%—below the sample mean. Socialization without institutional anchoring—organizational membership was near zero (M = 0.08) and charitable giving absent—did not generate the recruitment exposures that translate social contact into civic action. Robustness analysis confirmed this pathway: organizational membership attenuated the First Step Effect by approximately 30%, indicating that institutional embeddedness is a key mediating mechanism rather than socialization alone. Not all socializing is created equal. The distinction between bonding capital (close-knit relationships among similar individuals) and bridging capital (cross-cutting ties that connect individuals to new networks and resources) is central here (Putnam, 2000). The Socially Active Non-Donors appear to be high in bonding capital—frequent contact with friends and family—but low in the bridging capital that connects individuals to civic institutions. For Gen Z, whose socialization increasingly occurs in homogeneous peer groups rather than in the institutionally diverse settings (churches, civic associations, workplaces) that older cohorts navigated, this distinction may be particularly consequential.</w:t>
      </w:r>
    </w:p>
    <w:p>
      <w:pPr>
        <w:spacing w:before="0" w:after="0" w:lineRule="auto" w:line="480"/>
        <w:ind w:firstLine="720"/>
        <w:jc w:val="left"/>
      </w:pPr>
      <w:r>
        <w:rPr>
          <w:rFonts w:ascii="Times New Roman" w:hAnsi="Times New Roman" w:cs="Times New Roman"/>
          <w:b w:val="0"/>
          <w:i w:val="0"/>
          <w:sz w:val="24"/>
        </w:rPr>
        <w:t>A temporal shift in the profile structure is also informative. Gen Z's representation in the Activist Boycotter profile doubled from 5.9% pre-COVID to 10.7% post-COVID, even as the Isolated Disengaged proportion remained stable. The post-2020 period catalyzed a politicization pathway for a subset of Gen Z without altering the broader pattern of civic disengagement. The Activist Boycotter profile, which emphasizes political consumption over institutional volunteering (volunteering rate: 46.9%), may represent an emerging civic pathway that operates alongside—rather than as a substitute for—traditional voluntarism.</w:t>
      </w:r>
    </w:p>
    <w:p>
      <w:pPr>
        <w:spacing w:before="0" w:after="0" w:lineRule="auto" w:line="480"/>
        <w:ind w:firstLine="720"/>
        <w:jc w:val="left"/>
      </w:pPr>
      <w:r>
        <w:rPr>
          <w:rFonts w:ascii="Times New Roman" w:hAnsi="Times New Roman" w:cs="Times New Roman"/>
          <w:b w:val="0"/>
          <w:i w:val="0"/>
          <w:sz w:val="24"/>
        </w:rPr>
        <w:t>Socialization's dominance for Gen Z was confirmed by a model with no imposed interaction structure. In the gradient boosting analysis, socialization ranked as the single most important predictor of volunteering for Gen Z, outranking education—the top predictor for every older generation (see Figure 3). For older cohorts with established social networks, the traditional civic voluntarism resources of education and employment retain their predictive primacy (Verba et al., 1995). SHAP dependence plots independently recovered both the First Step Effect and the Gen Z plateau, confirming that these patterns are not artifacts of the parametric regression specification. The concave dose–response shape at the lowest socialization transition—not a statistically novel pattern in itself—carries civic implications that have not been previously documented across five generational cohorts.</w:t>
      </w:r>
    </w:p>
    <w:p>
      <w:pPr>
        <w:spacing w:before="0" w:after="0" w:lineRule="auto" w:line="480"/>
        <w:ind w:firstLine="720"/>
        <w:jc w:val="left"/>
      </w:pPr>
      <w:r>
        <w:rPr>
          <w:rFonts w:ascii="Times New Roman" w:hAnsi="Times New Roman" w:cs="Times New Roman"/>
          <w:b w:val="0"/>
          <w:i w:val="0"/>
          <w:sz w:val="24"/>
        </w:rPr>
        <w:t>These findings collectively challenge the prevailing narrative about generational differences in civic engagement. Dalton (2008) and others frame declining youth participation as a value shift from "duty-based" to "engaged" citizenship, in which younger cohorts express commitment through informal and digital channels. Our results point to a different explanation. Gen Z exhibited the highest predicted volunteering probability at zero socialization—27.3%, compared with 16.7% for similarly isolated Boomers (see Results). If declining youth volunteering reflected weakened civic motivation, one would expect lower baseline rates, not higher ones. Gen Z appears more civically motivated at the individual level but less able to convert that motivation into sustained participation. The plateau at moderate socialization levels is more consistent with an account in which Gen Z lacks the dense, multiplex social networks that Granovetter (1973) identified as conduits for weak-tie recruitment. In Putnam's (2000) formulation, they are not bowling alone by choice but rather scrolling together in a digital environment that sustains the perception of connection without generating the face-to-face encounters through which civic recruitment historically occurs.</w:t>
      </w:r>
    </w:p>
    <w:p>
      <w:pPr>
        <w:spacing w:before="0" w:after="0" w:lineRule="auto" w:line="480"/>
        <w:ind w:firstLine="720"/>
        <w:jc w:val="left"/>
      </w:pPr>
      <w:r>
        <w:rPr>
          <w:rFonts w:ascii="Times New Roman" w:hAnsi="Times New Roman" w:cs="Times New Roman"/>
          <w:b w:val="0"/>
          <w:i w:val="0"/>
          <w:sz w:val="24"/>
        </w:rPr>
        <w:t>The baseline paradox—Gen Z's higher volunteering probability at zero socialization—deserves further interpretation. One reading is that Gen Z possesses stronger intrinsic civic motivation, perhaps cultivated through increased exposure to social cause messaging in digital media and educational curricula that increasingly emphasize community service. An alternative reading is that the composition of completely isolated Gen Z respondents differs from that of completely isolated Boomers: an 18-year-old who reports no social contact may be a recently graduated high school student living with parents who volunteer, whereas a 65-year-old who reports no social contact may be a widowed retiree with genuinely no civic connections. The baseline comparison controls for demographics but cannot fully account for unobserved household-level civic socialization. Regardless of which interpretation holds, the more consequential finding is what happens above the baseline: Gen Z's volunteering probability plateaus where other generations' continues to climb, and it is this ceiling—not the floor—that explains the overall generational gap in volunteering rates.</w:t>
      </w:r>
    </w:p>
    <w:p>
      <w:pPr>
        <w:spacing w:before="0" w:after="0" w:lineRule="auto" w:line="480"/>
        <w:ind w:firstLine="720"/>
        <w:jc w:val="left"/>
      </w:pPr>
      <w:r>
        <w:rPr>
          <w:rFonts w:ascii="Times New Roman" w:hAnsi="Times New Roman" w:cs="Times New Roman"/>
          <w:b w:val="0"/>
          <w:i w:val="0"/>
          <w:sz w:val="24"/>
        </w:rPr>
        <w:t xml:space="preserve">The "scrolling together" metaphor captures a structural irony: Gen Z is the most </w:t>
      </w:r>
      <w:r>
        <w:rPr>
          <w:rFonts w:ascii="Times New Roman" w:hAnsi="Times New Roman" w:cs="Times New Roman"/>
          <w:b w:val="0"/>
          <w:i/>
          <w:sz w:val="24"/>
        </w:rPr>
        <w:t>connected</w:t>
      </w:r>
      <w:r>
        <w:rPr>
          <w:rFonts w:ascii="Times New Roman" w:hAnsi="Times New Roman" w:cs="Times New Roman"/>
          <w:b w:val="0"/>
          <w:i w:val="0"/>
          <w:sz w:val="24"/>
        </w:rPr>
        <w:t xml:space="preserve"> generation in terms of digital communication, yet the most </w:t>
      </w:r>
      <w:r>
        <w:rPr>
          <w:rFonts w:ascii="Times New Roman" w:hAnsi="Times New Roman" w:cs="Times New Roman"/>
          <w:b w:val="0"/>
          <w:i/>
          <w:sz w:val="24"/>
        </w:rPr>
        <w:t>disconnected</w:t>
      </w:r>
      <w:r>
        <w:rPr>
          <w:rFonts w:ascii="Times New Roman" w:hAnsi="Times New Roman" w:cs="Times New Roman"/>
          <w:b w:val="0"/>
          <w:i w:val="0"/>
          <w:sz w:val="24"/>
        </w:rPr>
        <w:t xml:space="preserve"> in terms of the face-to-face contact that drives civic recruitment. Social media platforms provide a continuous stream of information about social causes, volunteer opportunities, and community needs—but information alone does not substitute for the social obligation that arises from a face-to-face request. The null finding for civic social media use (</w:t>
      </w:r>
      <w:r>
        <w:rPr>
          <w:rFonts w:ascii="Times New Roman" w:hAnsi="Times New Roman" w:cs="Times New Roman"/>
          <w:b w:val="0"/>
          <w:i/>
          <w:sz w:val="24"/>
        </w:rPr>
        <w:t>p</w:t>
      </w:r>
      <w:r>
        <w:rPr>
          <w:rFonts w:ascii="Times New Roman" w:hAnsi="Times New Roman" w:cs="Times New Roman"/>
          <w:b w:val="0"/>
          <w:i w:val="0"/>
          <w:sz w:val="24"/>
        </w:rPr>
        <w:t xml:space="preserve"> = .969) confirms this empirically: Gen Z members who actively use social media for civic purposes volunteer at the same rate as those who do not, once socialization frequency is controlled. Digital civic activity is not inert, but it does not function as a recruitment channel the way a personal encounter does. This disconnect between digital awareness and civic action may explain why Gen Z's volunteering probability plateaus at moderate socialization: those who socialize enough to encounter some recruitment opportunities do volunteer, but their social contexts—often peer-group gatherings without institutional anchoring—do not generate the escalating web of obligations and expectations that drove older cohorts toward progressively deeper civic engagement.</w:t>
      </w:r>
    </w:p>
    <w:p>
      <w:pPr>
        <w:spacing w:before="0" w:after="0" w:lineRule="auto" w:line="480"/>
        <w:jc w:val="left"/>
      </w:pPr>
      <w:r>
        <w:rPr>
          <w:rFonts w:ascii="Times New Roman" w:hAnsi="Times New Roman" w:cs="Times New Roman"/>
          <w:b/>
          <w:i w:val="0"/>
          <w:sz w:val="24"/>
        </w:rPr>
        <w:t>Practical Implications</w:t>
      </w:r>
    </w:p>
    <w:p>
      <w:pPr>
        <w:spacing w:before="0" w:after="0" w:lineRule="auto" w:line="480"/>
        <w:ind w:firstLine="720"/>
        <w:jc w:val="left"/>
      </w:pPr>
      <w:r>
        <w:rPr>
          <w:rFonts w:ascii="Times New Roman" w:hAnsi="Times New Roman" w:cs="Times New Roman"/>
          <w:b w:val="0"/>
          <w:i w:val="0"/>
          <w:sz w:val="24"/>
        </w:rPr>
        <w:t>What should practitioners do differently? The First Step Effect points to a clear answer: target the initial transition out of social isolation. Robustness analyses confirmed that this threshold is genuine rather than an artifact of scale concavity: the categorical 0-to-1 transition exceeded smooth log-linear predictions by 2.4 to 4.7 percentage points across all generations, with the excess largest for Gen Z. The practical upshot is direct. Low-threshold, single-contact strategies should be preferred over sustained-commitment appeals. Creating one opportunity for in-person contact matters more than intensifying recruitment among already-connected individuals. Digital-only campaigns offer no special compensatory advantage (</w:t>
      </w:r>
      <w:r>
        <w:rPr>
          <w:rFonts w:ascii="Times New Roman" w:hAnsi="Times New Roman" w:cs="Times New Roman"/>
          <w:b w:val="0"/>
          <w:i/>
          <w:sz w:val="24"/>
        </w:rPr>
        <w:t>p</w:t>
      </w:r>
      <w:r>
        <w:rPr>
          <w:rFonts w:ascii="Times New Roman" w:hAnsi="Times New Roman" w:cs="Times New Roman"/>
          <w:b w:val="0"/>
          <w:i w:val="0"/>
          <w:sz w:val="24"/>
        </w:rPr>
        <w:t xml:space="preserve"> = .969)—even for the cohort most dependent on digital communication. Volunteer organizations should invest in physical gathering spaces and initial-contact events, particularly on college campuses and in community settings where isolated young adults might be reached. Concretely, a campus volunteer center might host a monthly "coffee and causes" drop-in where students encounter service opportunities in a low-pressure social setting; a community organization could partner with local businesses to create "volunteer tasting" events where newcomers try a two-hour service project with no ongoing commitment; a library might embed volunteer sign-ups into existing social programming. The common thread is designing the social encounter first and the volunteer recruitment second—inverting the traditional model that assumes interested individuals will seek out opportunities on their own.</w:t>
      </w:r>
    </w:p>
    <w:p>
      <w:pPr>
        <w:spacing w:before="0" w:after="0" w:lineRule="auto" w:line="480"/>
        <w:ind w:firstLine="720"/>
        <w:jc w:val="left"/>
      </w:pPr>
      <w:r>
        <w:rPr>
          <w:rFonts w:ascii="Times New Roman" w:hAnsi="Times New Roman" w:cs="Times New Roman"/>
          <w:b w:val="0"/>
          <w:i w:val="0"/>
          <w:sz w:val="24"/>
        </w:rPr>
        <w:t>Community-based organizations occupy a strategic position in this landscape. Klinenberg's (2018) concept of "social infrastructure"—the physical spaces and institutions that facilitate social contact—provides a framework for understanding why investment in community gathering places, service-learning programs, and locally facilitated events may have civic returns that exceed their direct programmatic objectives. Cooperative Extension, embedded at the interface of campus and community, offers one institutional model: Extension educators could design programming that treats social connection not as a byproduct of volunteering but as a prerequisite for it. Other community-based institutions—libraries, recreation centers, faith communities, campus organizations—serve similar bridging functions and would benefit from the same reorientation.</w:t>
      </w:r>
    </w:p>
    <w:p>
      <w:pPr>
        <w:spacing w:before="0" w:after="0" w:lineRule="auto" w:line="480"/>
        <w:ind w:firstLine="720"/>
        <w:jc w:val="left"/>
      </w:pPr>
      <w:r>
        <w:rPr>
          <w:rFonts w:ascii="Times New Roman" w:hAnsi="Times New Roman" w:cs="Times New Roman"/>
          <w:b w:val="0"/>
          <w:i w:val="0"/>
          <w:sz w:val="24"/>
        </w:rPr>
        <w:t>For employers, the findings suggest that workplace-based volunteer programs may serve a dual function: they provide the structured social context that Gen Z respondents often lack outside the workplace, and they embed volunteer recruitment within the kind of organizationally anchored setting that the LPA analysis identified as critical. Companies that offer team-based volunteer days—where employees participate as a group rather than individually—may be more effective at engaging young workers precisely because they address the social barrier rather than relying solely on individual motivation.</w:t>
      </w:r>
    </w:p>
    <w:p>
      <w:pPr>
        <w:spacing w:before="0" w:after="0" w:lineRule="auto" w:line="480"/>
        <w:ind w:firstLine="720"/>
        <w:jc w:val="left"/>
      </w:pPr>
      <w:r>
        <w:rPr>
          <w:rFonts w:ascii="Times New Roman" w:hAnsi="Times New Roman" w:cs="Times New Roman"/>
          <w:b w:val="0"/>
          <w:i w:val="0"/>
          <w:sz w:val="24"/>
        </w:rPr>
        <w:t>At the policy level, the Surgeon General's 2023 advisory on loneliness and social isolation focused predominantly on health consequences. The present findings suggest extending that framing to encompass civic consequences: social disconnection does not merely increase the risk of heart disease and depression but also erodes the foundation on which democratic participation depends. Federal and state civic engagement initiatives—including AmeriCorps, national service programs, and campus-based volunteer centers—would benefit from incorporating a "social activation" component that addresses social isolation as a barrier to entry rather than assuming that motivation alone is sufficient to drive participation. The data also carry implications for how volunteering is measured and reported. Future measurement efforts should consider tracking not only whether individuals volunteer but the social pathway through which they were recruited—a distinction that the present findings suggest is essential for understanding generational differences in civic participation.</w:t>
      </w:r>
    </w:p>
    <w:p>
      <w:pPr>
        <w:spacing w:before="0" w:after="0" w:lineRule="auto" w:line="480"/>
        <w:jc w:val="left"/>
      </w:pPr>
      <w:r>
        <w:rPr>
          <w:rFonts w:ascii="Times New Roman" w:hAnsi="Times New Roman" w:cs="Times New Roman"/>
          <w:b/>
          <w:i w:val="0"/>
          <w:sz w:val="24"/>
        </w:rPr>
        <w:t>Limitations</w:t>
      </w:r>
    </w:p>
    <w:p>
      <w:pPr>
        <w:spacing w:before="0" w:after="0" w:lineRule="auto" w:line="480"/>
        <w:ind w:firstLine="720"/>
        <w:jc w:val="left"/>
      </w:pPr>
      <w:r>
        <w:rPr>
          <w:rFonts w:ascii="Times New Roman" w:hAnsi="Times New Roman" w:cs="Times New Roman"/>
          <w:b w:val="0"/>
          <w:i w:val="0"/>
          <w:sz w:val="24"/>
        </w:rPr>
        <w:t>Several limitations temper the strength of these claims. The most consequential is the threat of reverse causation. The pooled cross-sectional design cannot establish whether socialization leads to volunteering or volunteering generates social contact—or whether both reflect a common disposition such as extraversion. People who volunteer meet others through their service, which increases their socialization frequency; the entire gradient could be partly driven by this pathway. However, two features of the results provide partial leverage against a purely reverse-causal account. First, the nonlinear threshold shape of the First Step Effect is more consistent with a recruitment mechanism—in which initial contact triggers awareness of opportunities—than with reverse causation, which would predict a more linear association. Second, the temporal stability of the pattern across four waves suggests a durable relationship rather than a context-dependent artifact. Future research using true panel data or quasi-experimental designs—potentially leveraging the CPS rotation group structure—could more definitively establish directionality.</w:t>
      </w:r>
    </w:p>
    <w:p>
      <w:pPr>
        <w:spacing w:before="0" w:after="0" w:lineRule="auto" w:line="480"/>
        <w:ind w:firstLine="720"/>
        <w:jc w:val="left"/>
      </w:pPr>
      <w:r>
        <w:rPr>
          <w:rFonts w:ascii="Times New Roman" w:hAnsi="Times New Roman" w:cs="Times New Roman"/>
          <w:b w:val="0"/>
          <w:i w:val="0"/>
          <w:sz w:val="24"/>
        </w:rPr>
        <w:t>Measurement constraints introduce additional caveats. The CESOCIALIZE item captures frequency of socialization but not its quality, depth, or content; "got together socially with friends, relatives, or neighbors" conflates kin-based socialization (primarily bonding capital), friendship networks, and neighbor contact (most directly tied to community recruitment). These domains have different theoretical relationships to volunteering, and the composite measure cannot disentangle them. The binary COVID coding (2017/2019 vs. 2021/2023) is approximate; the 2021 wave was administered during, not after, the pandemic. The PES16F variable measuring virtual versus in-person volunteering mode is available only for the 2023 wave, preventing systematic analysis of how volunteering modality interacts with social isolation.</w:t>
      </w:r>
    </w:p>
    <w:p>
      <w:pPr>
        <w:spacing w:before="0" w:after="0" w:lineRule="auto" w:line="480"/>
        <w:ind w:firstLine="720"/>
        <w:jc w:val="left"/>
      </w:pPr>
      <w:r>
        <w:rPr>
          <w:rFonts w:ascii="Times New Roman" w:hAnsi="Times New Roman" w:cs="Times New Roman"/>
          <w:b w:val="0"/>
          <w:i w:val="0"/>
          <w:sz w:val="24"/>
        </w:rPr>
        <w:t>Generational classification by birth cohort conflates age, period, and cohort effects. Supplementary analyses with nonlinear age controls (age-squared) confirmed that the socialization-by-generation interaction survived (</w:t>
      </w:r>
      <w:r>
        <w:rPr>
          <w:rFonts w:ascii="Times New Roman" w:hAnsi="Times New Roman" w:cs="Times New Roman"/>
          <w:b w:val="0"/>
          <w:i/>
          <w:sz w:val="24"/>
        </w:rPr>
        <w:t>p</w:t>
      </w:r>
      <w:r>
        <w:rPr>
          <w:rFonts w:ascii="Times New Roman" w:hAnsi="Times New Roman" w:cs="Times New Roman"/>
          <w:b w:val="0"/>
          <w:i w:val="0"/>
          <w:sz w:val="24"/>
        </w:rPr>
        <w:t xml:space="preserve"> &lt; .001), and the First Step AMEs were essentially unchanged, providing leverage against a purely age-based account—but a formal age-period-cohort decomposition would require additional data waves. All measures are self-reported and subject to social desirability bias, which may differentially affect reporting of socially valued behaviors such as volunteering.</w:t>
      </w:r>
    </w:p>
    <w:p>
      <w:pPr>
        <w:spacing w:before="0" w:after="0" w:lineRule="auto" w:line="480"/>
        <w:jc w:val="left"/>
      </w:pPr>
      <w:r>
        <w:rPr>
          <w:rFonts w:ascii="Times New Roman" w:hAnsi="Times New Roman" w:cs="Times New Roman"/>
          <w:b/>
          <w:i w:val="0"/>
          <w:sz w:val="24"/>
        </w:rPr>
        <w:t>Future Directions</w:t>
      </w:r>
    </w:p>
    <w:p>
      <w:pPr>
        <w:spacing w:before="0" w:after="0" w:lineRule="auto" w:line="480"/>
        <w:ind w:firstLine="720"/>
        <w:jc w:val="left"/>
      </w:pPr>
      <w:r>
        <w:rPr>
          <w:rFonts w:ascii="Times New Roman" w:hAnsi="Times New Roman" w:cs="Times New Roman"/>
          <w:b w:val="0"/>
          <w:i w:val="0"/>
          <w:sz w:val="24"/>
        </w:rPr>
        <w:t>These limitations point toward a productive research agenda. First and most critically, the causal question demands longitudinal data. The CPS rotation group structure—in which households remain in the sample for four months, leave for eight, and return for four—offers a quasi-panel design that could establish whether changes in socialization within individuals precede changes in volunteering behavior. True panel studies with repeated measures of both constructs, such as the Panel Study of Income Dynamics or the Understanding America Study, could provide more definitive evidence of directionality.</w:t>
      </w:r>
    </w:p>
    <w:p>
      <w:pPr>
        <w:spacing w:before="0" w:after="0" w:lineRule="auto" w:line="480"/>
        <w:ind w:firstLine="720"/>
        <w:jc w:val="left"/>
      </w:pPr>
      <w:r>
        <w:rPr>
          <w:rFonts w:ascii="Times New Roman" w:hAnsi="Times New Roman" w:cs="Times New Roman"/>
          <w:b w:val="0"/>
          <w:i w:val="0"/>
          <w:sz w:val="24"/>
        </w:rPr>
        <w:t>Second, the CESOCIALIZE measure's breadth obscures important distinctions. Future research should disaggregate socialization by context (kin vs. friend vs. neighbor), modality (one-on-one vs. group), and institutional setting (organizationally embedded vs. informal). If the theoretical account offered here is correct—that institutionally anchored socialization drives civic recruitment while purely social contact does not—then context-specific measures should reveal differential associations with volunteering that the composite measure cannot capture.</w:t>
      </w:r>
    </w:p>
    <w:p>
      <w:pPr>
        <w:spacing w:before="0" w:after="0" w:lineRule="auto" w:line="480"/>
        <w:ind w:firstLine="720"/>
        <w:jc w:val="left"/>
      </w:pPr>
      <w:r>
        <w:rPr>
          <w:rFonts w:ascii="Times New Roman" w:hAnsi="Times New Roman" w:cs="Times New Roman"/>
          <w:b w:val="0"/>
          <w:i w:val="0"/>
          <w:sz w:val="24"/>
        </w:rPr>
        <w:t xml:space="preserve">Third, the null finding for civic social media use raises as many questions as it answers. The present study measured whether individuals </w:t>
      </w:r>
      <w:r>
        <w:rPr>
          <w:rFonts w:ascii="Times New Roman" w:hAnsi="Times New Roman" w:cs="Times New Roman"/>
          <w:b w:val="0"/>
          <w:i/>
          <w:sz w:val="24"/>
        </w:rPr>
        <w:t>discuss civic topics</w:t>
      </w:r>
      <w:r>
        <w:rPr>
          <w:rFonts w:ascii="Times New Roman" w:hAnsi="Times New Roman" w:cs="Times New Roman"/>
          <w:b w:val="0"/>
          <w:i w:val="0"/>
          <w:sz w:val="24"/>
        </w:rPr>
        <w:t xml:space="preserve"> online, not whether they </w:t>
      </w:r>
      <w:r>
        <w:rPr>
          <w:rFonts w:ascii="Times New Roman" w:hAnsi="Times New Roman" w:cs="Times New Roman"/>
          <w:b w:val="0"/>
          <w:i/>
          <w:sz w:val="24"/>
        </w:rPr>
        <w:t>socialize</w:t>
      </w:r>
      <w:r>
        <w:rPr>
          <w:rFonts w:ascii="Times New Roman" w:hAnsi="Times New Roman" w:cs="Times New Roman"/>
          <w:b w:val="0"/>
          <w:i w:val="0"/>
          <w:sz w:val="24"/>
        </w:rPr>
        <w:t xml:space="preserve"> online. A direct comparison of digital versus in-person socialization effects on volunteering—using measures of social media-based relationship maintenance, online community participation, and digital group membership—would test whether digital social contact can serve as a functional substitute for face-to-face recruitment.</w:t>
      </w:r>
    </w:p>
    <w:p>
      <w:pPr>
        <w:spacing w:before="0" w:after="0" w:lineRule="auto" w:line="480"/>
        <w:ind w:firstLine="720"/>
        <w:jc w:val="left"/>
      </w:pPr>
      <w:r>
        <w:rPr>
          <w:rFonts w:ascii="Times New Roman" w:hAnsi="Times New Roman" w:cs="Times New Roman"/>
          <w:b w:val="0"/>
          <w:i w:val="0"/>
          <w:sz w:val="24"/>
        </w:rPr>
        <w:t>Finally, the First Step Effect implies a specific intervention design: low-threshold, single-contact programs that target socially isolated young adults. Randomized controlled trials of such interventions—comparing, for example, a campus program that creates structured social encounters (the "social activation" approach) with a traditional volunteer recruitment campaign—would test whether the cross-sectional associations documented here translate into causal effects on volunteering behavior.</w:t>
      </w:r>
    </w:p>
    <w:p>
      <w:pPr>
        <w:spacing w:before="0" w:after="0" w:lineRule="auto" w:line="480"/>
        <w:ind w:firstLine="720"/>
        <w:jc w:val="left"/>
      </w:pPr>
      <w:r>
        <w:rPr>
          <w:rFonts w:ascii="Times New Roman" w:hAnsi="Times New Roman" w:cs="Times New Roman"/>
          <w:b w:val="0"/>
          <w:i w:val="0"/>
          <w:sz w:val="24"/>
        </w:rPr>
        <w:t>A fifth direction concerns cross-national comparison. The decline in youth socialization documented by Twenge et al. (2019) has been observed primarily in the United States and other Anglophone countries; whether similar patterns hold in societies with stronger institutional frameworks for youth civic participation—such as the Scandinavian countries with their tradition of popular movements and mandatory civil service options—would test the generalizability of these findings and potentially identify institutional models that buffer against the civic consequences of social isolation.</w:t>
      </w:r>
    </w:p>
    <w:p>
      <w:pPr>
        <w:spacing w:before="0" w:after="0" w:lineRule="auto" w:line="480"/>
        <w:jc w:val="left"/>
      </w:pPr>
      <w:r>
        <w:rPr>
          <w:rFonts w:ascii="Times New Roman" w:hAnsi="Times New Roman" w:cs="Times New Roman"/>
          <w:b/>
          <w:i w:val="0"/>
          <w:sz w:val="24"/>
        </w:rPr>
        <w:t>Conclusion</w:t>
      </w:r>
    </w:p>
    <w:p>
      <w:pPr>
        <w:spacing w:before="0" w:after="0" w:lineRule="auto" w:line="480"/>
        <w:ind w:firstLine="720"/>
        <w:jc w:val="left"/>
      </w:pPr>
      <w:r>
        <w:rPr>
          <w:rFonts w:ascii="Times New Roman" w:hAnsi="Times New Roman" w:cs="Times New Roman"/>
          <w:b w:val="0"/>
          <w:i w:val="0"/>
          <w:sz w:val="24"/>
        </w:rPr>
        <w:t>The social disconnection of Generation Z is a civic engagement challenge as much as a health challenge. What the data show, with consistent convergence across methods and time, is that one step out of isolation is associated with a larger civic return than any subsequent increase in social frequency. If these associations reflect causal pathways, the path to volunteering begins not with appeals to duty or digital campaigns, but with creating the physical social encounters that make civic recruitment possible—the kind Klinenberg (2018) called social infrastructure. The present study measured civic social media use rather than social media-based socialization per se; future research should examine whether digital socialization serves as a functional substitute for face-to-face contact in generating civic recruitment. Addressing the decline in youth volunteering requires not only rethinking recruitment strategies but also rebuilding the institutional foundations through which civic participation has historically been sustained. The title of this paper invokes Putnam's metaphor deliberately. In 2000, Americans were bowling alone—participating in activities outside the organizational structures that once facilitated civic life. A quarter century later, the youngest Americans are not even bowling. They are scrolling together—maintaining the appearance of social connection through digital platforms that sustain awareness of community needs without generating the face-to-face encounters that translate awareness into action. The gap between knowing and doing, between digital empathy and physical participation, is where the civic consequences of the loneliness epidemic are most visible.</w:t>
      </w:r>
    </w:p>
    <w:p>
      <w:pPr/>
      <w:r>
        <w:br w:type="page"/>
      </w:r>
    </w:p>
    <w:p>
      <w:pPr>
        <w:spacing w:before="0" w:after="0" w:lineRule="auto" w:line="480"/>
        <w:jc w:val="center"/>
      </w:pPr>
      <w:r>
        <w:rPr>
          <w:rFonts w:ascii="Times New Roman" w:hAnsi="Times New Roman" w:cs="Times New Roman"/>
          <w:b/>
          <w:i w:val="0"/>
          <w:sz w:val="24"/>
        </w:rPr>
        <w:t>References</w:t>
      </w:r>
    </w:p>
    <w:p>
      <w:pPr>
        <w:spacing w:before="0" w:after="0" w:lineRule="auto" w:line="480"/>
        <w:ind w:left="720" w:hanging="720"/>
        <w:jc w:val="left"/>
      </w:pPr>
      <w:r>
        <w:rPr>
          <w:rFonts w:ascii="Times New Roman" w:hAnsi="Times New Roman" w:cs="Times New Roman"/>
          <w:b w:val="0"/>
          <w:i w:val="0"/>
          <w:sz w:val="24"/>
        </w:rPr>
        <w:t>AmeriCorps. (2023). Volunteering and civic life in America.</w:t>
      </w:r>
    </w:p>
    <w:p>
      <w:pPr>
        <w:spacing w:before="0" w:after="0" w:lineRule="auto" w:line="480"/>
        <w:ind w:left="720" w:hanging="720"/>
        <w:jc w:val="left"/>
      </w:pPr>
      <w:r>
        <w:rPr>
          <w:rFonts w:ascii="Times New Roman" w:hAnsi="Times New Roman" w:cs="Times New Roman"/>
          <w:b w:val="0"/>
          <w:i w:val="0"/>
          <w:sz w:val="24"/>
        </w:rPr>
        <w:t xml:space="preserve">Arel-Bundock, V. (2023). </w:t>
      </w:r>
      <w:r>
        <w:rPr>
          <w:rFonts w:ascii="Times New Roman" w:hAnsi="Times New Roman" w:cs="Times New Roman"/>
          <w:b w:val="0"/>
          <w:i/>
          <w:sz w:val="24"/>
        </w:rPr>
        <w:t>marginaleffects: Predictions, comparisons, slopes, marginal means, and hypothesis tests</w:t>
      </w:r>
      <w:r>
        <w:rPr>
          <w:rFonts w:ascii="Times New Roman" w:hAnsi="Times New Roman" w:cs="Times New Roman"/>
          <w:b w:val="0"/>
          <w:i w:val="0"/>
          <w:sz w:val="24"/>
        </w:rPr>
        <w:t>. R package.</w:t>
      </w:r>
    </w:p>
    <w:p>
      <w:pPr>
        <w:spacing w:before="0" w:after="0" w:lineRule="auto" w:line="480"/>
        <w:ind w:left="720" w:hanging="720"/>
        <w:jc w:val="left"/>
      </w:pPr>
      <w:r>
        <w:rPr>
          <w:rFonts w:ascii="Times New Roman" w:hAnsi="Times New Roman" w:cs="Times New Roman"/>
          <w:b w:val="0"/>
          <w:i w:val="0"/>
          <w:sz w:val="24"/>
        </w:rPr>
        <w:t xml:space="preserve">Bennett, W. L., &amp; Segerberg, A. (2012). The logic of connective action. </w:t>
      </w:r>
      <w:r>
        <w:rPr>
          <w:rFonts w:ascii="Times New Roman" w:hAnsi="Times New Roman" w:cs="Times New Roman"/>
          <w:b w:val="0"/>
          <w:i/>
          <w:sz w:val="24"/>
        </w:rPr>
        <w:t>Information, Communication &amp; Society, 15</w:t>
      </w:r>
      <w:r>
        <w:rPr>
          <w:rFonts w:ascii="Times New Roman" w:hAnsi="Times New Roman" w:cs="Times New Roman"/>
          <w:b w:val="0"/>
          <w:i w:val="0"/>
          <w:sz w:val="24"/>
        </w:rPr>
        <w:t>(5), 739–768.</w:t>
      </w:r>
    </w:p>
    <w:p>
      <w:pPr>
        <w:spacing w:before="0" w:after="0" w:lineRule="auto" w:line="480"/>
        <w:ind w:left="720" w:hanging="720"/>
        <w:jc w:val="left"/>
      </w:pPr>
      <w:r>
        <w:rPr>
          <w:rFonts w:ascii="Times New Roman" w:hAnsi="Times New Roman" w:cs="Times New Roman"/>
          <w:b w:val="0"/>
          <w:i w:val="0"/>
          <w:sz w:val="24"/>
        </w:rPr>
        <w:t xml:space="preserve">Beyerlein, K., &amp; Hipp, J. R. (2006). From pews to participation: The effect of congregation activity and context on bridging civic engagement. </w:t>
      </w:r>
      <w:r>
        <w:rPr>
          <w:rFonts w:ascii="Times New Roman" w:hAnsi="Times New Roman" w:cs="Times New Roman"/>
          <w:b w:val="0"/>
          <w:i/>
          <w:sz w:val="24"/>
        </w:rPr>
        <w:t>Social Problems, 53</w:t>
      </w:r>
      <w:r>
        <w:rPr>
          <w:rFonts w:ascii="Times New Roman" w:hAnsi="Times New Roman" w:cs="Times New Roman"/>
          <w:b w:val="0"/>
          <w:i w:val="0"/>
          <w:sz w:val="24"/>
        </w:rPr>
        <w:t>(1), 97–117.</w:t>
      </w:r>
    </w:p>
    <w:p>
      <w:pPr>
        <w:spacing w:before="0" w:after="0" w:lineRule="auto" w:line="480"/>
        <w:ind w:left="720" w:hanging="720"/>
        <w:jc w:val="left"/>
      </w:pPr>
      <w:r>
        <w:rPr>
          <w:rFonts w:ascii="Times New Roman" w:hAnsi="Times New Roman" w:cs="Times New Roman"/>
          <w:b w:val="0"/>
          <w:i w:val="0"/>
          <w:sz w:val="24"/>
        </w:rPr>
        <w:t xml:space="preserve">Bode, L., Vraga, E. K., Borah, P., &amp; Shah, D. V. (2014). A new space for political behavior. </w:t>
      </w:r>
      <w:r>
        <w:rPr>
          <w:rFonts w:ascii="Times New Roman" w:hAnsi="Times New Roman" w:cs="Times New Roman"/>
          <w:b w:val="0"/>
          <w:i/>
          <w:sz w:val="24"/>
        </w:rPr>
        <w:t>Political Communication, 31</w:t>
      </w:r>
      <w:r>
        <w:rPr>
          <w:rFonts w:ascii="Times New Roman" w:hAnsi="Times New Roman" w:cs="Times New Roman"/>
          <w:b w:val="0"/>
          <w:i w:val="0"/>
          <w:sz w:val="24"/>
        </w:rPr>
        <w:t>(1), 52–74.</w:t>
      </w:r>
    </w:p>
    <w:p>
      <w:pPr>
        <w:spacing w:before="0" w:after="0" w:lineRule="auto" w:line="480"/>
        <w:ind w:left="720" w:hanging="720"/>
        <w:jc w:val="left"/>
      </w:pPr>
      <w:r>
        <w:rPr>
          <w:rFonts w:ascii="Times New Roman" w:hAnsi="Times New Roman" w:cs="Times New Roman"/>
          <w:b w:val="0"/>
          <w:i w:val="0"/>
          <w:sz w:val="24"/>
        </w:rPr>
        <w:t xml:space="preserve">Brady, H. E., Verba, S., &amp; Schlozman, K. L. (1995). Beyond SES: A resource model of political participation. </w:t>
      </w:r>
      <w:r>
        <w:rPr>
          <w:rFonts w:ascii="Times New Roman" w:hAnsi="Times New Roman" w:cs="Times New Roman"/>
          <w:b w:val="0"/>
          <w:i/>
          <w:sz w:val="24"/>
        </w:rPr>
        <w:t>American Political Science Review, 89</w:t>
      </w:r>
      <w:r>
        <w:rPr>
          <w:rFonts w:ascii="Times New Roman" w:hAnsi="Times New Roman" w:cs="Times New Roman"/>
          <w:b w:val="0"/>
          <w:i w:val="0"/>
          <w:sz w:val="24"/>
        </w:rPr>
        <w:t>(2), 271–294.</w:t>
      </w:r>
    </w:p>
    <w:p>
      <w:pPr>
        <w:spacing w:before="0" w:after="0" w:lineRule="auto" w:line="480"/>
        <w:ind w:left="720" w:hanging="720"/>
        <w:jc w:val="left"/>
      </w:pPr>
      <w:r>
        <w:rPr>
          <w:rFonts w:ascii="Times New Roman" w:hAnsi="Times New Roman" w:cs="Times New Roman"/>
          <w:b w:val="0"/>
          <w:i w:val="0"/>
          <w:sz w:val="24"/>
        </w:rPr>
        <w:t xml:space="preserve">Bureau of Labor Statistics. (2016). </w:t>
      </w:r>
      <w:r>
        <w:rPr>
          <w:rFonts w:ascii="Times New Roman" w:hAnsi="Times New Roman" w:cs="Times New Roman"/>
          <w:b w:val="0"/>
          <w:i/>
          <w:sz w:val="24"/>
        </w:rPr>
        <w:t>Volunteering in the United States—2015</w:t>
      </w:r>
      <w:r>
        <w:rPr>
          <w:rFonts w:ascii="Times New Roman" w:hAnsi="Times New Roman" w:cs="Times New Roman"/>
          <w:b w:val="0"/>
          <w:i w:val="0"/>
          <w:sz w:val="24"/>
        </w:rPr>
        <w:t>.</w:t>
      </w:r>
    </w:p>
    <w:p>
      <w:pPr>
        <w:spacing w:before="0" w:after="0" w:lineRule="auto" w:line="480"/>
        <w:ind w:left="720" w:hanging="720"/>
        <w:jc w:val="left"/>
      </w:pPr>
      <w:r>
        <w:rPr>
          <w:rFonts w:ascii="Times New Roman" w:hAnsi="Times New Roman" w:cs="Times New Roman"/>
          <w:b w:val="0"/>
          <w:i w:val="0"/>
          <w:sz w:val="24"/>
        </w:rPr>
        <w:t xml:space="preserve">Cacioppo, J. T., &amp; Cacioppo, S. (2014). Social relationships and health: The toxic effects of perceived social isolation. </w:t>
      </w:r>
      <w:r>
        <w:rPr>
          <w:rFonts w:ascii="Times New Roman" w:hAnsi="Times New Roman" w:cs="Times New Roman"/>
          <w:b w:val="0"/>
          <w:i/>
          <w:sz w:val="24"/>
        </w:rPr>
        <w:t>Social and Personality Psychology Compass, 8</w:t>
      </w:r>
      <w:r>
        <w:rPr>
          <w:rFonts w:ascii="Times New Roman" w:hAnsi="Times New Roman" w:cs="Times New Roman"/>
          <w:b w:val="0"/>
          <w:i w:val="0"/>
          <w:sz w:val="24"/>
        </w:rPr>
        <w:t>(2), 58–72.</w:t>
      </w:r>
    </w:p>
    <w:p>
      <w:pPr>
        <w:spacing w:before="0" w:after="0" w:lineRule="auto" w:line="480"/>
        <w:ind w:left="720" w:hanging="720"/>
        <w:jc w:val="left"/>
      </w:pPr>
      <w:r>
        <w:rPr>
          <w:rFonts w:ascii="Times New Roman" w:hAnsi="Times New Roman" w:cs="Times New Roman"/>
          <w:b w:val="0"/>
          <w:i w:val="0"/>
          <w:sz w:val="24"/>
        </w:rPr>
        <w:t xml:space="preserve">Coleman, J. S. (1988). Social capital in the creation of human capital. </w:t>
      </w:r>
      <w:r>
        <w:rPr>
          <w:rFonts w:ascii="Times New Roman" w:hAnsi="Times New Roman" w:cs="Times New Roman"/>
          <w:b w:val="0"/>
          <w:i/>
          <w:sz w:val="24"/>
        </w:rPr>
        <w:t>American Journal of Sociology, 94</w:t>
      </w:r>
      <w:r>
        <w:rPr>
          <w:rFonts w:ascii="Times New Roman" w:hAnsi="Times New Roman" w:cs="Times New Roman"/>
          <w:b w:val="0"/>
          <w:i w:val="0"/>
          <w:sz w:val="24"/>
        </w:rPr>
        <w:t>, S95–S120.</w:t>
      </w:r>
    </w:p>
    <w:p>
      <w:pPr>
        <w:spacing w:before="0" w:after="0" w:lineRule="auto" w:line="480"/>
        <w:ind w:left="720" w:hanging="720"/>
        <w:jc w:val="left"/>
      </w:pPr>
      <w:r>
        <w:rPr>
          <w:rFonts w:ascii="Times New Roman" w:hAnsi="Times New Roman" w:cs="Times New Roman"/>
          <w:b w:val="0"/>
          <w:i w:val="0"/>
          <w:sz w:val="24"/>
        </w:rPr>
        <w:t xml:space="preserve">Collins, L. M., &amp; Lanza, S. T. (2010). </w:t>
      </w:r>
      <w:r>
        <w:rPr>
          <w:rFonts w:ascii="Times New Roman" w:hAnsi="Times New Roman" w:cs="Times New Roman"/>
          <w:b w:val="0"/>
          <w:i/>
          <w:sz w:val="24"/>
        </w:rPr>
        <w:t>Latent class and latent transition analysis</w:t>
      </w:r>
      <w:r>
        <w:rPr>
          <w:rFonts w:ascii="Times New Roman" w:hAnsi="Times New Roman" w:cs="Times New Roman"/>
          <w:b w:val="0"/>
          <w:i w:val="0"/>
          <w:sz w:val="24"/>
        </w:rPr>
        <w:t>. Wiley.</w:t>
      </w:r>
    </w:p>
    <w:p>
      <w:pPr>
        <w:spacing w:before="0" w:after="0" w:lineRule="auto" w:line="480"/>
        <w:ind w:left="720" w:hanging="720"/>
        <w:jc w:val="left"/>
      </w:pPr>
      <w:r>
        <w:rPr>
          <w:rFonts w:ascii="Times New Roman" w:hAnsi="Times New Roman" w:cs="Times New Roman"/>
          <w:b w:val="0"/>
          <w:i w:val="0"/>
          <w:sz w:val="24"/>
        </w:rPr>
        <w:t xml:space="preserve">Corporation for National and Community Service. (2018). </w:t>
      </w:r>
      <w:r>
        <w:rPr>
          <w:rFonts w:ascii="Times New Roman" w:hAnsi="Times New Roman" w:cs="Times New Roman"/>
          <w:b w:val="0"/>
          <w:i/>
          <w:sz w:val="24"/>
        </w:rPr>
        <w:t>Volunteering in America</w:t>
      </w:r>
      <w:r>
        <w:rPr>
          <w:rFonts w:ascii="Times New Roman" w:hAnsi="Times New Roman" w:cs="Times New Roman"/>
          <w:b w:val="0"/>
          <w:i w:val="0"/>
          <w:sz w:val="24"/>
        </w:rPr>
        <w:t>.</w:t>
      </w:r>
    </w:p>
    <w:p>
      <w:pPr>
        <w:spacing w:before="0" w:after="0" w:lineRule="auto" w:line="480"/>
        <w:ind w:left="720" w:hanging="720"/>
        <w:jc w:val="left"/>
      </w:pPr>
      <w:r>
        <w:rPr>
          <w:rFonts w:ascii="Times New Roman" w:hAnsi="Times New Roman" w:cs="Times New Roman"/>
          <w:b w:val="0"/>
          <w:i w:val="0"/>
          <w:sz w:val="24"/>
        </w:rPr>
        <w:t xml:space="preserve">Dalton, R. J. (2008). </w:t>
      </w:r>
      <w:r>
        <w:rPr>
          <w:rFonts w:ascii="Times New Roman" w:hAnsi="Times New Roman" w:cs="Times New Roman"/>
          <w:b w:val="0"/>
          <w:i/>
          <w:sz w:val="24"/>
        </w:rPr>
        <w:t>The good citizen: How a younger generation is reshaping American politics</w:t>
      </w:r>
      <w:r>
        <w:rPr>
          <w:rFonts w:ascii="Times New Roman" w:hAnsi="Times New Roman" w:cs="Times New Roman"/>
          <w:b w:val="0"/>
          <w:i w:val="0"/>
          <w:sz w:val="24"/>
        </w:rPr>
        <w:t>. CQ Press.</w:t>
      </w:r>
    </w:p>
    <w:p>
      <w:pPr>
        <w:spacing w:before="0" w:after="0" w:lineRule="auto" w:line="480"/>
        <w:ind w:left="720" w:hanging="720"/>
        <w:jc w:val="left"/>
      </w:pPr>
      <w:r>
        <w:rPr>
          <w:rFonts w:ascii="Times New Roman" w:hAnsi="Times New Roman" w:cs="Times New Roman"/>
          <w:b w:val="0"/>
          <w:i w:val="0"/>
          <w:sz w:val="24"/>
        </w:rPr>
        <w:t xml:space="preserve">Flanagan, C. A., &amp; Levine, P. (2010). Civic engagement and the transition to adulthood. </w:t>
      </w:r>
      <w:r>
        <w:rPr>
          <w:rFonts w:ascii="Times New Roman" w:hAnsi="Times New Roman" w:cs="Times New Roman"/>
          <w:b w:val="0"/>
          <w:i/>
          <w:sz w:val="24"/>
        </w:rPr>
        <w:t>The Future of Children, 20</w:t>
      </w:r>
      <w:r>
        <w:rPr>
          <w:rFonts w:ascii="Times New Roman" w:hAnsi="Times New Roman" w:cs="Times New Roman"/>
          <w:b w:val="0"/>
          <w:i w:val="0"/>
          <w:sz w:val="24"/>
        </w:rPr>
        <w:t>(1), 159–179.</w:t>
      </w:r>
    </w:p>
    <w:p>
      <w:pPr>
        <w:spacing w:before="0" w:after="0" w:lineRule="auto" w:line="480"/>
        <w:ind w:left="720" w:hanging="720"/>
        <w:jc w:val="left"/>
      </w:pPr>
      <w:r>
        <w:rPr>
          <w:rFonts w:ascii="Times New Roman" w:hAnsi="Times New Roman" w:cs="Times New Roman"/>
          <w:b w:val="0"/>
          <w:i w:val="0"/>
          <w:sz w:val="24"/>
        </w:rPr>
        <w:t xml:space="preserve">Flood, S., King, M., Rodgers, R., Ruggles, S., Warren, J. R., &amp; Westberry, M. (2023). </w:t>
      </w:r>
      <w:r>
        <w:rPr>
          <w:rFonts w:ascii="Times New Roman" w:hAnsi="Times New Roman" w:cs="Times New Roman"/>
          <w:b w:val="0"/>
          <w:i/>
          <w:sz w:val="24"/>
        </w:rPr>
        <w:t>Integrated Public Use Microdata Series, Current Population Survey: Version 11.0</w:t>
      </w:r>
      <w:r>
        <w:rPr>
          <w:rFonts w:ascii="Times New Roman" w:hAnsi="Times New Roman" w:cs="Times New Roman"/>
          <w:b w:val="0"/>
          <w:i w:val="0"/>
          <w:sz w:val="24"/>
        </w:rPr>
        <w:t>. IPUMS.</w:t>
      </w:r>
    </w:p>
    <w:p>
      <w:pPr>
        <w:spacing w:before="0" w:after="0" w:lineRule="auto" w:line="480"/>
        <w:ind w:left="720" w:hanging="720"/>
        <w:jc w:val="left"/>
      </w:pPr>
      <w:r>
        <w:rPr>
          <w:rFonts w:ascii="Times New Roman" w:hAnsi="Times New Roman" w:cs="Times New Roman"/>
          <w:b w:val="0"/>
          <w:i w:val="0"/>
          <w:sz w:val="24"/>
        </w:rPr>
        <w:t xml:space="preserve">Friedman, J. H. (2001). Greedy function approximation: A gradient boosting machine. </w:t>
      </w:r>
      <w:r>
        <w:rPr>
          <w:rFonts w:ascii="Times New Roman" w:hAnsi="Times New Roman" w:cs="Times New Roman"/>
          <w:b w:val="0"/>
          <w:i/>
          <w:sz w:val="24"/>
        </w:rPr>
        <w:t>Annals of Statistics, 29</w:t>
      </w:r>
      <w:r>
        <w:rPr>
          <w:rFonts w:ascii="Times New Roman" w:hAnsi="Times New Roman" w:cs="Times New Roman"/>
          <w:b w:val="0"/>
          <w:i w:val="0"/>
          <w:sz w:val="24"/>
        </w:rPr>
        <w:t>(5), 1189–1232.</w:t>
      </w:r>
    </w:p>
    <w:p>
      <w:pPr>
        <w:spacing w:before="0" w:after="0" w:lineRule="auto" w:line="480"/>
        <w:ind w:left="720" w:hanging="720"/>
        <w:jc w:val="left"/>
      </w:pPr>
      <w:r>
        <w:rPr>
          <w:rFonts w:ascii="Times New Roman" w:hAnsi="Times New Roman" w:cs="Times New Roman"/>
          <w:b w:val="0"/>
          <w:i w:val="0"/>
          <w:sz w:val="24"/>
        </w:rPr>
        <w:t xml:space="preserve">Gil de Zuniga, H., Jung, N., &amp; Valenzuela, S. (2012). Social media use for news and individuals’ social capital, civic engagement and political participation. </w:t>
      </w:r>
      <w:r>
        <w:rPr>
          <w:rFonts w:ascii="Times New Roman" w:hAnsi="Times New Roman" w:cs="Times New Roman"/>
          <w:b w:val="0"/>
          <w:i/>
          <w:sz w:val="24"/>
        </w:rPr>
        <w:t>Journal of Computer-Mediated Communication, 17</w:t>
      </w:r>
      <w:r>
        <w:rPr>
          <w:rFonts w:ascii="Times New Roman" w:hAnsi="Times New Roman" w:cs="Times New Roman"/>
          <w:b w:val="0"/>
          <w:i w:val="0"/>
          <w:sz w:val="24"/>
        </w:rPr>
        <w:t>(3), 319–336.</w:t>
      </w:r>
    </w:p>
    <w:p>
      <w:pPr>
        <w:spacing w:before="0" w:after="0" w:lineRule="auto" w:line="480"/>
        <w:ind w:left="720" w:hanging="720"/>
        <w:jc w:val="left"/>
      </w:pPr>
      <w:r>
        <w:rPr>
          <w:rFonts w:ascii="Times New Roman" w:hAnsi="Times New Roman" w:cs="Times New Roman"/>
          <w:b w:val="0"/>
          <w:i w:val="0"/>
          <w:sz w:val="24"/>
        </w:rPr>
        <w:t xml:space="preserve">Granovetter, M. S. (1973). The strength of weak ties. </w:t>
      </w:r>
      <w:r>
        <w:rPr>
          <w:rFonts w:ascii="Times New Roman" w:hAnsi="Times New Roman" w:cs="Times New Roman"/>
          <w:b w:val="0"/>
          <w:i/>
          <w:sz w:val="24"/>
        </w:rPr>
        <w:t>American Journal of Sociology, 78</w:t>
      </w:r>
      <w:r>
        <w:rPr>
          <w:rFonts w:ascii="Times New Roman" w:hAnsi="Times New Roman" w:cs="Times New Roman"/>
          <w:b w:val="0"/>
          <w:i w:val="0"/>
          <w:sz w:val="24"/>
        </w:rPr>
        <w:t>(6), 1360–1380.</w:t>
      </w:r>
    </w:p>
    <w:p>
      <w:pPr>
        <w:spacing w:before="0" w:after="0" w:lineRule="auto" w:line="480"/>
        <w:ind w:left="720" w:hanging="720"/>
        <w:jc w:val="left"/>
      </w:pPr>
      <w:r>
        <w:rPr>
          <w:rFonts w:ascii="Times New Roman" w:hAnsi="Times New Roman" w:cs="Times New Roman"/>
          <w:b w:val="0"/>
          <w:i w:val="0"/>
          <w:sz w:val="24"/>
        </w:rPr>
        <w:t xml:space="preserve">Holt-Lunstad, J., Smith, T. B., &amp; Layton, J. B. (2010). Social relationships and mortality risk: A meta-analytic review. </w:t>
      </w:r>
      <w:r>
        <w:rPr>
          <w:rFonts w:ascii="Times New Roman" w:hAnsi="Times New Roman" w:cs="Times New Roman"/>
          <w:b w:val="0"/>
          <w:i/>
          <w:sz w:val="24"/>
        </w:rPr>
        <w:t>PLoS Medicine, 7</w:t>
      </w:r>
      <w:r>
        <w:rPr>
          <w:rFonts w:ascii="Times New Roman" w:hAnsi="Times New Roman" w:cs="Times New Roman"/>
          <w:b w:val="0"/>
          <w:i w:val="0"/>
          <w:sz w:val="24"/>
        </w:rPr>
        <w:t>(7), e1000316.</w:t>
      </w:r>
    </w:p>
    <w:p>
      <w:pPr>
        <w:spacing w:before="0" w:after="0" w:lineRule="auto" w:line="480"/>
        <w:ind w:left="720" w:hanging="720"/>
        <w:jc w:val="left"/>
      </w:pPr>
      <w:r>
        <w:rPr>
          <w:rFonts w:ascii="Times New Roman" w:hAnsi="Times New Roman" w:cs="Times New Roman"/>
          <w:b w:val="0"/>
          <w:i w:val="0"/>
          <w:sz w:val="24"/>
        </w:rPr>
        <w:t xml:space="preserve">Hooghe, M. (2012). Taking part in politics? An analysis of macro-level determinants and individual-level explanations. </w:t>
      </w:r>
      <w:r>
        <w:rPr>
          <w:rFonts w:ascii="Times New Roman" w:hAnsi="Times New Roman" w:cs="Times New Roman"/>
          <w:b w:val="0"/>
          <w:i/>
          <w:sz w:val="24"/>
        </w:rPr>
        <w:t>International Review of Sociology, 22</w:t>
      </w:r>
      <w:r>
        <w:rPr>
          <w:rFonts w:ascii="Times New Roman" w:hAnsi="Times New Roman" w:cs="Times New Roman"/>
          <w:b w:val="0"/>
          <w:i w:val="0"/>
          <w:sz w:val="24"/>
        </w:rPr>
        <w:t>(1), 9–26.</w:t>
      </w:r>
    </w:p>
    <w:p>
      <w:pPr>
        <w:spacing w:before="0" w:after="0" w:lineRule="auto" w:line="480"/>
        <w:ind w:left="720" w:hanging="720"/>
        <w:jc w:val="left"/>
      </w:pPr>
      <w:r>
        <w:rPr>
          <w:rFonts w:ascii="Times New Roman" w:hAnsi="Times New Roman" w:cs="Times New Roman"/>
          <w:b w:val="0"/>
          <w:i w:val="0"/>
          <w:sz w:val="24"/>
        </w:rPr>
        <w:t xml:space="preserve">Jennings, M. K., &amp; Stoker, L. (2004). Social trust and civic engagement across time and generations. </w:t>
      </w:r>
      <w:r>
        <w:rPr>
          <w:rFonts w:ascii="Times New Roman" w:hAnsi="Times New Roman" w:cs="Times New Roman"/>
          <w:b w:val="0"/>
          <w:i/>
          <w:sz w:val="24"/>
        </w:rPr>
        <w:t>Acta Politica, 39</w:t>
      </w:r>
      <w:r>
        <w:rPr>
          <w:rFonts w:ascii="Times New Roman" w:hAnsi="Times New Roman" w:cs="Times New Roman"/>
          <w:b w:val="0"/>
          <w:i w:val="0"/>
          <w:sz w:val="24"/>
        </w:rPr>
        <w:t>, 342–379.</w:t>
      </w:r>
    </w:p>
    <w:p>
      <w:pPr>
        <w:spacing w:before="0" w:after="0" w:lineRule="auto" w:line="480"/>
        <w:ind w:left="720" w:hanging="720"/>
        <w:jc w:val="left"/>
      </w:pPr>
      <w:r>
        <w:rPr>
          <w:rFonts w:ascii="Times New Roman" w:hAnsi="Times New Roman" w:cs="Times New Roman"/>
          <w:b w:val="0"/>
          <w:i w:val="0"/>
          <w:sz w:val="24"/>
        </w:rPr>
        <w:t xml:space="preserve">Kelle, N., Simonson, J., &amp; Gordo, L. R. (2025). Generational differences in voluntary engagement among older adults. </w:t>
      </w:r>
      <w:r>
        <w:rPr>
          <w:rFonts w:ascii="Times New Roman" w:hAnsi="Times New Roman" w:cs="Times New Roman"/>
          <w:b w:val="0"/>
          <w:i/>
          <w:sz w:val="24"/>
        </w:rPr>
        <w:t>Voluntas, 36</w:t>
      </w:r>
      <w:r>
        <w:rPr>
          <w:rFonts w:ascii="Times New Roman" w:hAnsi="Times New Roman" w:cs="Times New Roman"/>
          <w:b w:val="0"/>
          <w:i w:val="0"/>
          <w:sz w:val="24"/>
        </w:rPr>
        <w:t>, 1–14.</w:t>
      </w:r>
    </w:p>
    <w:p>
      <w:pPr>
        <w:spacing w:before="0" w:after="0" w:lineRule="auto" w:line="480"/>
        <w:ind w:left="720" w:hanging="720"/>
        <w:jc w:val="left"/>
      </w:pPr>
      <w:r>
        <w:rPr>
          <w:rFonts w:ascii="Times New Roman" w:hAnsi="Times New Roman" w:cs="Times New Roman"/>
          <w:b w:val="0"/>
          <w:i w:val="0"/>
          <w:sz w:val="24"/>
        </w:rPr>
        <w:t xml:space="preserve">Klinenberg, E. (2018). </w:t>
      </w:r>
      <w:r>
        <w:rPr>
          <w:rFonts w:ascii="Times New Roman" w:hAnsi="Times New Roman" w:cs="Times New Roman"/>
          <w:b w:val="0"/>
          <w:i/>
          <w:sz w:val="24"/>
        </w:rPr>
        <w:t>Palaces for the people: How social infrastructure can help fight inequality, polarization, and the decline of civic life</w:t>
      </w:r>
      <w:r>
        <w:rPr>
          <w:rFonts w:ascii="Times New Roman" w:hAnsi="Times New Roman" w:cs="Times New Roman"/>
          <w:b w:val="0"/>
          <w:i w:val="0"/>
          <w:sz w:val="24"/>
        </w:rPr>
        <w:t>. Crown.</w:t>
      </w:r>
    </w:p>
    <w:p>
      <w:pPr>
        <w:spacing w:before="0" w:after="0" w:lineRule="auto" w:line="480"/>
        <w:ind w:left="720" w:hanging="720"/>
        <w:jc w:val="left"/>
      </w:pPr>
      <w:r>
        <w:rPr>
          <w:rFonts w:ascii="Times New Roman" w:hAnsi="Times New Roman" w:cs="Times New Roman"/>
          <w:b w:val="0"/>
          <w:i w:val="0"/>
          <w:sz w:val="24"/>
        </w:rPr>
        <w:t xml:space="preserve">Lim, C., &amp; Laurence, J. (2015). Doing good when times are bad: Volunteering behaviour in economic hard times. </w:t>
      </w:r>
      <w:r>
        <w:rPr>
          <w:rFonts w:ascii="Times New Roman" w:hAnsi="Times New Roman" w:cs="Times New Roman"/>
          <w:b w:val="0"/>
          <w:i/>
          <w:sz w:val="24"/>
        </w:rPr>
        <w:t>British Journal of Sociology, 66</w:t>
      </w:r>
      <w:r>
        <w:rPr>
          <w:rFonts w:ascii="Times New Roman" w:hAnsi="Times New Roman" w:cs="Times New Roman"/>
          <w:b w:val="0"/>
          <w:i w:val="0"/>
          <w:sz w:val="24"/>
        </w:rPr>
        <w:t>(2), 319–344.</w:t>
      </w:r>
    </w:p>
    <w:p>
      <w:pPr>
        <w:spacing w:before="0" w:after="0" w:lineRule="auto" w:line="480"/>
        <w:ind w:left="720" w:hanging="720"/>
        <w:jc w:val="left"/>
      </w:pPr>
      <w:r>
        <w:rPr>
          <w:rFonts w:ascii="Times New Roman" w:hAnsi="Times New Roman" w:cs="Times New Roman"/>
          <w:b w:val="0"/>
          <w:i w:val="0"/>
          <w:sz w:val="24"/>
        </w:rPr>
        <w:t xml:space="preserve">Lundberg, S. M., Erion, G., Chen, H., DeGrave, A., Prutkin, J. M., Nair, B., ... &amp; Lee, S. I. (2020). From local explanations to global understanding with explainable AI for trees. </w:t>
      </w:r>
      <w:r>
        <w:rPr>
          <w:rFonts w:ascii="Times New Roman" w:hAnsi="Times New Roman" w:cs="Times New Roman"/>
          <w:b w:val="0"/>
          <w:i/>
          <w:sz w:val="24"/>
        </w:rPr>
        <w:t>Nature Machine Intelligence, 2</w:t>
      </w:r>
      <w:r>
        <w:rPr>
          <w:rFonts w:ascii="Times New Roman" w:hAnsi="Times New Roman" w:cs="Times New Roman"/>
          <w:b w:val="0"/>
          <w:i w:val="0"/>
          <w:sz w:val="24"/>
        </w:rPr>
        <w:t>(1), 56–67.</w:t>
      </w:r>
    </w:p>
    <w:p>
      <w:pPr>
        <w:spacing w:before="0" w:after="0" w:lineRule="auto" w:line="480"/>
        <w:ind w:left="720" w:hanging="720"/>
        <w:jc w:val="left"/>
      </w:pPr>
      <w:r>
        <w:rPr>
          <w:rFonts w:ascii="Times New Roman" w:hAnsi="Times New Roman" w:cs="Times New Roman"/>
          <w:b w:val="0"/>
          <w:i w:val="0"/>
          <w:sz w:val="24"/>
        </w:rPr>
        <w:t xml:space="preserve">Lundberg, S. M., &amp; Lee, S. I. (2017). A unified approach to interpreting model predictions. </w:t>
      </w:r>
      <w:r>
        <w:rPr>
          <w:rFonts w:ascii="Times New Roman" w:hAnsi="Times New Roman" w:cs="Times New Roman"/>
          <w:b w:val="0"/>
          <w:i/>
          <w:sz w:val="24"/>
        </w:rPr>
        <w:t>Advances in Neural Information Processing Systems, 30</w:t>
      </w:r>
      <w:r>
        <w:rPr>
          <w:rFonts w:ascii="Times New Roman" w:hAnsi="Times New Roman" w:cs="Times New Roman"/>
          <w:b w:val="0"/>
          <w:i w:val="0"/>
          <w:sz w:val="24"/>
        </w:rPr>
        <w:t>.</w:t>
      </w:r>
    </w:p>
    <w:p>
      <w:pPr>
        <w:spacing w:before="0" w:after="0" w:lineRule="auto" w:line="480"/>
        <w:ind w:left="720" w:hanging="720"/>
        <w:jc w:val="left"/>
      </w:pPr>
      <w:r>
        <w:rPr>
          <w:rFonts w:ascii="Times New Roman" w:hAnsi="Times New Roman" w:cs="Times New Roman"/>
          <w:b w:val="0"/>
          <w:i w:val="0"/>
          <w:sz w:val="24"/>
        </w:rPr>
        <w:t xml:space="preserve">Manturuk, K., Lindblad, M., &amp; Quercia, R. (2012). Homeownership and civic engagement in low-income urban neighborhoods. </w:t>
      </w:r>
      <w:r>
        <w:rPr>
          <w:rFonts w:ascii="Times New Roman" w:hAnsi="Times New Roman" w:cs="Times New Roman"/>
          <w:b w:val="0"/>
          <w:i/>
          <w:sz w:val="24"/>
        </w:rPr>
        <w:t>Urban Affairs Review, 48</w:t>
      </w:r>
      <w:r>
        <w:rPr>
          <w:rFonts w:ascii="Times New Roman" w:hAnsi="Times New Roman" w:cs="Times New Roman"/>
          <w:b w:val="0"/>
          <w:i w:val="0"/>
          <w:sz w:val="24"/>
        </w:rPr>
        <w:t>(5), 731–760.</w:t>
      </w:r>
    </w:p>
    <w:p>
      <w:pPr>
        <w:spacing w:before="0" w:after="0" w:lineRule="auto" w:line="480"/>
        <w:ind w:left="720" w:hanging="720"/>
        <w:jc w:val="left"/>
      </w:pPr>
      <w:r>
        <w:rPr>
          <w:rFonts w:ascii="Times New Roman" w:hAnsi="Times New Roman" w:cs="Times New Roman"/>
          <w:b w:val="0"/>
          <w:i w:val="0"/>
          <w:sz w:val="24"/>
        </w:rPr>
        <w:t xml:space="preserve">Mauss, M. (1925/2000). </w:t>
      </w:r>
      <w:r>
        <w:rPr>
          <w:rFonts w:ascii="Times New Roman" w:hAnsi="Times New Roman" w:cs="Times New Roman"/>
          <w:b w:val="0"/>
          <w:i/>
          <w:sz w:val="24"/>
        </w:rPr>
        <w:t>The gift: The form and reason for exchange in archaic societies</w:t>
      </w:r>
      <w:r>
        <w:rPr>
          <w:rFonts w:ascii="Times New Roman" w:hAnsi="Times New Roman" w:cs="Times New Roman"/>
          <w:b w:val="0"/>
          <w:i w:val="0"/>
          <w:sz w:val="24"/>
        </w:rPr>
        <w:t>. W. W. Norton.</w:t>
      </w:r>
    </w:p>
    <w:p>
      <w:pPr>
        <w:spacing w:before="0" w:after="0" w:lineRule="auto" w:line="480"/>
        <w:ind w:left="720" w:hanging="720"/>
        <w:jc w:val="left"/>
      </w:pPr>
      <w:r>
        <w:rPr>
          <w:rFonts w:ascii="Times New Roman" w:hAnsi="Times New Roman" w:cs="Times New Roman"/>
          <w:b w:val="0"/>
          <w:i w:val="0"/>
          <w:sz w:val="24"/>
        </w:rPr>
        <w:t xml:space="preserve">McPherson, M., Smith-Lovin, L., &amp; Brashears, M. E. (2006). Social isolation in America: Changes in core discussion networks over two decades. </w:t>
      </w:r>
      <w:r>
        <w:rPr>
          <w:rFonts w:ascii="Times New Roman" w:hAnsi="Times New Roman" w:cs="Times New Roman"/>
          <w:b w:val="0"/>
          <w:i/>
          <w:sz w:val="24"/>
        </w:rPr>
        <w:t>American Sociological Review, 71</w:t>
      </w:r>
      <w:r>
        <w:rPr>
          <w:rFonts w:ascii="Times New Roman" w:hAnsi="Times New Roman" w:cs="Times New Roman"/>
          <w:b w:val="0"/>
          <w:i w:val="0"/>
          <w:sz w:val="24"/>
        </w:rPr>
        <w:t>(3), 353–375.</w:t>
      </w:r>
    </w:p>
    <w:p>
      <w:pPr>
        <w:spacing w:before="0" w:after="0" w:lineRule="auto" w:line="480"/>
        <w:ind w:left="720" w:hanging="720"/>
        <w:jc w:val="left"/>
      </w:pPr>
      <w:r>
        <w:rPr>
          <w:rFonts w:ascii="Times New Roman" w:hAnsi="Times New Roman" w:cs="Times New Roman"/>
          <w:b w:val="0"/>
          <w:i w:val="0"/>
          <w:sz w:val="24"/>
        </w:rPr>
        <w:t xml:space="preserve">Musick, M. A., &amp; Wilson, J. (2008). </w:t>
      </w:r>
      <w:r>
        <w:rPr>
          <w:rFonts w:ascii="Times New Roman" w:hAnsi="Times New Roman" w:cs="Times New Roman"/>
          <w:b w:val="0"/>
          <w:i/>
          <w:sz w:val="24"/>
        </w:rPr>
        <w:t>Volunteers: A social profile</w:t>
      </w:r>
      <w:r>
        <w:rPr>
          <w:rFonts w:ascii="Times New Roman" w:hAnsi="Times New Roman" w:cs="Times New Roman"/>
          <w:b w:val="0"/>
          <w:i w:val="0"/>
          <w:sz w:val="24"/>
        </w:rPr>
        <w:t>. Indiana University Press.</w:t>
      </w:r>
    </w:p>
    <w:p>
      <w:pPr>
        <w:spacing w:before="0" w:after="0" w:lineRule="auto" w:line="480"/>
        <w:ind w:left="720" w:hanging="720"/>
        <w:jc w:val="left"/>
      </w:pPr>
      <w:r>
        <w:rPr>
          <w:rFonts w:ascii="Times New Roman" w:hAnsi="Times New Roman" w:cs="Times New Roman"/>
          <w:b w:val="0"/>
          <w:i w:val="0"/>
          <w:sz w:val="24"/>
        </w:rPr>
        <w:t xml:space="preserve">Muthén, B. O., &amp; Muthén, L. K. (2000). Integrating person-centered and variable-centered analyses. </w:t>
      </w:r>
      <w:r>
        <w:rPr>
          <w:rFonts w:ascii="Times New Roman" w:hAnsi="Times New Roman" w:cs="Times New Roman"/>
          <w:b w:val="0"/>
          <w:i/>
          <w:sz w:val="24"/>
        </w:rPr>
        <w:t>Alcoholism: Clinical and Experimental Research, 24</w:t>
      </w:r>
      <w:r>
        <w:rPr>
          <w:rFonts w:ascii="Times New Roman" w:hAnsi="Times New Roman" w:cs="Times New Roman"/>
          <w:b w:val="0"/>
          <w:i w:val="0"/>
          <w:sz w:val="24"/>
        </w:rPr>
        <w:t>(5), 543–550.</w:t>
      </w:r>
    </w:p>
    <w:p>
      <w:pPr>
        <w:spacing w:before="0" w:after="0" w:lineRule="auto" w:line="480"/>
        <w:ind w:left="720" w:hanging="720"/>
        <w:jc w:val="left"/>
      </w:pPr>
      <w:r>
        <w:rPr>
          <w:rFonts w:ascii="Times New Roman" w:hAnsi="Times New Roman" w:cs="Times New Roman"/>
          <w:b w:val="0"/>
          <w:i w:val="0"/>
          <w:sz w:val="24"/>
        </w:rPr>
        <w:t xml:space="preserve">Nesbit, R. (2012). The influence of major life cycle events on volunteering. </w:t>
      </w:r>
      <w:r>
        <w:rPr>
          <w:rFonts w:ascii="Times New Roman" w:hAnsi="Times New Roman" w:cs="Times New Roman"/>
          <w:b w:val="0"/>
          <w:i/>
          <w:sz w:val="24"/>
        </w:rPr>
        <w:t>Nonprofit and Voluntary Sector Quarterly, 41</w:t>
      </w:r>
      <w:r>
        <w:rPr>
          <w:rFonts w:ascii="Times New Roman" w:hAnsi="Times New Roman" w:cs="Times New Roman"/>
          <w:b w:val="0"/>
          <w:i w:val="0"/>
          <w:sz w:val="24"/>
        </w:rPr>
        <w:t>(6), 1153–1174.</w:t>
      </w:r>
    </w:p>
    <w:p>
      <w:pPr>
        <w:spacing w:before="0" w:after="0" w:lineRule="auto" w:line="480"/>
        <w:ind w:left="720" w:hanging="720"/>
        <w:jc w:val="left"/>
      </w:pPr>
      <w:r>
        <w:rPr>
          <w:rFonts w:ascii="Times New Roman" w:hAnsi="Times New Roman" w:cs="Times New Roman"/>
          <w:b w:val="0"/>
          <w:i w:val="0"/>
          <w:sz w:val="24"/>
        </w:rPr>
        <w:t xml:space="preserve">Norris, P. (2002). </w:t>
      </w:r>
      <w:r>
        <w:rPr>
          <w:rFonts w:ascii="Times New Roman" w:hAnsi="Times New Roman" w:cs="Times New Roman"/>
          <w:b w:val="0"/>
          <w:i/>
          <w:sz w:val="24"/>
        </w:rPr>
        <w:t>Democratic phoenix: Reinventing political activism</w:t>
      </w:r>
      <w:r>
        <w:rPr>
          <w:rFonts w:ascii="Times New Roman" w:hAnsi="Times New Roman" w:cs="Times New Roman"/>
          <w:b w:val="0"/>
          <w:i w:val="0"/>
          <w:sz w:val="24"/>
        </w:rPr>
        <w:t>. Cambridge University Press.</w:t>
      </w:r>
    </w:p>
    <w:p>
      <w:pPr>
        <w:spacing w:before="0" w:after="0" w:lineRule="auto" w:line="480"/>
        <w:ind w:left="720" w:hanging="720"/>
        <w:jc w:val="left"/>
      </w:pPr>
      <w:r>
        <w:rPr>
          <w:rFonts w:ascii="Times New Roman" w:hAnsi="Times New Roman" w:cs="Times New Roman"/>
          <w:b w:val="0"/>
          <w:i w:val="0"/>
          <w:sz w:val="24"/>
        </w:rPr>
        <w:t xml:space="preserve">Office of the Surgeon General. (2023). </w:t>
      </w:r>
      <w:r>
        <w:rPr>
          <w:rFonts w:ascii="Times New Roman" w:hAnsi="Times New Roman" w:cs="Times New Roman"/>
          <w:b w:val="0"/>
          <w:i/>
          <w:sz w:val="24"/>
        </w:rPr>
        <w:t>Our epidemic of loneliness and isolation: The U.S. Surgeon General’s advisory on the healing effects of social connection and community</w:t>
      </w:r>
      <w:r>
        <w:rPr>
          <w:rFonts w:ascii="Times New Roman" w:hAnsi="Times New Roman" w:cs="Times New Roman"/>
          <w:b w:val="0"/>
          <w:i w:val="0"/>
          <w:sz w:val="24"/>
        </w:rPr>
        <w:t>.</w:t>
      </w:r>
    </w:p>
    <w:p>
      <w:pPr>
        <w:spacing w:before="0" w:after="0" w:lineRule="auto" w:line="480"/>
        <w:ind w:left="720" w:hanging="720"/>
        <w:jc w:val="left"/>
      </w:pPr>
      <w:r>
        <w:rPr>
          <w:rFonts w:ascii="Times New Roman" w:hAnsi="Times New Roman" w:cs="Times New Roman"/>
          <w:b w:val="0"/>
          <w:i w:val="0"/>
          <w:sz w:val="24"/>
        </w:rPr>
        <w:t xml:space="preserve">Putnam, R. D. (2000). </w:t>
      </w:r>
      <w:r>
        <w:rPr>
          <w:rFonts w:ascii="Times New Roman" w:hAnsi="Times New Roman" w:cs="Times New Roman"/>
          <w:b w:val="0"/>
          <w:i/>
          <w:sz w:val="24"/>
        </w:rPr>
        <w:t>Bowling alone: The collapse and revival of American community</w:t>
      </w:r>
      <w:r>
        <w:rPr>
          <w:rFonts w:ascii="Times New Roman" w:hAnsi="Times New Roman" w:cs="Times New Roman"/>
          <w:b w:val="0"/>
          <w:i w:val="0"/>
          <w:sz w:val="24"/>
        </w:rPr>
        <w:t>. Simon &amp; Schuster.</w:t>
      </w:r>
    </w:p>
    <w:p>
      <w:pPr>
        <w:spacing w:before="0" w:after="0" w:lineRule="auto" w:line="480"/>
        <w:ind w:left="720" w:hanging="720"/>
        <w:jc w:val="left"/>
      </w:pPr>
      <w:r>
        <w:rPr>
          <w:rFonts w:ascii="Times New Roman" w:hAnsi="Times New Roman" w:cs="Times New Roman"/>
          <w:b w:val="0"/>
          <w:i w:val="0"/>
          <w:sz w:val="24"/>
        </w:rPr>
        <w:t xml:space="preserve">Rotolo, T., &amp; Wilson, J. (2006). Employment sector and volunteering: The contribution of nonprofit and public sector workers to the volunteer labor force. </w:t>
      </w:r>
      <w:r>
        <w:rPr>
          <w:rFonts w:ascii="Times New Roman" w:hAnsi="Times New Roman" w:cs="Times New Roman"/>
          <w:b w:val="0"/>
          <w:i/>
          <w:sz w:val="24"/>
        </w:rPr>
        <w:t>Sociological Quarterly, 47</w:t>
      </w:r>
      <w:r>
        <w:rPr>
          <w:rFonts w:ascii="Times New Roman" w:hAnsi="Times New Roman" w:cs="Times New Roman"/>
          <w:b w:val="0"/>
          <w:i w:val="0"/>
          <w:sz w:val="24"/>
        </w:rPr>
        <w:t>(1), 21–40.</w:t>
      </w:r>
    </w:p>
    <w:p>
      <w:pPr>
        <w:spacing w:before="0" w:after="0" w:lineRule="auto" w:line="480"/>
        <w:ind w:left="720" w:hanging="720"/>
        <w:jc w:val="left"/>
      </w:pPr>
      <w:r>
        <w:rPr>
          <w:rFonts w:ascii="Times New Roman" w:hAnsi="Times New Roman" w:cs="Times New Roman"/>
          <w:b w:val="0"/>
          <w:i w:val="0"/>
          <w:sz w:val="24"/>
        </w:rPr>
        <w:t xml:space="preserve">Schlozman, K. L., Verba, S., &amp; Brady, H. E. (2012). </w:t>
      </w:r>
      <w:r>
        <w:rPr>
          <w:rFonts w:ascii="Times New Roman" w:hAnsi="Times New Roman" w:cs="Times New Roman"/>
          <w:b w:val="0"/>
          <w:i/>
          <w:sz w:val="24"/>
        </w:rPr>
        <w:t>The unheavenly chorus: Unequal political voice and the broken promise of American democracy</w:t>
      </w:r>
      <w:r>
        <w:rPr>
          <w:rFonts w:ascii="Times New Roman" w:hAnsi="Times New Roman" w:cs="Times New Roman"/>
          <w:b w:val="0"/>
          <w:i w:val="0"/>
          <w:sz w:val="24"/>
        </w:rPr>
        <w:t>. Princeton University Press.</w:t>
      </w:r>
    </w:p>
    <w:p>
      <w:pPr>
        <w:spacing w:before="0" w:after="0" w:lineRule="auto" w:line="480"/>
        <w:ind w:left="720" w:hanging="720"/>
        <w:jc w:val="left"/>
      </w:pPr>
      <w:r>
        <w:rPr>
          <w:rFonts w:ascii="Times New Roman" w:hAnsi="Times New Roman" w:cs="Times New Roman"/>
          <w:b w:val="0"/>
          <w:i w:val="0"/>
          <w:sz w:val="24"/>
        </w:rPr>
        <w:t xml:space="preserve">Snyder, M., &amp; Omoto, A. M. (2008). Volunteerism: Social issues perspectives and social policy implications. </w:t>
      </w:r>
      <w:r>
        <w:rPr>
          <w:rFonts w:ascii="Times New Roman" w:hAnsi="Times New Roman" w:cs="Times New Roman"/>
          <w:b w:val="0"/>
          <w:i/>
          <w:sz w:val="24"/>
        </w:rPr>
        <w:t>Social Issues and Policy Review, 2</w:t>
      </w:r>
      <w:r>
        <w:rPr>
          <w:rFonts w:ascii="Times New Roman" w:hAnsi="Times New Roman" w:cs="Times New Roman"/>
          <w:b w:val="0"/>
          <w:i w:val="0"/>
          <w:sz w:val="24"/>
        </w:rPr>
        <w:t>(1), 1–36.</w:t>
      </w:r>
    </w:p>
    <w:p>
      <w:pPr>
        <w:spacing w:before="0" w:after="0" w:lineRule="auto" w:line="480"/>
        <w:ind w:left="720" w:hanging="720"/>
        <w:jc w:val="left"/>
      </w:pPr>
      <w:r>
        <w:rPr>
          <w:rFonts w:ascii="Times New Roman" w:hAnsi="Times New Roman" w:cs="Times New Roman"/>
          <w:b w:val="0"/>
          <w:i w:val="0"/>
          <w:sz w:val="24"/>
        </w:rPr>
        <w:t xml:space="preserve">Stukas, A. A., Hoye, R., Nicholson, M., Brown, K. M., &amp; Aisbett, L. (2016). Motivations to volunteer and their associations with volunteers’ well-being. </w:t>
      </w:r>
      <w:r>
        <w:rPr>
          <w:rFonts w:ascii="Times New Roman" w:hAnsi="Times New Roman" w:cs="Times New Roman"/>
          <w:b w:val="0"/>
          <w:i/>
          <w:sz w:val="24"/>
        </w:rPr>
        <w:t>Nonprofit and Voluntary Sector Quarterly, 45</w:t>
      </w:r>
      <w:r>
        <w:rPr>
          <w:rFonts w:ascii="Times New Roman" w:hAnsi="Times New Roman" w:cs="Times New Roman"/>
          <w:b w:val="0"/>
          <w:i w:val="0"/>
          <w:sz w:val="24"/>
        </w:rPr>
        <w:t>(1), 112–132.</w:t>
      </w:r>
    </w:p>
    <w:p>
      <w:pPr>
        <w:spacing w:before="0" w:after="0" w:lineRule="auto" w:line="480"/>
        <w:ind w:left="720" w:hanging="720"/>
        <w:jc w:val="left"/>
      </w:pPr>
      <w:r>
        <w:rPr>
          <w:rFonts w:ascii="Times New Roman" w:hAnsi="Times New Roman" w:cs="Times New Roman"/>
          <w:b w:val="0"/>
          <w:i w:val="0"/>
          <w:sz w:val="24"/>
        </w:rPr>
        <w:t xml:space="preserve">Taniguchi, H. (2012). The determinants of formal and informal volunteering. </w:t>
      </w:r>
      <w:r>
        <w:rPr>
          <w:rFonts w:ascii="Times New Roman" w:hAnsi="Times New Roman" w:cs="Times New Roman"/>
          <w:b w:val="0"/>
          <w:i/>
          <w:sz w:val="24"/>
        </w:rPr>
        <w:t>Voluntas, 23</w:t>
      </w:r>
      <w:r>
        <w:rPr>
          <w:rFonts w:ascii="Times New Roman" w:hAnsi="Times New Roman" w:cs="Times New Roman"/>
          <w:b w:val="0"/>
          <w:i w:val="0"/>
          <w:sz w:val="24"/>
        </w:rPr>
        <w:t>, 920–939.</w:t>
      </w:r>
    </w:p>
    <w:p>
      <w:pPr>
        <w:spacing w:before="0" w:after="0" w:lineRule="auto" w:line="480"/>
        <w:ind w:left="720" w:hanging="720"/>
        <w:jc w:val="left"/>
      </w:pPr>
      <w:r>
        <w:rPr>
          <w:rFonts w:ascii="Times New Roman" w:hAnsi="Times New Roman" w:cs="Times New Roman"/>
          <w:b w:val="0"/>
          <w:i w:val="0"/>
          <w:sz w:val="24"/>
        </w:rPr>
        <w:t xml:space="preserve">Tocqueville, A. de. (1835/2000). </w:t>
      </w:r>
      <w:r>
        <w:rPr>
          <w:rFonts w:ascii="Times New Roman" w:hAnsi="Times New Roman" w:cs="Times New Roman"/>
          <w:b w:val="0"/>
          <w:i/>
          <w:sz w:val="24"/>
        </w:rPr>
        <w:t>Democracy in America</w:t>
      </w:r>
      <w:r>
        <w:rPr>
          <w:rFonts w:ascii="Times New Roman" w:hAnsi="Times New Roman" w:cs="Times New Roman"/>
          <w:b w:val="0"/>
          <w:i w:val="0"/>
          <w:sz w:val="24"/>
        </w:rPr>
        <w:t>. University of Chicago Press.</w:t>
      </w:r>
    </w:p>
    <w:p>
      <w:pPr>
        <w:spacing w:before="0" w:after="0" w:lineRule="auto" w:line="480"/>
        <w:ind w:left="720" w:hanging="720"/>
        <w:jc w:val="left"/>
      </w:pPr>
      <w:r>
        <w:rPr>
          <w:rFonts w:ascii="Times New Roman" w:hAnsi="Times New Roman" w:cs="Times New Roman"/>
          <w:b w:val="0"/>
          <w:i w:val="0"/>
          <w:sz w:val="24"/>
        </w:rPr>
        <w:t xml:space="preserve">Twenge, J. M. (2017). </w:t>
      </w:r>
      <w:r>
        <w:rPr>
          <w:rFonts w:ascii="Times New Roman" w:hAnsi="Times New Roman" w:cs="Times New Roman"/>
          <w:b w:val="0"/>
          <w:i/>
          <w:sz w:val="24"/>
        </w:rPr>
        <w:t>iGen: Why today’s super-connected kids are growing up less rebellious, more tolerant, less happy—and completely unprepared for adulthood</w:t>
      </w:r>
      <w:r>
        <w:rPr>
          <w:rFonts w:ascii="Times New Roman" w:hAnsi="Times New Roman" w:cs="Times New Roman"/>
          <w:b w:val="0"/>
          <w:i w:val="0"/>
          <w:sz w:val="24"/>
        </w:rPr>
        <w:t>. Atria Books.</w:t>
      </w:r>
    </w:p>
    <w:p>
      <w:pPr>
        <w:spacing w:before="0" w:after="0" w:lineRule="auto" w:line="480"/>
        <w:ind w:left="720" w:hanging="720"/>
        <w:jc w:val="left"/>
      </w:pPr>
      <w:r>
        <w:rPr>
          <w:rFonts w:ascii="Times New Roman" w:hAnsi="Times New Roman" w:cs="Times New Roman"/>
          <w:b w:val="0"/>
          <w:i w:val="0"/>
          <w:sz w:val="24"/>
        </w:rPr>
        <w:t xml:space="preserve">Twenge, J. M., &amp; Park, H. (2019). The decline in adult activities among U.S. adolescents, 1976–2016. </w:t>
      </w:r>
      <w:r>
        <w:rPr>
          <w:rFonts w:ascii="Times New Roman" w:hAnsi="Times New Roman" w:cs="Times New Roman"/>
          <w:b w:val="0"/>
          <w:i/>
          <w:sz w:val="24"/>
        </w:rPr>
        <w:t>Child Development, 90</w:t>
      </w:r>
      <w:r>
        <w:rPr>
          <w:rFonts w:ascii="Times New Roman" w:hAnsi="Times New Roman" w:cs="Times New Roman"/>
          <w:b w:val="0"/>
          <w:i w:val="0"/>
          <w:sz w:val="24"/>
        </w:rPr>
        <w:t>(2), 638–654.</w:t>
      </w:r>
    </w:p>
    <w:p>
      <w:pPr>
        <w:spacing w:before="0" w:after="0" w:lineRule="auto" w:line="480"/>
        <w:ind w:left="720" w:hanging="720"/>
        <w:jc w:val="left"/>
      </w:pPr>
      <w:r>
        <w:rPr>
          <w:rFonts w:ascii="Times New Roman" w:hAnsi="Times New Roman" w:cs="Times New Roman"/>
          <w:b w:val="0"/>
          <w:i w:val="0"/>
          <w:sz w:val="24"/>
        </w:rPr>
        <w:t xml:space="preserve">Twenge, J. M., Spitzberg, B. H., &amp; Campbell, W. K. (2019). Less in-person social interaction with peers among U.S. adolescents in the 21st century and links to loneliness. </w:t>
      </w:r>
      <w:r>
        <w:rPr>
          <w:rFonts w:ascii="Times New Roman" w:hAnsi="Times New Roman" w:cs="Times New Roman"/>
          <w:b w:val="0"/>
          <w:i/>
          <w:sz w:val="24"/>
        </w:rPr>
        <w:t>Journal of Social and Personal Relationships, 36</w:t>
      </w:r>
      <w:r>
        <w:rPr>
          <w:rFonts w:ascii="Times New Roman" w:hAnsi="Times New Roman" w:cs="Times New Roman"/>
          <w:b w:val="0"/>
          <w:i w:val="0"/>
          <w:sz w:val="24"/>
        </w:rPr>
        <w:t>(6), 1892–1913.</w:t>
      </w:r>
    </w:p>
    <w:p>
      <w:pPr>
        <w:spacing w:before="0" w:after="0" w:lineRule="auto" w:line="480"/>
        <w:ind w:left="720" w:hanging="720"/>
        <w:jc w:val="left"/>
      </w:pPr>
      <w:r>
        <w:rPr>
          <w:rFonts w:ascii="Times New Roman" w:hAnsi="Times New Roman" w:cs="Times New Roman"/>
          <w:b w:val="0"/>
          <w:i w:val="0"/>
          <w:sz w:val="24"/>
        </w:rPr>
        <w:t xml:space="preserve">Verba, S., Schlozman, K. L., &amp; Brady, H. E. (1995). </w:t>
      </w:r>
      <w:r>
        <w:rPr>
          <w:rFonts w:ascii="Times New Roman" w:hAnsi="Times New Roman" w:cs="Times New Roman"/>
          <w:b w:val="0"/>
          <w:i/>
          <w:sz w:val="24"/>
        </w:rPr>
        <w:t>Voice and equality: Civic voluntarism in American politics</w:t>
      </w:r>
      <w:r>
        <w:rPr>
          <w:rFonts w:ascii="Times New Roman" w:hAnsi="Times New Roman" w:cs="Times New Roman"/>
          <w:b w:val="0"/>
          <w:i w:val="0"/>
          <w:sz w:val="24"/>
        </w:rPr>
        <w:t>. Harvard University Press.</w:t>
      </w:r>
    </w:p>
    <w:p>
      <w:pPr>
        <w:spacing w:before="0" w:after="0" w:lineRule="auto" w:line="480"/>
        <w:ind w:left="720" w:hanging="720"/>
        <w:jc w:val="left"/>
      </w:pPr>
      <w:r>
        <w:rPr>
          <w:rFonts w:ascii="Times New Roman" w:hAnsi="Times New Roman" w:cs="Times New Roman"/>
          <w:b w:val="0"/>
          <w:i w:val="0"/>
          <w:sz w:val="24"/>
        </w:rPr>
        <w:t xml:space="preserve">Vermunt, J. K., &amp; Magidson, J. (2002). Latent class cluster analysis. In J. A. Hagenaars &amp; A. L. McCutcheon (Eds.), </w:t>
      </w:r>
      <w:r>
        <w:rPr>
          <w:rFonts w:ascii="Times New Roman" w:hAnsi="Times New Roman" w:cs="Times New Roman"/>
          <w:b w:val="0"/>
          <w:i/>
          <w:sz w:val="24"/>
        </w:rPr>
        <w:t>Applied latent class analysis</w:t>
      </w:r>
      <w:r>
        <w:rPr>
          <w:rFonts w:ascii="Times New Roman" w:hAnsi="Times New Roman" w:cs="Times New Roman"/>
          <w:b w:val="0"/>
          <w:i w:val="0"/>
          <w:sz w:val="24"/>
        </w:rPr>
        <w:t xml:space="preserve"> (pp. 89–106). Cambridge University Press.</w:t>
      </w:r>
    </w:p>
    <w:p>
      <w:pPr>
        <w:spacing w:before="0" w:after="0" w:lineRule="auto" w:line="480"/>
        <w:ind w:left="720" w:hanging="720"/>
        <w:jc w:val="left"/>
      </w:pPr>
      <w:r>
        <w:rPr>
          <w:rFonts w:ascii="Times New Roman" w:hAnsi="Times New Roman" w:cs="Times New Roman"/>
          <w:b w:val="0"/>
          <w:i w:val="0"/>
          <w:sz w:val="24"/>
        </w:rPr>
        <w:t xml:space="preserve">Wilson, J. (2000). Volunteering. </w:t>
      </w:r>
      <w:r>
        <w:rPr>
          <w:rFonts w:ascii="Times New Roman" w:hAnsi="Times New Roman" w:cs="Times New Roman"/>
          <w:b w:val="0"/>
          <w:i/>
          <w:sz w:val="24"/>
        </w:rPr>
        <w:t>Annual Review of Sociology, 26</w:t>
      </w:r>
      <w:r>
        <w:rPr>
          <w:rFonts w:ascii="Times New Roman" w:hAnsi="Times New Roman" w:cs="Times New Roman"/>
          <w:b w:val="0"/>
          <w:i w:val="0"/>
          <w:sz w:val="24"/>
        </w:rPr>
        <w:t>, 215–240.</w:t>
      </w:r>
    </w:p>
    <w:p>
      <w:pPr>
        <w:spacing w:before="0" w:after="0" w:lineRule="auto" w:line="480"/>
        <w:ind w:left="720" w:hanging="720"/>
        <w:jc w:val="left"/>
      </w:pPr>
      <w:r>
        <w:rPr>
          <w:rFonts w:ascii="Times New Roman" w:hAnsi="Times New Roman" w:cs="Times New Roman"/>
          <w:b w:val="0"/>
          <w:i w:val="0"/>
          <w:sz w:val="24"/>
        </w:rPr>
        <w:t xml:space="preserve">Wilson, J. (2012). Volunteerism research: A review essay. </w:t>
      </w:r>
      <w:r>
        <w:rPr>
          <w:rFonts w:ascii="Times New Roman" w:hAnsi="Times New Roman" w:cs="Times New Roman"/>
          <w:b w:val="0"/>
          <w:i/>
          <w:sz w:val="24"/>
        </w:rPr>
        <w:t>Nonprofit and Voluntary Sector Quarterly, 41</w:t>
      </w:r>
      <w:r>
        <w:rPr>
          <w:rFonts w:ascii="Times New Roman" w:hAnsi="Times New Roman" w:cs="Times New Roman"/>
          <w:b w:val="0"/>
          <w:i w:val="0"/>
          <w:sz w:val="24"/>
        </w:rPr>
        <w:t>(2), 176–212.</w:t>
      </w:r>
    </w:p>
    <w:p>
      <w:pPr>
        <w:spacing w:before="0" w:after="0" w:lineRule="auto" w:line="480"/>
        <w:ind w:left="720" w:hanging="720"/>
        <w:jc w:val="left"/>
      </w:pPr>
      <w:r>
        <w:rPr>
          <w:rFonts w:ascii="Times New Roman" w:hAnsi="Times New Roman" w:cs="Times New Roman"/>
          <w:b w:val="0"/>
          <w:i w:val="0"/>
          <w:sz w:val="24"/>
        </w:rPr>
        <w:t xml:space="preserve">Wray-Lake, L., &amp; Hart, D. (2012). Growing social inequalities in youth civic engagement? Evidence from the National Election Study. </w:t>
      </w:r>
      <w:r>
        <w:rPr>
          <w:rFonts w:ascii="Times New Roman" w:hAnsi="Times New Roman" w:cs="Times New Roman"/>
          <w:b w:val="0"/>
          <w:i/>
          <w:sz w:val="24"/>
        </w:rPr>
        <w:t>PS: Political Science &amp; Politics, 45</w:t>
      </w:r>
      <w:r>
        <w:rPr>
          <w:rFonts w:ascii="Times New Roman" w:hAnsi="Times New Roman" w:cs="Times New Roman"/>
          <w:b w:val="0"/>
          <w:i w:val="0"/>
          <w:sz w:val="24"/>
        </w:rPr>
        <w:t>(3), 456–461.</w:t>
      </w:r>
    </w:p>
    <w:p>
      <w:pPr>
        <w:spacing w:before="0" w:after="0" w:lineRule="auto" w:line="480"/>
        <w:ind w:left="720" w:hanging="720"/>
        <w:jc w:val="left"/>
      </w:pPr>
      <w:r>
        <w:rPr>
          <w:rFonts w:ascii="Times New Roman" w:hAnsi="Times New Roman" w:cs="Times New Roman"/>
          <w:b w:val="0"/>
          <w:i w:val="0"/>
          <w:sz w:val="24"/>
        </w:rPr>
        <w:t xml:space="preserve">Zukin, C., Keeter, S., Andolina, M., Jenkins, K., &amp; Delli Carpini, M. X. (2006). </w:t>
      </w:r>
      <w:r>
        <w:rPr>
          <w:rFonts w:ascii="Times New Roman" w:hAnsi="Times New Roman" w:cs="Times New Roman"/>
          <w:b w:val="0"/>
          <w:i/>
          <w:sz w:val="24"/>
        </w:rPr>
        <w:t>A new engagement? Political participation, civic life, and the changing American citizen</w:t>
      </w:r>
      <w:r>
        <w:rPr>
          <w:rFonts w:ascii="Times New Roman" w:hAnsi="Times New Roman" w:cs="Times New Roman"/>
          <w:b w:val="0"/>
          <w:i w:val="0"/>
          <w:sz w:val="24"/>
        </w:rPr>
        <w:t>. Oxford University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