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Bowling Alone, Scrolling Together:</w:t>
        <w:br/>
        <w:t>Social Isolation and the Generational Fracture</w:t>
        <w:br/>
        <w:t>of Civic Engagement in America</w:t>
      </w:r>
    </w:p>
    <w:p/>
    <w:p>
      <w:pPr>
        <w:jc w:val="center"/>
      </w:pPr>
      <w:r>
        <w:rPr>
          <w:rFonts w:ascii="Times New Roman" w:hAnsi="Times New Roman"/>
          <w:i/>
          <w:sz w:val="26"/>
        </w:rPr>
        <w:t>Research Proposal and Exploratory Findings</w:t>
      </w:r>
    </w:p>
    <w:p/>
    <w:p/>
    <w:p>
      <w:pPr>
        <w:jc w:val="center"/>
      </w:pPr>
      <w:r>
        <w:rPr>
          <w:rFonts w:ascii="Times New Roman" w:hAnsi="Times New Roman"/>
          <w:sz w:val="24"/>
        </w:rPr>
        <w:t>Hosung You &amp; Suzanna Windon</w:t>
        <w:br/>
        <w:t>Department of Agricultural Economics, Sociology, and Education</w:t>
        <w:br/>
        <w:t>The Pennsylvania State University</w:t>
      </w:r>
    </w:p>
    <w:p/>
    <w:p>
      <w:pPr>
        <w:jc w:val="center"/>
      </w:pPr>
      <w:r>
        <w:rPr>
          <w:rFonts w:ascii="Times New Roman" w:hAnsi="Times New Roman"/>
          <w:sz w:val="24"/>
        </w:rPr>
        <w:t>March 2026</w:t>
      </w:r>
    </w:p>
    <w:p/>
    <w:p>
      <w:pPr>
        <w:jc w:val="center"/>
      </w:pPr>
      <w:r>
        <w:rPr>
          <w:rFonts w:ascii="Times New Roman" w:hAnsi="Times New Roman"/>
          <w:i/>
          <w:sz w:val="20"/>
        </w:rPr>
        <w:t>Data Source: Current Population Survey — Civic Engagement and Volunteering Supplement</w:t>
        <w:br/>
        <w:t>(CPS-CEV), 2017, 2019, 2021, 2023 | N = 201,168</w:t>
      </w:r>
    </w:p>
    <w:p>
      <w:r>
        <w:br w:type="page"/>
      </w:r>
    </w:p>
    <w:p>
      <w:pPr>
        <w:pStyle w:val="Heading1"/>
      </w:pPr>
      <w:r>
        <w:rPr>
          <w:rFonts w:ascii="Times New Roman" w:hAnsi="Times New Roman"/>
          <w:color w:val="000000"/>
        </w:rPr>
        <w:t>1. Introduction: The Civic Cost of America's Loneliness Epidemic</w:t>
      </w:r>
    </w:p>
    <w:p>
      <w:pPr>
        <w:spacing w:line="480" w:lineRule="auto" w:after="0"/>
        <w:ind w:firstLine="720"/>
      </w:pPr>
      <w:r>
        <w:rPr>
          <w:rFonts w:ascii="Times New Roman" w:hAnsi="Times New Roman"/>
          <w:b w:val="0"/>
          <w:i w:val="0"/>
          <w:sz w:val="24"/>
        </w:rPr>
        <w:t>In 2023, the United States Surgeon General issued an advisory declaring loneliness and social isolation "a public health epidemic" with consequences rivaling those of smoking and obesity (Office of the Surgeon General, 2023). The advisory documented extensive evidence linking social disconnection to depression, cardiovascular disease, cognitive decline, and premature mortality. What the advisory did not address — and what existing research has largely overlooked — is the civic dimension of this epidemic: what happens to democratic participation when citizens stop encountering one another?</w:t>
      </w:r>
    </w:p>
    <w:p>
      <w:pPr>
        <w:spacing w:line="480" w:lineRule="auto" w:after="0"/>
        <w:ind w:firstLine="720"/>
      </w:pPr>
      <w:r>
        <w:rPr>
          <w:rFonts w:ascii="Times New Roman" w:hAnsi="Times New Roman"/>
          <w:b w:val="0"/>
          <w:i w:val="0"/>
          <w:sz w:val="24"/>
        </w:rPr>
        <w:t>This question is not merely academic. Civic engagement — volunteering, charitable giving, political participation, and community organizing — constitutes the connective tissue of democratic governance (Putnam, 2000; Verba, Schlozman, &amp; Brady, 1995). When citizens withdraw from civic life, the consequences propagate through community institutions, nonprofit capacity, and the quality of collective decision-making (Skocpol, 2003). If the loneliness epidemic is simultaneously a civic disengagement epidemic, then its consequences extend far beyond individual well-being to the health of democracy itself.</w:t>
      </w:r>
    </w:p>
    <w:p>
      <w:pPr>
        <w:spacing w:line="480" w:lineRule="auto" w:after="0"/>
        <w:ind w:firstLine="720"/>
      </w:pPr>
      <w:r>
        <w:rPr>
          <w:rFonts w:ascii="Times New Roman" w:hAnsi="Times New Roman"/>
          <w:b w:val="0"/>
          <w:i w:val="0"/>
          <w:sz w:val="24"/>
        </w:rPr>
        <w:t>This study uses four waves of the Current Population Survey's Civic Engagement and Volunteering Supplement (CPS-CEV; 2017, 2019, 2021, 2023) — a nationally representative dataset of over 200,000 American adults — to investigate the relationship between social isolation and civic engagement across generational cohorts. Our exploratory analysis has uncovered a set of findings that challenge prevailing assumptions about generational civic participation and point toward a fundamental reframing of the "youth disengagement" narrative.</w:t>
      </w:r>
    </w:p>
    <w:p>
      <w:pPr>
        <w:spacing w:line="480" w:lineRule="auto" w:after="0"/>
        <w:ind w:firstLine="720"/>
      </w:pPr>
      <w:r>
        <w:rPr>
          <w:rFonts w:ascii="Times New Roman" w:hAnsi="Times New Roman"/>
          <w:b w:val="0"/>
          <w:i w:val="0"/>
          <w:sz w:val="24"/>
        </w:rPr>
        <w:t>The central finding is this: nearly half of Generation Z (47%) reports never socializing in person — and this pattern predates the COVID-19 pandemic. This social isolation is the strongest behavioral correlate of civic disengagement in the dataset, and it is not resolved by education, employment, or digital connectivity. Yet the small minority of Gen Z members who are socially connected volunteer at rates exceeding the average Baby Boomer. The crisis, we argue, is not generational apathy but generational disconnection.</w:t>
      </w:r>
    </w:p>
    <w:p>
      <w:pPr>
        <w:pStyle w:val="Heading1"/>
      </w:pPr>
      <w:r>
        <w:rPr>
          <w:rFonts w:ascii="Times New Roman" w:hAnsi="Times New Roman"/>
          <w:color w:val="000000"/>
        </w:rPr>
        <w:t>2. Theoretical Foundations</w:t>
      </w:r>
    </w:p>
    <w:p>
      <w:pPr>
        <w:pStyle w:val="Heading2"/>
      </w:pPr>
      <w:r>
        <w:rPr>
          <w:rFonts w:ascii="Times New Roman" w:hAnsi="Times New Roman"/>
          <w:color w:val="000000"/>
        </w:rPr>
        <w:t>2.1 Social Capital and the Infrastructure of Civic Life</w:t>
      </w:r>
    </w:p>
    <w:p>
      <w:pPr>
        <w:spacing w:line="480" w:lineRule="auto" w:after="0"/>
        <w:ind w:firstLine="720"/>
      </w:pPr>
      <w:r>
        <w:rPr>
          <w:rFonts w:ascii="Times New Roman" w:hAnsi="Times New Roman"/>
          <w:b w:val="0"/>
          <w:i w:val="0"/>
          <w:sz w:val="24"/>
        </w:rPr>
        <w:t>Robert Putnam's Bowling Alone (2000) remains the foundational text for understanding the relationship between social connection and civic participation. Putnam documented a decades-long decline in American associational life — falling membership in civic organizations, declining social trust, and the erosion of informal social ties that he termed "social capital." His central argument was that social networks generate norms of reciprocity and civic obligation that, in turn, sustain democratic participation.</w:t>
      </w:r>
    </w:p>
    <w:p>
      <w:pPr>
        <w:spacing w:line="480" w:lineRule="auto" w:after="0"/>
        <w:ind w:firstLine="720"/>
      </w:pPr>
      <w:r>
        <w:rPr>
          <w:rFonts w:ascii="Times New Roman" w:hAnsi="Times New Roman"/>
          <w:b w:val="0"/>
          <w:i w:val="0"/>
          <w:sz w:val="24"/>
        </w:rPr>
        <w:t>Putnam's framework yields a testable prediction for the present study: if social capital drives civic engagement, then variation in social connectedness should predict variation in civic participation more powerfully than individual-level attributes like education or income. Our data enables a direct test of this prediction across generational cohorts — a comparison Putnam could not make with the data available in 2000.</w:t>
      </w:r>
    </w:p>
    <w:p>
      <w:pPr>
        <w:spacing w:line="480" w:lineRule="auto" w:after="0"/>
        <w:ind w:firstLine="720"/>
      </w:pPr>
      <w:r>
        <w:rPr>
          <w:rFonts w:ascii="Times New Roman" w:hAnsi="Times New Roman"/>
          <w:b w:val="0"/>
          <w:i w:val="0"/>
          <w:sz w:val="24"/>
        </w:rPr>
        <w:t>Critically, Putnam attributed the decline of social capital to structural factors: suburban sprawl, television, generational replacement, and the transformation of work. The current socialization crisis among Gen Z may represent a new chapter in this story — one driven not by suburbanization but by digital-age transformations in social infrastructure that produce isolation even among the educated, employed, and urban (Twenge, 2017).</w:t>
      </w:r>
    </w:p>
    <w:p>
      <w:pPr>
        <w:pStyle w:val="Heading2"/>
      </w:pPr>
      <w:r>
        <w:rPr>
          <w:rFonts w:ascii="Times New Roman" w:hAnsi="Times New Roman"/>
          <w:color w:val="000000"/>
        </w:rPr>
        <w:t>2.2 The Civic Voluntarism Model: Resources, Engagement, and Recruitment</w:t>
      </w:r>
    </w:p>
    <w:p>
      <w:pPr>
        <w:spacing w:line="480" w:lineRule="auto" w:after="0"/>
        <w:ind w:firstLine="720"/>
      </w:pPr>
      <w:r>
        <w:rPr>
          <w:rFonts w:ascii="Times New Roman" w:hAnsi="Times New Roman"/>
          <w:b w:val="0"/>
          <w:i w:val="0"/>
          <w:sz w:val="24"/>
        </w:rPr>
        <w:t>The Civic Voluntarism Model (CVM) developed by Verba, Schlozman, and Brady (1995) identifies three categories of factors that explain civic participation: resources (time, money, civic skills), psychological engagement (political interest, efficacy), and recruitment (being asked to participate through social networks). The CVM provides the dominant theoretical framework for variable-centered studies of civic engagement.</w:t>
      </w:r>
    </w:p>
    <w:p>
      <w:pPr>
        <w:spacing w:line="480" w:lineRule="auto" w:after="0"/>
        <w:ind w:firstLine="720"/>
      </w:pPr>
      <w:r>
        <w:rPr>
          <w:rFonts w:ascii="Times New Roman" w:hAnsi="Times New Roman"/>
          <w:b w:val="0"/>
          <w:i w:val="0"/>
          <w:sz w:val="24"/>
        </w:rPr>
        <w:t>Our findings challenge a key assumption embedded in the CVM: that resource provision (particularly education) is the primary lever for increasing civic participation. The data shows that college-educated Gen Z members are three times more likely to never socialize than college-educated Boomers (42.1% vs. 13.4%), and that employment — traditionally a key site for civic skill development and recruitment — has essentially no effect on Gen Z's socialization patterns. This suggests that the CVM's "recruitment" pathway may be the critical bottleneck: without social networks through which recruitment occurs, resources and engagement are insufficient to produce participation (see also Rosenstone &amp; Hansen, 1993).</w:t>
      </w:r>
    </w:p>
    <w:p>
      <w:pPr>
        <w:pStyle w:val="Heading2"/>
      </w:pPr>
      <w:r>
        <w:rPr>
          <w:rFonts w:ascii="Times New Roman" w:hAnsi="Times New Roman"/>
          <w:color w:val="000000"/>
        </w:rPr>
        <w:t>2.3 Connective Action and the Consumerization of Civic Life</w:t>
      </w:r>
    </w:p>
    <w:p>
      <w:pPr>
        <w:spacing w:line="480" w:lineRule="auto" w:after="0"/>
        <w:ind w:firstLine="720"/>
      </w:pPr>
      <w:r>
        <w:rPr>
          <w:rFonts w:ascii="Times New Roman" w:hAnsi="Times New Roman"/>
          <w:b w:val="0"/>
          <w:i w:val="0"/>
          <w:sz w:val="24"/>
        </w:rPr>
        <w:t>Bennett and Segerberg (2012) distinguished between "collective action" — organized, institution-mediated participation requiring co-presence and shared identity — and "connective action" — individualized, digitally mediated engagement requiring only personal expression and network sharing. Our finding that Gen Z's boycotting rate more than doubled (6.5% to 14.8%) while volunteering declined aligns precisely with this theoretical shift: a generation substituting connective action (consumer boycotts, which require only individual market decisions) for collective action (volunteering, which requires organizational embeddedness and physical co-presence).</w:t>
      </w:r>
    </w:p>
    <w:p>
      <w:pPr>
        <w:spacing w:line="480" w:lineRule="auto" w:after="0"/>
        <w:ind w:firstLine="720"/>
      </w:pPr>
      <w:r>
        <w:rPr>
          <w:rFonts w:ascii="Times New Roman" w:hAnsi="Times New Roman"/>
          <w:b w:val="0"/>
          <w:i w:val="0"/>
          <w:sz w:val="24"/>
        </w:rPr>
        <w:t>This "consumerization of civic engagement" carries implications for democratic quality. As Zukin et al. (2006) argued, different forms of civic activity develop different civic capacities: volunteering builds organizational skills and community knowledge, while boycotting develops consumer awareness but not collective problem-solving capacity. If an entire generation is shifting from community-embedded to market-mediated civic action, the long-term consequences for democratic infrastructure may be profound.</w:t>
      </w:r>
    </w:p>
    <w:p>
      <w:pPr>
        <w:pStyle w:val="Heading2"/>
      </w:pPr>
      <w:r>
        <w:rPr>
          <w:rFonts w:ascii="Times New Roman" w:hAnsi="Times New Roman"/>
          <w:color w:val="000000"/>
        </w:rPr>
        <w:t>2.4 The Loneliness Epidemic as Civic Crisis</w:t>
      </w:r>
    </w:p>
    <w:p>
      <w:pPr>
        <w:spacing w:line="480" w:lineRule="auto" w:after="0"/>
        <w:ind w:firstLine="720"/>
      </w:pPr>
      <w:r>
        <w:rPr>
          <w:rFonts w:ascii="Times New Roman" w:hAnsi="Times New Roman"/>
          <w:b w:val="0"/>
          <w:i w:val="0"/>
          <w:sz w:val="24"/>
        </w:rPr>
        <w:t>The Surgeon General's 2023 advisory on social isolation documented that approximately half of U.S. adults report measurable loneliness, with rates highest among young adults aged 15 to 24 (Office of the Surgeon General, 2023). The advisory focused on mental and physical health consequences but did not systematically address civic implications.</w:t>
      </w:r>
    </w:p>
    <w:p>
      <w:pPr>
        <w:spacing w:line="480" w:lineRule="auto" w:after="0"/>
        <w:ind w:firstLine="720"/>
      </w:pPr>
      <w:r>
        <w:rPr>
          <w:rFonts w:ascii="Times New Roman" w:hAnsi="Times New Roman"/>
          <w:b w:val="0"/>
          <w:i w:val="0"/>
          <w:sz w:val="24"/>
        </w:rPr>
        <w:t>Our study addresses this gap by connecting social isolation — measured through in-person socialization frequency — to a comprehensive set of civic engagement indicators. The theoretical logic is straightforward: social interaction generates the weak ties (Granovetter, 1973), norm exposure (Coleman, 1988), and recruitment opportunities (Brady, Verba, &amp; Schlozman, 1995) that sustain civic participation. When interaction disappears, these mechanisms cease to operate. The result, we hypothesize, is not merely reduced participation but a qualitative transformation in the structure of civic life — a shift from community-embedded to individually mediated engagement, visible in the LPA-derived profiles we identify.</w:t>
      </w:r>
    </w:p>
    <w:p>
      <w:pPr>
        <w:pStyle w:val="Heading2"/>
      </w:pPr>
      <w:r>
        <w:rPr>
          <w:rFonts w:ascii="Times New Roman" w:hAnsi="Times New Roman"/>
          <w:color w:val="000000"/>
        </w:rPr>
        <w:t>2.5 Person-Centered Approaches: Why Profiles, Not Averages</w:t>
      </w:r>
    </w:p>
    <w:p>
      <w:pPr>
        <w:spacing w:line="480" w:lineRule="auto" w:after="0"/>
        <w:ind w:firstLine="720"/>
      </w:pPr>
      <w:r>
        <w:rPr>
          <w:rFonts w:ascii="Times New Roman" w:hAnsi="Times New Roman"/>
          <w:b w:val="0"/>
          <w:i w:val="0"/>
          <w:sz w:val="24"/>
        </w:rPr>
        <w:t>The dominant tradition in civic engagement research uses variable-centered methods — regression, SEM, multilevel modeling — that estimate average relationships across populations (Bergman &amp; Magnusson, 1997). These methods assume population homogeneity: the estimated relationship between, say, education and volunteering is presumed to hold for everyone in the sample.</w:t>
      </w:r>
    </w:p>
    <w:p>
      <w:pPr>
        <w:spacing w:line="480" w:lineRule="auto" w:after="0"/>
        <w:ind w:firstLine="720"/>
      </w:pPr>
      <w:r>
        <w:rPr>
          <w:rFonts w:ascii="Times New Roman" w:hAnsi="Times New Roman"/>
          <w:b w:val="0"/>
          <w:i w:val="0"/>
          <w:sz w:val="24"/>
        </w:rPr>
        <w:t>Person-centered approaches, by contrast, posit the existence of qualitatively distinct subpopulations characterized by unique configurations of indicators (Muthén &amp; Muthén, 2000). Latent Profile Analysis (LPA) identifies these subgroups empirically. For the present study, person-centered methods are essential because our exploratory analysis reveals that "civic disengagement" is not a monolithic category. Socially isolated non-participants (22% of the sample) and socially connected non-participants (14%) share the same zero score on formal civic activities but differ fundamentally in their social context and, presumably, in their responsiveness to different interventions. Variable-centered methods would collapse these groups; LPA separates them.</w:t>
      </w:r>
    </w:p>
    <w:p>
      <w:pPr>
        <w:pStyle w:val="Heading2"/>
      </w:pPr>
      <w:r>
        <w:rPr>
          <w:rFonts w:ascii="Times New Roman" w:hAnsi="Times New Roman"/>
          <w:color w:val="000000"/>
        </w:rPr>
        <w:t>2.6 Machine Learning Interpretability: SHAP and Nonlinear Prediction</w:t>
      </w:r>
    </w:p>
    <w:p>
      <w:pPr>
        <w:spacing w:line="480" w:lineRule="auto" w:after="0"/>
        <w:ind w:firstLine="720"/>
      </w:pPr>
      <w:r>
        <w:rPr>
          <w:rFonts w:ascii="Times New Roman" w:hAnsi="Times New Roman"/>
          <w:b w:val="0"/>
          <w:i w:val="0"/>
          <w:sz w:val="24"/>
        </w:rPr>
        <w:t>To complement the typological structure identified by LPA, we employ Gradient Boosting Machines (GBM) with SHapley Additive exPlanations (SHAP) for predictive interpretation. SHAP, grounded in Shapley values from cooperative game theory, decomposes each prediction into feature-level contributions (Lundberg &amp; Lee, 2017). This approach captures the pronounced nonlinearities observed in our exploratory analysis — particularly the "first step" effect where the transition from never socializing to minimal social contact produces the largest marginal increase in volunteering (10–14 percentage points) — that linear models would understate.</w:t>
      </w:r>
    </w:p>
    <w:p>
      <w:r>
        <w:br w:type="page"/>
      </w:r>
    </w:p>
    <w:p>
      <w:pPr>
        <w:pStyle w:val="Heading1"/>
      </w:pPr>
      <w:r>
        <w:rPr>
          <w:rFonts w:ascii="Times New Roman" w:hAnsi="Times New Roman"/>
          <w:color w:val="000000"/>
        </w:rPr>
        <w:t>3. Data and Methods</w:t>
      </w:r>
    </w:p>
    <w:p>
      <w:pPr>
        <w:pStyle w:val="Heading2"/>
      </w:pPr>
      <w:r>
        <w:rPr>
          <w:rFonts w:ascii="Times New Roman" w:hAnsi="Times New Roman"/>
          <w:color w:val="000000"/>
        </w:rPr>
        <w:t>3.1 Data Source</w:t>
      </w:r>
    </w:p>
    <w:p>
      <w:pPr>
        <w:spacing w:line="480" w:lineRule="auto" w:after="0"/>
        <w:ind w:firstLine="720"/>
      </w:pPr>
      <w:r>
        <w:rPr>
          <w:rFonts w:ascii="Times New Roman" w:hAnsi="Times New Roman"/>
          <w:b w:val="0"/>
          <w:i w:val="0"/>
          <w:sz w:val="24"/>
        </w:rPr>
        <w:t>The Current Population Survey's Civic Engagement and Volunteering Supplement (CPS-CEV) is administered by the U.S. Census Bureau as a supplement to the monthly CPS. We use data from four waves: September 2017, September 2019, September 2021, and September 2023, accessed through IPUMS-CPS (Flood et al., 2023). The analytic sample includes all adults aged 18 and older with valid supplement weights (VLSUPPWT &gt; 0) and valid volunteering status (VLSTATUS ∈ {1, 2}), yielding N = 201,168.</w:t>
      </w:r>
    </w:p>
    <w:p>
      <w:pPr>
        <w:pStyle w:val="Heading2"/>
      </w:pPr>
      <w:r>
        <w:rPr>
          <w:rFonts w:ascii="Times New Roman" w:hAnsi="Times New Roman"/>
          <w:color w:val="000000"/>
        </w:rPr>
        <w:t>3.2 Variable Coding</w:t>
      </w:r>
    </w:p>
    <w:p>
      <w:pPr>
        <w:spacing w:line="480" w:lineRule="auto" w:after="0"/>
        <w:ind w:firstLine="720"/>
      </w:pPr>
      <w:r>
        <w:rPr>
          <w:rFonts w:ascii="Times New Roman" w:hAnsi="Times New Roman"/>
          <w:b w:val="0"/>
          <w:i w:val="0"/>
          <w:sz w:val="24"/>
        </w:rPr>
        <w:t>All variable codings were verified through education cross-validation (confirming that higher-engagement values are associated with higher educational attainment). A critical finding of the verification process is that the Civic Engagement supplement variables (CE*) and Volunteering supplement variables (VL*) use opposite coding directions for frequency scales.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jc w:val="center"/>
            </w:pPr>
            <w:r/>
            <w:r>
              <w:rPr>
                <w:rFonts w:ascii="Times New Roman" w:hAnsi="Times New Roman"/>
                <w:b/>
                <w:sz w:val="20"/>
              </w:rPr>
              <w:t>Variable</w:t>
            </w:r>
          </w:p>
        </w:tc>
        <w:tc>
          <w:tcPr>
            <w:tcW w:type="dxa" w:w="2340"/>
            <w:shd w:val="clear" w:color="auto" w:fill="D9E2F3"/>
          </w:tcPr>
          <w:p>
            <w:pPr>
              <w:jc w:val="center"/>
            </w:pPr>
            <w:r/>
            <w:r>
              <w:rPr>
                <w:rFonts w:ascii="Times New Roman" w:hAnsi="Times New Roman"/>
                <w:b/>
                <w:sz w:val="20"/>
              </w:rPr>
              <w:t>Type</w:t>
            </w:r>
          </w:p>
        </w:tc>
        <w:tc>
          <w:tcPr>
            <w:tcW w:type="dxa" w:w="2340"/>
            <w:shd w:val="clear" w:color="auto" w:fill="D9E2F3"/>
          </w:tcPr>
          <w:p>
            <w:pPr>
              <w:jc w:val="center"/>
            </w:pPr>
            <w:r/>
            <w:r>
              <w:rPr>
                <w:rFonts w:ascii="Times New Roman" w:hAnsi="Times New Roman"/>
                <w:b/>
                <w:sz w:val="20"/>
              </w:rPr>
              <w:t>Coding</w:t>
            </w:r>
          </w:p>
        </w:tc>
        <w:tc>
          <w:tcPr>
            <w:tcW w:type="dxa" w:w="2340"/>
            <w:shd w:val="clear" w:color="auto" w:fill="D9E2F3"/>
          </w:tcPr>
          <w:p>
            <w:pPr>
              <w:jc w:val="center"/>
            </w:pPr>
            <w:r/>
            <w:r>
              <w:rPr>
                <w:rFonts w:ascii="Times New Roman" w:hAnsi="Times New Roman"/>
                <w:b/>
                <w:sz w:val="20"/>
              </w:rPr>
              <w:t>Verified</w:t>
            </w:r>
          </w:p>
        </w:tc>
      </w:tr>
      <w:tr>
        <w:tc>
          <w:tcPr>
            <w:tcW w:type="dxa" w:w="2340"/>
          </w:tcPr>
          <w:p>
            <w:pPr>
              <w:jc w:val="center"/>
            </w:pPr>
            <w:r/>
            <w:r>
              <w:rPr>
                <w:rFonts w:ascii="Times New Roman" w:hAnsi="Times New Roman"/>
                <w:sz w:val="20"/>
              </w:rPr>
              <w:t>VLSTATUS</w:t>
            </w:r>
          </w:p>
        </w:tc>
        <w:tc>
          <w:tcPr>
            <w:tcW w:type="dxa" w:w="2340"/>
          </w:tcPr>
          <w:p>
            <w:pPr>
              <w:jc w:val="center"/>
            </w:pPr>
            <w:r/>
            <w:r>
              <w:rPr>
                <w:rFonts w:ascii="Times New Roman" w:hAnsi="Times New Roman"/>
                <w:sz w:val="20"/>
              </w:rPr>
              <w:t>Binary</w:t>
            </w:r>
          </w:p>
        </w:tc>
        <w:tc>
          <w:tcPr>
            <w:tcW w:type="dxa" w:w="2340"/>
          </w:tcPr>
          <w:p>
            <w:pPr>
              <w:jc w:val="center"/>
            </w:pPr>
            <w:r/>
            <w:r>
              <w:rPr>
                <w:rFonts w:ascii="Times New Roman" w:hAnsi="Times New Roman"/>
                <w:sz w:val="20"/>
              </w:rPr>
              <w:t>1 = Volunteered; 2 = Did not</w:t>
            </w:r>
          </w:p>
        </w:tc>
        <w:tc>
          <w:tcPr>
            <w:tcW w:type="dxa" w:w="2340"/>
          </w:tcPr>
          <w:p>
            <w:pPr>
              <w:jc w:val="center"/>
            </w:pPr>
            <w:r/>
            <w:r>
              <w:rPr>
                <w:rFonts w:ascii="Times New Roman" w:hAnsi="Times New Roman"/>
                <w:sz w:val="20"/>
              </w:rPr>
              <w:t>Education cross-validation</w:t>
            </w:r>
          </w:p>
        </w:tc>
      </w:tr>
      <w:tr>
        <w:tc>
          <w:tcPr>
            <w:tcW w:type="dxa" w:w="2340"/>
          </w:tcPr>
          <w:p>
            <w:pPr>
              <w:jc w:val="center"/>
            </w:pPr>
            <w:r/>
            <w:r>
              <w:rPr>
                <w:rFonts w:ascii="Times New Roman" w:hAnsi="Times New Roman"/>
                <w:sz w:val="20"/>
              </w:rPr>
              <w:t>VLDONATE</w:t>
            </w:r>
          </w:p>
        </w:tc>
        <w:tc>
          <w:tcPr>
            <w:tcW w:type="dxa" w:w="2340"/>
          </w:tcPr>
          <w:p>
            <w:pPr>
              <w:jc w:val="center"/>
            </w:pPr>
            <w:r/>
            <w:r>
              <w:rPr>
                <w:rFonts w:ascii="Times New Roman" w:hAnsi="Times New Roman"/>
                <w:sz w:val="20"/>
              </w:rPr>
              <w:t>Binary</w:t>
            </w:r>
          </w:p>
        </w:tc>
        <w:tc>
          <w:tcPr>
            <w:tcW w:type="dxa" w:w="2340"/>
          </w:tcPr>
          <w:p>
            <w:pPr>
              <w:jc w:val="center"/>
            </w:pPr>
            <w:r/>
            <w:r>
              <w:rPr>
                <w:rFonts w:ascii="Times New Roman" w:hAnsi="Times New Roman"/>
                <w:sz w:val="20"/>
              </w:rPr>
              <w:t>1 = Did not donate; 2 = Donated</w:t>
            </w:r>
          </w:p>
        </w:tc>
        <w:tc>
          <w:tcPr>
            <w:tcW w:type="dxa" w:w="2340"/>
          </w:tcPr>
          <w:p>
            <w:pPr>
              <w:jc w:val="center"/>
            </w:pPr>
            <w:r/>
            <w:r>
              <w:rPr>
                <w:rFonts w:ascii="Times New Roman" w:hAnsi="Times New Roman"/>
                <w:sz w:val="20"/>
              </w:rPr>
              <w:t>Direct verification</w:t>
            </w:r>
          </w:p>
        </w:tc>
      </w:tr>
      <w:tr>
        <w:tc>
          <w:tcPr>
            <w:tcW w:type="dxa" w:w="2340"/>
          </w:tcPr>
          <w:p>
            <w:pPr>
              <w:jc w:val="center"/>
            </w:pPr>
            <w:r/>
            <w:r>
              <w:rPr>
                <w:rFonts w:ascii="Times New Roman" w:hAnsi="Times New Roman"/>
                <w:sz w:val="20"/>
              </w:rPr>
              <w:t>CEBOYCOTT</w:t>
            </w:r>
          </w:p>
        </w:tc>
        <w:tc>
          <w:tcPr>
            <w:tcW w:type="dxa" w:w="2340"/>
          </w:tcPr>
          <w:p>
            <w:pPr>
              <w:jc w:val="center"/>
            </w:pPr>
            <w:r/>
            <w:r>
              <w:rPr>
                <w:rFonts w:ascii="Times New Roman" w:hAnsi="Times New Roman"/>
                <w:sz w:val="20"/>
              </w:rPr>
              <w:t>Binary</w:t>
            </w:r>
          </w:p>
        </w:tc>
        <w:tc>
          <w:tcPr>
            <w:tcW w:type="dxa" w:w="2340"/>
          </w:tcPr>
          <w:p>
            <w:pPr>
              <w:jc w:val="center"/>
            </w:pPr>
            <w:r/>
            <w:r>
              <w:rPr>
                <w:rFonts w:ascii="Times New Roman" w:hAnsi="Times New Roman"/>
                <w:sz w:val="20"/>
              </w:rPr>
              <w:t>1 = No; 2 = Yes (boycotted)</w:t>
            </w:r>
          </w:p>
        </w:tc>
        <w:tc>
          <w:tcPr>
            <w:tcW w:type="dxa" w:w="2340"/>
          </w:tcPr>
          <w:p>
            <w:pPr>
              <w:jc w:val="center"/>
            </w:pPr>
            <w:r/>
            <w:r>
              <w:rPr>
                <w:rFonts w:ascii="Times New Roman" w:hAnsi="Times New Roman"/>
                <w:sz w:val="20"/>
              </w:rPr>
              <w:t>Direct verification</w:t>
            </w:r>
          </w:p>
        </w:tc>
      </w:tr>
      <w:tr>
        <w:tc>
          <w:tcPr>
            <w:tcW w:type="dxa" w:w="2340"/>
          </w:tcPr>
          <w:p>
            <w:pPr>
              <w:jc w:val="center"/>
            </w:pPr>
            <w:r/>
            <w:r>
              <w:rPr>
                <w:rFonts w:ascii="Times New Roman" w:hAnsi="Times New Roman"/>
                <w:sz w:val="20"/>
              </w:rPr>
              <w:t>CEPUBOFF</w:t>
            </w:r>
          </w:p>
        </w:tc>
        <w:tc>
          <w:tcPr>
            <w:tcW w:type="dxa" w:w="2340"/>
          </w:tcPr>
          <w:p>
            <w:pPr>
              <w:jc w:val="center"/>
            </w:pPr>
            <w:r/>
            <w:r>
              <w:rPr>
                <w:rFonts w:ascii="Times New Roman" w:hAnsi="Times New Roman"/>
                <w:sz w:val="20"/>
              </w:rPr>
              <w:t>Binary</w:t>
            </w:r>
          </w:p>
        </w:tc>
        <w:tc>
          <w:tcPr>
            <w:tcW w:type="dxa" w:w="2340"/>
          </w:tcPr>
          <w:p>
            <w:pPr>
              <w:jc w:val="center"/>
            </w:pPr>
            <w:r/>
            <w:r>
              <w:rPr>
                <w:rFonts w:ascii="Times New Roman" w:hAnsi="Times New Roman"/>
                <w:sz w:val="20"/>
              </w:rPr>
              <w:t>1 = No; 2 = Yes (contacted)</w:t>
            </w:r>
          </w:p>
        </w:tc>
        <w:tc>
          <w:tcPr>
            <w:tcW w:type="dxa" w:w="2340"/>
          </w:tcPr>
          <w:p>
            <w:pPr>
              <w:jc w:val="center"/>
            </w:pPr>
            <w:r/>
            <w:r>
              <w:rPr>
                <w:rFonts w:ascii="Times New Roman" w:hAnsi="Times New Roman"/>
                <w:sz w:val="20"/>
              </w:rPr>
              <w:t>Direct verification</w:t>
            </w:r>
          </w:p>
        </w:tc>
      </w:tr>
      <w:tr>
        <w:tc>
          <w:tcPr>
            <w:tcW w:type="dxa" w:w="2340"/>
          </w:tcPr>
          <w:p>
            <w:pPr>
              <w:jc w:val="center"/>
            </w:pPr>
            <w:r/>
            <w:r>
              <w:rPr>
                <w:rFonts w:ascii="Times New Roman" w:hAnsi="Times New Roman"/>
                <w:sz w:val="20"/>
              </w:rPr>
              <w:t>CEPOLCONV</w:t>
            </w:r>
          </w:p>
        </w:tc>
        <w:tc>
          <w:tcPr>
            <w:tcW w:type="dxa" w:w="2340"/>
          </w:tcPr>
          <w:p>
            <w:pPr>
              <w:jc w:val="center"/>
            </w:pPr>
            <w:r/>
            <w:r>
              <w:rPr>
                <w:rFonts w:ascii="Times New Roman" w:hAnsi="Times New Roman"/>
                <w:sz w:val="20"/>
              </w:rPr>
              <w:t>6-point</w:t>
            </w:r>
          </w:p>
        </w:tc>
        <w:tc>
          <w:tcPr>
            <w:tcW w:type="dxa" w:w="2340"/>
          </w:tcPr>
          <w:p>
            <w:pPr>
              <w:jc w:val="center"/>
            </w:pPr>
            <w:r/>
            <w:r>
              <w:rPr>
                <w:rFonts w:ascii="Times New Roman" w:hAnsi="Times New Roman"/>
                <w:sz w:val="20"/>
              </w:rPr>
              <w:t>1 = Not at all → 6 = Daily</w:t>
            </w:r>
          </w:p>
        </w:tc>
        <w:tc>
          <w:tcPr>
            <w:tcW w:type="dxa" w:w="2340"/>
          </w:tcPr>
          <w:p>
            <w:pPr>
              <w:jc w:val="center"/>
            </w:pPr>
            <w:r/>
            <w:r>
              <w:rPr>
                <w:rFonts w:ascii="Times New Roman" w:hAnsi="Times New Roman"/>
                <w:sz w:val="20"/>
              </w:rPr>
              <w:t>Education cross-validation</w:t>
            </w:r>
          </w:p>
        </w:tc>
      </w:tr>
      <w:tr>
        <w:tc>
          <w:tcPr>
            <w:tcW w:type="dxa" w:w="2340"/>
          </w:tcPr>
          <w:p>
            <w:pPr>
              <w:jc w:val="center"/>
            </w:pPr>
            <w:r/>
            <w:r>
              <w:rPr>
                <w:rFonts w:ascii="Times New Roman" w:hAnsi="Times New Roman"/>
                <w:sz w:val="20"/>
              </w:rPr>
              <w:t>CESOCIALIZE</w:t>
            </w:r>
          </w:p>
        </w:tc>
        <w:tc>
          <w:tcPr>
            <w:tcW w:type="dxa" w:w="2340"/>
          </w:tcPr>
          <w:p>
            <w:pPr>
              <w:jc w:val="center"/>
            </w:pPr>
            <w:r/>
            <w:r>
              <w:rPr>
                <w:rFonts w:ascii="Times New Roman" w:hAnsi="Times New Roman"/>
                <w:sz w:val="20"/>
              </w:rPr>
              <w:t>6-point</w:t>
            </w:r>
          </w:p>
        </w:tc>
        <w:tc>
          <w:tcPr>
            <w:tcW w:type="dxa" w:w="2340"/>
          </w:tcPr>
          <w:p>
            <w:pPr>
              <w:jc w:val="center"/>
            </w:pPr>
            <w:r/>
            <w:r>
              <w:rPr>
                <w:rFonts w:ascii="Times New Roman" w:hAnsi="Times New Roman"/>
                <w:sz w:val="20"/>
              </w:rPr>
              <w:t>1 = Not at all → 6 = Daily</w:t>
            </w:r>
          </w:p>
        </w:tc>
        <w:tc>
          <w:tcPr>
            <w:tcW w:type="dxa" w:w="2340"/>
          </w:tcPr>
          <w:p>
            <w:pPr>
              <w:jc w:val="center"/>
            </w:pPr>
            <w:r/>
            <w:r>
              <w:rPr>
                <w:rFonts w:ascii="Times New Roman" w:hAnsi="Times New Roman"/>
                <w:sz w:val="20"/>
              </w:rPr>
              <w:t>Education cross-validation</w:t>
            </w:r>
          </w:p>
        </w:tc>
      </w:tr>
      <w:tr>
        <w:tc>
          <w:tcPr>
            <w:tcW w:type="dxa" w:w="2340"/>
          </w:tcPr>
          <w:p>
            <w:pPr>
              <w:jc w:val="center"/>
            </w:pPr>
            <w:r/>
            <w:r>
              <w:rPr>
                <w:rFonts w:ascii="Times New Roman" w:hAnsi="Times New Roman"/>
                <w:sz w:val="20"/>
              </w:rPr>
              <w:t>VLSOCMEDIA</w:t>
            </w:r>
          </w:p>
        </w:tc>
        <w:tc>
          <w:tcPr>
            <w:tcW w:type="dxa" w:w="2340"/>
          </w:tcPr>
          <w:p>
            <w:pPr>
              <w:jc w:val="center"/>
            </w:pPr>
            <w:r/>
            <w:r>
              <w:rPr>
                <w:rFonts w:ascii="Times New Roman" w:hAnsi="Times New Roman"/>
                <w:sz w:val="20"/>
              </w:rPr>
              <w:t>6-point</w:t>
            </w:r>
          </w:p>
        </w:tc>
        <w:tc>
          <w:tcPr>
            <w:tcW w:type="dxa" w:w="2340"/>
          </w:tcPr>
          <w:p>
            <w:pPr>
              <w:jc w:val="center"/>
            </w:pPr>
            <w:r/>
            <w:r>
              <w:rPr>
                <w:rFonts w:ascii="Times New Roman" w:hAnsi="Times New Roman"/>
                <w:sz w:val="20"/>
              </w:rPr>
              <w:t>1 = Daily → 6 = Not at all</w:t>
            </w:r>
          </w:p>
        </w:tc>
        <w:tc>
          <w:tcPr>
            <w:tcW w:type="dxa" w:w="2340"/>
          </w:tcPr>
          <w:p>
            <w:pPr>
              <w:jc w:val="center"/>
            </w:pPr>
            <w:r/>
            <w:r>
              <w:rPr>
                <w:rFonts w:ascii="Times New Roman" w:hAnsi="Times New Roman"/>
                <w:sz w:val="20"/>
              </w:rPr>
              <w:t>Distribution analysis</w:t>
            </w:r>
          </w:p>
        </w:tc>
      </w:tr>
    </w:tbl>
    <w:p/>
    <w:p>
      <w:pPr>
        <w:spacing w:line="360" w:lineRule="auto"/>
      </w:pPr>
      <w:r>
        <w:rPr>
          <w:rFonts w:ascii="Times New Roman" w:hAnsi="Times New Roman"/>
          <w:i/>
          <w:sz w:val="18"/>
        </w:rPr>
        <w:t>Table 1. Variable coding and verification. Note that CE* and VL* frequency scales run in opposite directions.</w:t>
      </w:r>
    </w:p>
    <w:p>
      <w:pPr>
        <w:pStyle w:val="Heading2"/>
      </w:pPr>
      <w:r>
        <w:rPr>
          <w:rFonts w:ascii="Times New Roman" w:hAnsi="Times New Roman"/>
          <w:color w:val="000000"/>
        </w:rPr>
        <w:t>3.3 Generational Classification</w:t>
      </w:r>
    </w:p>
    <w:p>
      <w:pPr>
        <w:spacing w:line="480" w:lineRule="auto" w:after="0"/>
        <w:ind w:firstLine="720"/>
      </w:pPr>
      <w:r>
        <w:rPr>
          <w:rFonts w:ascii="Times New Roman" w:hAnsi="Times New Roman"/>
          <w:b w:val="0"/>
          <w:i w:val="0"/>
          <w:sz w:val="24"/>
        </w:rPr>
        <w:t>Generational cohorts are defined by birth year (survey year minus age): Gen Z (born ≥ 1997), Millennial (1981–1996), Gen X (1965–1980), Baby Boomer (1946–1964), and Silent Generation (born &lt; 1946).</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jc w:val="center"/>
            </w:pPr>
            <w:r/>
            <w:r>
              <w:rPr>
                <w:rFonts w:ascii="Times New Roman" w:hAnsi="Times New Roman"/>
                <w:b/>
                <w:sz w:val="20"/>
              </w:rPr>
              <w:t>Generation</w:t>
            </w:r>
          </w:p>
        </w:tc>
        <w:tc>
          <w:tcPr>
            <w:tcW w:type="dxa" w:w="2340"/>
            <w:shd w:val="clear" w:color="auto" w:fill="D9E2F3"/>
          </w:tcPr>
          <w:p>
            <w:pPr>
              <w:jc w:val="center"/>
            </w:pPr>
            <w:r/>
            <w:r>
              <w:rPr>
                <w:rFonts w:ascii="Times New Roman" w:hAnsi="Times New Roman"/>
                <w:b/>
                <w:sz w:val="20"/>
              </w:rPr>
              <w:t>Birth Years</w:t>
            </w:r>
          </w:p>
        </w:tc>
        <w:tc>
          <w:tcPr>
            <w:tcW w:type="dxa" w:w="2340"/>
            <w:shd w:val="clear" w:color="auto" w:fill="D9E2F3"/>
          </w:tcPr>
          <w:p>
            <w:pPr>
              <w:jc w:val="center"/>
            </w:pPr>
            <w:r/>
            <w:r>
              <w:rPr>
                <w:rFonts w:ascii="Times New Roman" w:hAnsi="Times New Roman"/>
                <w:b/>
                <w:sz w:val="20"/>
              </w:rPr>
              <w:t>N</w:t>
            </w:r>
          </w:p>
        </w:tc>
        <w:tc>
          <w:tcPr>
            <w:tcW w:type="dxa" w:w="2340"/>
            <w:shd w:val="clear" w:color="auto" w:fill="D9E2F3"/>
          </w:tcPr>
          <w:p>
            <w:pPr>
              <w:jc w:val="center"/>
            </w:pPr>
            <w:r/>
            <w:r>
              <w:rPr>
                <w:rFonts w:ascii="Times New Roman" w:hAnsi="Times New Roman"/>
                <w:b/>
                <w:sz w:val="20"/>
              </w:rPr>
              <w:t>% of Sample</w:t>
            </w:r>
          </w:p>
        </w:tc>
      </w:tr>
      <w:tr>
        <w:tc>
          <w:tcPr>
            <w:tcW w:type="dxa" w:w="2340"/>
          </w:tcPr>
          <w:p>
            <w:pPr>
              <w:jc w:val="center"/>
            </w:pPr>
            <w:r/>
            <w:r>
              <w:rPr>
                <w:rFonts w:ascii="Times New Roman" w:hAnsi="Times New Roman"/>
                <w:sz w:val="20"/>
              </w:rPr>
              <w:t>Gen Z</w:t>
            </w:r>
          </w:p>
        </w:tc>
        <w:tc>
          <w:tcPr>
            <w:tcW w:type="dxa" w:w="2340"/>
          </w:tcPr>
          <w:p>
            <w:pPr>
              <w:jc w:val="center"/>
            </w:pPr>
            <w:r/>
            <w:r>
              <w:rPr>
                <w:rFonts w:ascii="Times New Roman" w:hAnsi="Times New Roman"/>
                <w:sz w:val="20"/>
              </w:rPr>
              <w:t>≥ 1997</w:t>
            </w:r>
          </w:p>
        </w:tc>
        <w:tc>
          <w:tcPr>
            <w:tcW w:type="dxa" w:w="2340"/>
          </w:tcPr>
          <w:p>
            <w:pPr>
              <w:jc w:val="center"/>
            </w:pPr>
            <w:r/>
            <w:r>
              <w:rPr>
                <w:rFonts w:ascii="Times New Roman" w:hAnsi="Times New Roman"/>
                <w:sz w:val="20"/>
              </w:rPr>
              <w:t>11,038</w:t>
            </w:r>
          </w:p>
        </w:tc>
        <w:tc>
          <w:tcPr>
            <w:tcW w:type="dxa" w:w="2340"/>
          </w:tcPr>
          <w:p>
            <w:pPr>
              <w:jc w:val="center"/>
            </w:pPr>
            <w:r/>
            <w:r>
              <w:rPr>
                <w:rFonts w:ascii="Times New Roman" w:hAnsi="Times New Roman"/>
                <w:sz w:val="20"/>
              </w:rPr>
              <w:t>5.5%</w:t>
            </w:r>
          </w:p>
        </w:tc>
      </w:tr>
      <w:tr>
        <w:tc>
          <w:tcPr>
            <w:tcW w:type="dxa" w:w="2340"/>
          </w:tcPr>
          <w:p>
            <w:pPr>
              <w:jc w:val="center"/>
            </w:pPr>
            <w:r/>
            <w:r>
              <w:rPr>
                <w:rFonts w:ascii="Times New Roman" w:hAnsi="Times New Roman"/>
                <w:sz w:val="20"/>
              </w:rPr>
              <w:t>Millennial</w:t>
            </w:r>
          </w:p>
        </w:tc>
        <w:tc>
          <w:tcPr>
            <w:tcW w:type="dxa" w:w="2340"/>
          </w:tcPr>
          <w:p>
            <w:pPr>
              <w:jc w:val="center"/>
            </w:pPr>
            <w:r/>
            <w:r>
              <w:rPr>
                <w:rFonts w:ascii="Times New Roman" w:hAnsi="Times New Roman"/>
                <w:sz w:val="20"/>
              </w:rPr>
              <w:t>1981–1996</w:t>
            </w:r>
          </w:p>
        </w:tc>
        <w:tc>
          <w:tcPr>
            <w:tcW w:type="dxa" w:w="2340"/>
          </w:tcPr>
          <w:p>
            <w:pPr>
              <w:jc w:val="center"/>
            </w:pPr>
            <w:r/>
            <w:r>
              <w:rPr>
                <w:rFonts w:ascii="Times New Roman" w:hAnsi="Times New Roman"/>
                <w:sz w:val="20"/>
              </w:rPr>
              <w:t>50,325</w:t>
            </w:r>
          </w:p>
        </w:tc>
        <w:tc>
          <w:tcPr>
            <w:tcW w:type="dxa" w:w="2340"/>
          </w:tcPr>
          <w:p>
            <w:pPr>
              <w:jc w:val="center"/>
            </w:pPr>
            <w:r/>
            <w:r>
              <w:rPr>
                <w:rFonts w:ascii="Times New Roman" w:hAnsi="Times New Roman"/>
                <w:sz w:val="20"/>
              </w:rPr>
              <w:t>25.0%</w:t>
            </w:r>
          </w:p>
        </w:tc>
      </w:tr>
      <w:tr>
        <w:tc>
          <w:tcPr>
            <w:tcW w:type="dxa" w:w="2340"/>
          </w:tcPr>
          <w:p>
            <w:pPr>
              <w:jc w:val="center"/>
            </w:pPr>
            <w:r/>
            <w:r>
              <w:rPr>
                <w:rFonts w:ascii="Times New Roman" w:hAnsi="Times New Roman"/>
                <w:sz w:val="20"/>
              </w:rPr>
              <w:t>Gen X</w:t>
            </w:r>
          </w:p>
        </w:tc>
        <w:tc>
          <w:tcPr>
            <w:tcW w:type="dxa" w:w="2340"/>
          </w:tcPr>
          <w:p>
            <w:pPr>
              <w:jc w:val="center"/>
            </w:pPr>
            <w:r/>
            <w:r>
              <w:rPr>
                <w:rFonts w:ascii="Times New Roman" w:hAnsi="Times New Roman"/>
                <w:sz w:val="20"/>
              </w:rPr>
              <w:t>1965–1980</w:t>
            </w:r>
          </w:p>
        </w:tc>
        <w:tc>
          <w:tcPr>
            <w:tcW w:type="dxa" w:w="2340"/>
          </w:tcPr>
          <w:p>
            <w:pPr>
              <w:jc w:val="center"/>
            </w:pPr>
            <w:r/>
            <w:r>
              <w:rPr>
                <w:rFonts w:ascii="Times New Roman" w:hAnsi="Times New Roman"/>
                <w:sz w:val="20"/>
              </w:rPr>
              <w:t>48,042</w:t>
            </w:r>
          </w:p>
        </w:tc>
        <w:tc>
          <w:tcPr>
            <w:tcW w:type="dxa" w:w="2340"/>
          </w:tcPr>
          <w:p>
            <w:pPr>
              <w:jc w:val="center"/>
            </w:pPr>
            <w:r/>
            <w:r>
              <w:rPr>
                <w:rFonts w:ascii="Times New Roman" w:hAnsi="Times New Roman"/>
                <w:sz w:val="20"/>
              </w:rPr>
              <w:t>23.9%</w:t>
            </w:r>
          </w:p>
        </w:tc>
      </w:tr>
      <w:tr>
        <w:tc>
          <w:tcPr>
            <w:tcW w:type="dxa" w:w="2340"/>
          </w:tcPr>
          <w:p>
            <w:pPr>
              <w:jc w:val="center"/>
            </w:pPr>
            <w:r/>
            <w:r>
              <w:rPr>
                <w:rFonts w:ascii="Times New Roman" w:hAnsi="Times New Roman"/>
                <w:sz w:val="20"/>
              </w:rPr>
              <w:t>Baby Boomer</w:t>
            </w:r>
          </w:p>
        </w:tc>
        <w:tc>
          <w:tcPr>
            <w:tcW w:type="dxa" w:w="2340"/>
          </w:tcPr>
          <w:p>
            <w:pPr>
              <w:jc w:val="center"/>
            </w:pPr>
            <w:r/>
            <w:r>
              <w:rPr>
                <w:rFonts w:ascii="Times New Roman" w:hAnsi="Times New Roman"/>
                <w:sz w:val="20"/>
              </w:rPr>
              <w:t>1946–1964</w:t>
            </w:r>
          </w:p>
        </w:tc>
        <w:tc>
          <w:tcPr>
            <w:tcW w:type="dxa" w:w="2340"/>
          </w:tcPr>
          <w:p>
            <w:pPr>
              <w:jc w:val="center"/>
            </w:pPr>
            <w:r/>
            <w:r>
              <w:rPr>
                <w:rFonts w:ascii="Times New Roman" w:hAnsi="Times New Roman"/>
                <w:sz w:val="20"/>
              </w:rPr>
              <w:t>68,065</w:t>
            </w:r>
          </w:p>
        </w:tc>
        <w:tc>
          <w:tcPr>
            <w:tcW w:type="dxa" w:w="2340"/>
          </w:tcPr>
          <w:p>
            <w:pPr>
              <w:jc w:val="center"/>
            </w:pPr>
            <w:r/>
            <w:r>
              <w:rPr>
                <w:rFonts w:ascii="Times New Roman" w:hAnsi="Times New Roman"/>
                <w:sz w:val="20"/>
              </w:rPr>
              <w:t>33.8%</w:t>
            </w:r>
          </w:p>
        </w:tc>
      </w:tr>
      <w:tr>
        <w:tc>
          <w:tcPr>
            <w:tcW w:type="dxa" w:w="2340"/>
          </w:tcPr>
          <w:p>
            <w:pPr>
              <w:jc w:val="center"/>
            </w:pPr>
            <w:r/>
            <w:r>
              <w:rPr>
                <w:rFonts w:ascii="Times New Roman" w:hAnsi="Times New Roman"/>
                <w:sz w:val="20"/>
              </w:rPr>
              <w:t>Silent</w:t>
            </w:r>
          </w:p>
        </w:tc>
        <w:tc>
          <w:tcPr>
            <w:tcW w:type="dxa" w:w="2340"/>
          </w:tcPr>
          <w:p>
            <w:pPr>
              <w:jc w:val="center"/>
            </w:pPr>
            <w:r/>
            <w:r>
              <w:rPr>
                <w:rFonts w:ascii="Times New Roman" w:hAnsi="Times New Roman"/>
                <w:sz w:val="20"/>
              </w:rPr>
              <w:t>&lt; 1946</w:t>
            </w:r>
          </w:p>
        </w:tc>
        <w:tc>
          <w:tcPr>
            <w:tcW w:type="dxa" w:w="2340"/>
          </w:tcPr>
          <w:p>
            <w:pPr>
              <w:jc w:val="center"/>
            </w:pPr>
            <w:r/>
            <w:r>
              <w:rPr>
                <w:rFonts w:ascii="Times New Roman" w:hAnsi="Times New Roman"/>
                <w:sz w:val="20"/>
              </w:rPr>
              <w:t>23,698</w:t>
            </w:r>
          </w:p>
        </w:tc>
        <w:tc>
          <w:tcPr>
            <w:tcW w:type="dxa" w:w="2340"/>
          </w:tcPr>
          <w:p>
            <w:pPr>
              <w:jc w:val="center"/>
            </w:pPr>
            <w:r/>
            <w:r>
              <w:rPr>
                <w:rFonts w:ascii="Times New Roman" w:hAnsi="Times New Roman"/>
                <w:sz w:val="20"/>
              </w:rPr>
              <w:t>11.8%</w:t>
            </w:r>
          </w:p>
        </w:tc>
      </w:tr>
    </w:tbl>
    <w:p/>
    <w:p>
      <w:pPr>
        <w:spacing w:line="360" w:lineRule="auto"/>
      </w:pPr>
      <w:r>
        <w:rPr>
          <w:rFonts w:ascii="Times New Roman" w:hAnsi="Times New Roman"/>
          <w:i/>
          <w:sz w:val="18"/>
        </w:rPr>
        <w:t>Table 2. Sample distribution by generational cohort (N = 201,168).</w:t>
      </w:r>
    </w:p>
    <w:p>
      <w:pPr>
        <w:pStyle w:val="Heading2"/>
      </w:pPr>
      <w:r>
        <w:rPr>
          <w:rFonts w:ascii="Times New Roman" w:hAnsi="Times New Roman"/>
          <w:color w:val="000000"/>
        </w:rPr>
        <w:t>3.4 Analytical Framework</w:t>
      </w:r>
    </w:p>
    <w:p>
      <w:pPr>
        <w:spacing w:line="480" w:lineRule="auto" w:after="0"/>
        <w:ind w:firstLine="720"/>
      </w:pPr>
      <w:r>
        <w:rPr>
          <w:rFonts w:ascii="Times New Roman" w:hAnsi="Times New Roman"/>
          <w:b/>
          <w:i w:val="0"/>
          <w:sz w:val="24"/>
        </w:rPr>
        <w:t xml:space="preserve">Phase 1 — Latent Profile Analysis. </w:t>
      </w:r>
      <w:r>
        <w:rPr>
          <w:rFonts w:ascii="Times New Roman" w:hAnsi="Times New Roman"/>
          <w:b w:val="0"/>
          <w:i w:val="0"/>
          <w:sz w:val="24"/>
        </w:rPr>
        <w:t>LPA using five indicators: CEBOYCOTT (binary), CEPUBOFF (binary), CEPOLCONV (frequency 1–6), CESOCIALIZE (frequency 1–6), and VLMEMBERN (organizational membership count). Model selection via BIC, entropy, and Bootstrap Likelihood Ratio Test. Generation entered as auxiliary variable using the BCH method.</w:t>
      </w:r>
    </w:p>
    <w:p>
      <w:pPr>
        <w:spacing w:line="480" w:lineRule="auto" w:after="0"/>
        <w:ind w:firstLine="720"/>
      </w:pPr>
      <w:r>
        <w:rPr>
          <w:rFonts w:ascii="Times New Roman" w:hAnsi="Times New Roman"/>
          <w:b/>
          <w:i w:val="0"/>
          <w:sz w:val="24"/>
        </w:rPr>
        <w:t xml:space="preserve">Phase 2 — Profile-Stratified Prediction (GBM + SHAP). </w:t>
      </w:r>
      <w:r>
        <w:rPr>
          <w:rFonts w:ascii="Times New Roman" w:hAnsi="Times New Roman"/>
          <w:b w:val="0"/>
          <w:i w:val="0"/>
          <w:sz w:val="24"/>
        </w:rPr>
        <w:t>Gradient Boosting Machines predicting volunteering (VLSTATUS) within each LPA-derived profile. TreeSHAP decomposition identifies the contribution of socialization frequency, generation, education, employment, social media use, and geography to each individual prediction.</w:t>
      </w:r>
    </w:p>
    <w:p>
      <w:pPr>
        <w:spacing w:line="480" w:lineRule="auto" w:after="0"/>
        <w:ind w:firstLine="720"/>
      </w:pPr>
      <w:r>
        <w:rPr>
          <w:rFonts w:ascii="Times New Roman" w:hAnsi="Times New Roman"/>
          <w:b/>
          <w:i w:val="0"/>
          <w:sz w:val="24"/>
        </w:rPr>
        <w:t xml:space="preserve">Phase 3 — Temporal Comparison. </w:t>
      </w:r>
      <w:r>
        <w:rPr>
          <w:rFonts w:ascii="Times New Roman" w:hAnsi="Times New Roman"/>
          <w:b w:val="0"/>
          <w:i w:val="0"/>
          <w:sz w:val="24"/>
        </w:rPr>
        <w:t>Profile distribution compared across 2017, 2019, 2021, and 2023 waves, with generation × wave interaction analysis to assess differential pandemic impact.</w:t>
      </w:r>
    </w:p>
    <w:p>
      <w:pPr>
        <w:spacing w:line="480" w:lineRule="auto" w:after="0"/>
        <w:ind w:firstLine="720"/>
      </w:pPr>
      <w:r>
        <w:rPr>
          <w:rFonts w:ascii="Times New Roman" w:hAnsi="Times New Roman"/>
          <w:b/>
          <w:i w:val="0"/>
          <w:sz w:val="24"/>
        </w:rPr>
        <w:t xml:space="preserve">Phase 4 — Social Media Moderation. </w:t>
      </w:r>
      <w:r>
        <w:rPr>
          <w:rFonts w:ascii="Times New Roman" w:hAnsi="Times New Roman"/>
          <w:b w:val="0"/>
          <w:i w:val="0"/>
          <w:sz w:val="24"/>
        </w:rPr>
        <w:t>Three-way socialization × social media × generation interaction, decomposed via SHAP, to test the "digital compensation" hypothesis.</w:t>
      </w:r>
    </w:p>
    <w:p>
      <w:r>
        <w:br w:type="page"/>
      </w:r>
    </w:p>
    <w:p>
      <w:pPr>
        <w:pStyle w:val="Heading1"/>
      </w:pPr>
      <w:r>
        <w:rPr>
          <w:rFonts w:ascii="Times New Roman" w:hAnsi="Times New Roman"/>
          <w:color w:val="000000"/>
        </w:rPr>
        <w:t>4. Exploratory Findings from Descriptive Analysis</w:t>
      </w:r>
    </w:p>
    <w:p>
      <w:pPr>
        <w:spacing w:line="480" w:lineRule="auto" w:after="0"/>
        <w:ind w:firstLine="720"/>
      </w:pPr>
      <w:r>
        <w:rPr>
          <w:rFonts w:ascii="Times New Roman" w:hAnsi="Times New Roman"/>
          <w:b w:val="0"/>
          <w:i w:val="0"/>
          <w:sz w:val="24"/>
        </w:rPr>
        <w:t>The results presented below are based on descriptive analysis of the full CPS-CEV dataset (N = 201,168). Formal LPA, GBM, and SHAP analyses will follow; these exploratory patterns establish the empirical basis for our research questions and provide expected results against which formal findings can be evaluated.</w:t>
      </w:r>
    </w:p>
    <w:p>
      <w:pPr>
        <w:pStyle w:val="Heading2"/>
      </w:pPr>
      <w:r>
        <w:rPr>
          <w:rFonts w:ascii="Times New Roman" w:hAnsi="Times New Roman"/>
          <w:color w:val="000000"/>
        </w:rPr>
        <w:t>4.1 RQ1: Latent Civic Engagement Profiles</w:t>
      </w:r>
    </w:p>
    <w:p>
      <w:pPr>
        <w:spacing w:line="480" w:lineRule="auto" w:after="0"/>
        <w:ind w:firstLine="720"/>
      </w:pPr>
      <w:r>
        <w:rPr>
          <w:rFonts w:ascii="Times New Roman" w:hAnsi="Times New Roman"/>
          <w:b w:val="0"/>
          <w:i w:val="0"/>
          <w:sz w:val="24"/>
        </w:rPr>
        <w:t>Proto-profile analysis based on combinations of formal civic activities (volunteering, donating, boycotting, contacting officials) and socialization frequency reveals six distinguishable civic engagement types: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jc w:val="center"/>
            </w:pPr>
            <w:r/>
            <w:r>
              <w:rPr>
                <w:rFonts w:ascii="Times New Roman" w:hAnsi="Times New Roman"/>
                <w:b/>
                <w:sz w:val="20"/>
              </w:rPr>
              <w:t>Profile</w:t>
            </w:r>
          </w:p>
        </w:tc>
        <w:tc>
          <w:tcPr>
            <w:tcW w:type="dxa" w:w="2340"/>
            <w:shd w:val="clear" w:color="auto" w:fill="D9E2F3"/>
          </w:tcPr>
          <w:p>
            <w:pPr>
              <w:jc w:val="center"/>
            </w:pPr>
            <w:r/>
            <w:r>
              <w:rPr>
                <w:rFonts w:ascii="Times New Roman" w:hAnsi="Times New Roman"/>
                <w:b/>
                <w:sz w:val="20"/>
              </w:rPr>
              <w:t>%</w:t>
            </w:r>
          </w:p>
        </w:tc>
        <w:tc>
          <w:tcPr>
            <w:tcW w:type="dxa" w:w="2340"/>
            <w:shd w:val="clear" w:color="auto" w:fill="D9E2F3"/>
          </w:tcPr>
          <w:p>
            <w:pPr>
              <w:jc w:val="center"/>
            </w:pPr>
            <w:r/>
            <w:r>
              <w:rPr>
                <w:rFonts w:ascii="Times New Roman" w:hAnsi="Times New Roman"/>
                <w:b/>
                <w:sz w:val="20"/>
              </w:rPr>
              <w:t>Key Characteristic</w:t>
            </w:r>
          </w:p>
        </w:tc>
        <w:tc>
          <w:tcPr>
            <w:tcW w:type="dxa" w:w="2340"/>
            <w:shd w:val="clear" w:color="auto" w:fill="D9E2F3"/>
          </w:tcPr>
          <w:p>
            <w:pPr>
              <w:jc w:val="center"/>
            </w:pPr>
            <w:r/>
            <w:r>
              <w:rPr>
                <w:rFonts w:ascii="Times New Roman" w:hAnsi="Times New Roman"/>
                <w:b/>
                <w:sz w:val="20"/>
              </w:rPr>
              <w:t>Generational Concentration</w:t>
            </w:r>
          </w:p>
        </w:tc>
      </w:tr>
      <w:tr>
        <w:tc>
          <w:tcPr>
            <w:tcW w:type="dxa" w:w="2340"/>
          </w:tcPr>
          <w:p>
            <w:pPr>
              <w:jc w:val="center"/>
            </w:pPr>
            <w:r/>
            <w:r>
              <w:rPr>
                <w:rFonts w:ascii="Times New Roman" w:hAnsi="Times New Roman"/>
                <w:sz w:val="20"/>
              </w:rPr>
              <w:t>Isolated Disengaged</w:t>
            </w:r>
          </w:p>
        </w:tc>
        <w:tc>
          <w:tcPr>
            <w:tcW w:type="dxa" w:w="2340"/>
          </w:tcPr>
          <w:p>
            <w:pPr>
              <w:jc w:val="center"/>
            </w:pPr>
            <w:r/>
            <w:r>
              <w:rPr>
                <w:rFonts w:ascii="Times New Roman" w:hAnsi="Times New Roman"/>
                <w:sz w:val="20"/>
              </w:rPr>
              <w:t>21.8%</w:t>
            </w:r>
          </w:p>
        </w:tc>
        <w:tc>
          <w:tcPr>
            <w:tcW w:type="dxa" w:w="2340"/>
          </w:tcPr>
          <w:p>
            <w:pPr>
              <w:jc w:val="center"/>
            </w:pPr>
            <w:r/>
            <w:r>
              <w:rPr>
                <w:rFonts w:ascii="Times New Roman" w:hAnsi="Times New Roman"/>
                <w:sz w:val="20"/>
              </w:rPr>
              <w:t>No socialization + zero civic activities</w:t>
            </w:r>
          </w:p>
        </w:tc>
        <w:tc>
          <w:tcPr>
            <w:tcW w:type="dxa" w:w="2340"/>
          </w:tcPr>
          <w:p>
            <w:pPr>
              <w:jc w:val="center"/>
            </w:pPr>
            <w:r/>
            <w:r>
              <w:rPr>
                <w:rFonts w:ascii="Times New Roman" w:hAnsi="Times New Roman"/>
                <w:sz w:val="20"/>
              </w:rPr>
              <w:t>Gen Z overrepresented (10.8%)</w:t>
            </w:r>
          </w:p>
        </w:tc>
      </w:tr>
      <w:tr>
        <w:tc>
          <w:tcPr>
            <w:tcW w:type="dxa" w:w="2340"/>
          </w:tcPr>
          <w:p>
            <w:pPr>
              <w:jc w:val="center"/>
            </w:pPr>
            <w:r/>
            <w:r>
              <w:rPr>
                <w:rFonts w:ascii="Times New Roman" w:hAnsi="Times New Roman"/>
                <w:sz w:val="20"/>
              </w:rPr>
              <w:t>Connected Disengaged</w:t>
            </w:r>
          </w:p>
        </w:tc>
        <w:tc>
          <w:tcPr>
            <w:tcW w:type="dxa" w:w="2340"/>
          </w:tcPr>
          <w:p>
            <w:pPr>
              <w:jc w:val="center"/>
            </w:pPr>
            <w:r/>
            <w:r>
              <w:rPr>
                <w:rFonts w:ascii="Times New Roman" w:hAnsi="Times New Roman"/>
                <w:sz w:val="20"/>
              </w:rPr>
              <w:t>13.9%</w:t>
            </w:r>
          </w:p>
        </w:tc>
        <w:tc>
          <w:tcPr>
            <w:tcW w:type="dxa" w:w="2340"/>
          </w:tcPr>
          <w:p>
            <w:pPr>
              <w:jc w:val="center"/>
            </w:pPr>
            <w:r/>
            <w:r>
              <w:rPr>
                <w:rFonts w:ascii="Times New Roman" w:hAnsi="Times New Roman"/>
                <w:sz w:val="20"/>
              </w:rPr>
              <w:t>Socializes but zero civic activities</w:t>
            </w:r>
          </w:p>
        </w:tc>
        <w:tc>
          <w:tcPr>
            <w:tcW w:type="dxa" w:w="2340"/>
          </w:tcPr>
          <w:p>
            <w:pPr>
              <w:jc w:val="center"/>
            </w:pPr>
            <w:r/>
            <w:r>
              <w:rPr>
                <w:rFonts w:ascii="Times New Roman" w:hAnsi="Times New Roman"/>
                <w:sz w:val="20"/>
              </w:rPr>
              <w:t>Boomer 33.7%</w:t>
            </w:r>
          </w:p>
        </w:tc>
      </w:tr>
      <w:tr>
        <w:tc>
          <w:tcPr>
            <w:tcW w:type="dxa" w:w="2340"/>
          </w:tcPr>
          <w:p>
            <w:pPr>
              <w:jc w:val="center"/>
            </w:pPr>
            <w:r/>
            <w:r>
              <w:rPr>
                <w:rFonts w:ascii="Times New Roman" w:hAnsi="Times New Roman"/>
                <w:sz w:val="20"/>
              </w:rPr>
              <w:t>Checkbook Citizen</w:t>
            </w:r>
          </w:p>
        </w:tc>
        <w:tc>
          <w:tcPr>
            <w:tcW w:type="dxa" w:w="2340"/>
          </w:tcPr>
          <w:p>
            <w:pPr>
              <w:jc w:val="center"/>
            </w:pPr>
            <w:r/>
            <w:r>
              <w:rPr>
                <w:rFonts w:ascii="Times New Roman" w:hAnsi="Times New Roman"/>
                <w:sz w:val="20"/>
              </w:rPr>
              <w:t>21.7%</w:t>
            </w:r>
          </w:p>
        </w:tc>
        <w:tc>
          <w:tcPr>
            <w:tcW w:type="dxa" w:w="2340"/>
          </w:tcPr>
          <w:p>
            <w:pPr>
              <w:jc w:val="center"/>
            </w:pPr>
            <w:r/>
            <w:r>
              <w:rPr>
                <w:rFonts w:ascii="Times New Roman" w:hAnsi="Times New Roman"/>
                <w:sz w:val="20"/>
              </w:rPr>
              <w:t>Donates only; median age 58</w:t>
            </w:r>
          </w:p>
        </w:tc>
        <w:tc>
          <w:tcPr>
            <w:tcW w:type="dxa" w:w="2340"/>
          </w:tcPr>
          <w:p>
            <w:pPr>
              <w:jc w:val="center"/>
            </w:pPr>
            <w:r/>
            <w:r>
              <w:rPr>
                <w:rFonts w:ascii="Times New Roman" w:hAnsi="Times New Roman"/>
                <w:sz w:val="20"/>
              </w:rPr>
              <w:t>Silent/Boomer dominated</w:t>
            </w:r>
          </w:p>
        </w:tc>
      </w:tr>
      <w:tr>
        <w:tc>
          <w:tcPr>
            <w:tcW w:type="dxa" w:w="2340"/>
          </w:tcPr>
          <w:p>
            <w:pPr>
              <w:jc w:val="center"/>
            </w:pPr>
            <w:r/>
            <w:r>
              <w:rPr>
                <w:rFonts w:ascii="Times New Roman" w:hAnsi="Times New Roman"/>
                <w:sz w:val="20"/>
              </w:rPr>
              <w:t>Consumer Activist</w:t>
            </w:r>
          </w:p>
        </w:tc>
        <w:tc>
          <w:tcPr>
            <w:tcW w:type="dxa" w:w="2340"/>
          </w:tcPr>
          <w:p>
            <w:pPr>
              <w:jc w:val="center"/>
            </w:pPr>
            <w:r/>
            <w:r>
              <w:rPr>
                <w:rFonts w:ascii="Times New Roman" w:hAnsi="Times New Roman"/>
                <w:sz w:val="20"/>
              </w:rPr>
              <w:t>8.0%</w:t>
            </w:r>
          </w:p>
        </w:tc>
        <w:tc>
          <w:tcPr>
            <w:tcW w:type="dxa" w:w="2340"/>
          </w:tcPr>
          <w:p>
            <w:pPr>
              <w:jc w:val="center"/>
            </w:pPr>
            <w:r/>
            <w:r>
              <w:rPr>
                <w:rFonts w:ascii="Times New Roman" w:hAnsi="Times New Roman"/>
                <w:sz w:val="20"/>
              </w:rPr>
              <w:t>Boycotts; frequent political talk (73%)</w:t>
            </w:r>
          </w:p>
        </w:tc>
        <w:tc>
          <w:tcPr>
            <w:tcW w:type="dxa" w:w="2340"/>
          </w:tcPr>
          <w:p>
            <w:pPr>
              <w:jc w:val="center"/>
            </w:pPr>
            <w:r/>
            <w:r>
              <w:rPr>
                <w:rFonts w:ascii="Times New Roman" w:hAnsi="Times New Roman"/>
                <w:sz w:val="20"/>
              </w:rPr>
              <w:t>Cross-generational</w:t>
            </w:r>
          </w:p>
        </w:tc>
      </w:tr>
      <w:tr>
        <w:tc>
          <w:tcPr>
            <w:tcW w:type="dxa" w:w="2340"/>
          </w:tcPr>
          <w:p>
            <w:pPr>
              <w:jc w:val="center"/>
            </w:pPr>
            <w:r/>
            <w:r>
              <w:rPr>
                <w:rFonts w:ascii="Times New Roman" w:hAnsi="Times New Roman"/>
                <w:sz w:val="20"/>
              </w:rPr>
              <w:t>Traditional Volunteer</w:t>
            </w:r>
          </w:p>
        </w:tc>
        <w:tc>
          <w:tcPr>
            <w:tcW w:type="dxa" w:w="2340"/>
          </w:tcPr>
          <w:p>
            <w:pPr>
              <w:jc w:val="center"/>
            </w:pPr>
            <w:r/>
            <w:r>
              <w:rPr>
                <w:rFonts w:ascii="Times New Roman" w:hAnsi="Times New Roman"/>
                <w:sz w:val="20"/>
              </w:rPr>
              <w:t>14.3%</w:t>
            </w:r>
          </w:p>
        </w:tc>
        <w:tc>
          <w:tcPr>
            <w:tcW w:type="dxa" w:w="2340"/>
          </w:tcPr>
          <w:p>
            <w:pPr>
              <w:jc w:val="center"/>
            </w:pPr>
            <w:r/>
            <w:r>
              <w:rPr>
                <w:rFonts w:ascii="Times New Roman" w:hAnsi="Times New Roman"/>
                <w:sz w:val="20"/>
              </w:rPr>
              <w:t>Volunteers + donates; connected (65%)</w:t>
            </w:r>
          </w:p>
        </w:tc>
        <w:tc>
          <w:tcPr>
            <w:tcW w:type="dxa" w:w="2340"/>
          </w:tcPr>
          <w:p>
            <w:pPr>
              <w:jc w:val="center"/>
            </w:pPr>
            <w:r/>
            <w:r>
              <w:rPr>
                <w:rFonts w:ascii="Times New Roman" w:hAnsi="Times New Roman"/>
                <w:sz w:val="20"/>
              </w:rPr>
              <w:t>Gen X peak (28.1%)</w:t>
            </w:r>
          </w:p>
        </w:tc>
      </w:tr>
      <w:tr>
        <w:tc>
          <w:tcPr>
            <w:tcW w:type="dxa" w:w="2340"/>
          </w:tcPr>
          <w:p>
            <w:pPr>
              <w:jc w:val="center"/>
            </w:pPr>
            <w:r/>
            <w:r>
              <w:rPr>
                <w:rFonts w:ascii="Times New Roman" w:hAnsi="Times New Roman"/>
                <w:sz w:val="20"/>
              </w:rPr>
              <w:t>All-around Civic</w:t>
            </w:r>
          </w:p>
        </w:tc>
        <w:tc>
          <w:tcPr>
            <w:tcW w:type="dxa" w:w="2340"/>
          </w:tcPr>
          <w:p>
            <w:pPr>
              <w:jc w:val="center"/>
            </w:pPr>
            <w:r/>
            <w:r>
              <w:rPr>
                <w:rFonts w:ascii="Times New Roman" w:hAnsi="Times New Roman"/>
                <w:sz w:val="20"/>
              </w:rPr>
              <w:t>13.7%</w:t>
            </w:r>
          </w:p>
        </w:tc>
        <w:tc>
          <w:tcPr>
            <w:tcW w:type="dxa" w:w="2340"/>
          </w:tcPr>
          <w:p>
            <w:pPr>
              <w:jc w:val="center"/>
            </w:pPr>
            <w:r/>
            <w:r>
              <w:rPr>
                <w:rFonts w:ascii="Times New Roman" w:hAnsi="Times New Roman"/>
                <w:sz w:val="20"/>
              </w:rPr>
              <w:t>3+ activities; political talk 82%</w:t>
            </w:r>
          </w:p>
        </w:tc>
        <w:tc>
          <w:tcPr>
            <w:tcW w:type="dxa" w:w="2340"/>
          </w:tcPr>
          <w:p>
            <w:pPr>
              <w:jc w:val="center"/>
            </w:pPr>
            <w:r/>
            <w:r>
              <w:rPr>
                <w:rFonts w:ascii="Times New Roman" w:hAnsi="Times New Roman"/>
                <w:sz w:val="20"/>
              </w:rPr>
              <w:t>Gen X + Boomer</w:t>
            </w:r>
          </w:p>
        </w:tc>
      </w:tr>
    </w:tbl>
    <w:p/>
    <w:p>
      <w:pPr>
        <w:spacing w:line="360" w:lineRule="auto"/>
      </w:pPr>
      <w:r>
        <w:rPr>
          <w:rFonts w:ascii="Times New Roman" w:hAnsi="Times New Roman"/>
          <w:i/>
          <w:sz w:val="18"/>
        </w:rPr>
        <w:t>Table 3. Proto-profiles from descriptive analysis (N = 198,745 with valid socialization data). Percentages are unweighted.</w:t>
      </w:r>
    </w:p>
    <w:p>
      <w:pPr>
        <w:spacing w:line="480" w:lineRule="auto" w:after="0"/>
        <w:ind w:firstLine="720"/>
      </w:pPr>
      <w:r>
        <w:rPr>
          <w:rFonts w:ascii="Times New Roman" w:hAnsi="Times New Roman"/>
          <w:b/>
          <w:i w:val="0"/>
          <w:sz w:val="24"/>
        </w:rPr>
        <w:t xml:space="preserve">The critical distinction is between "Isolated Disengaged" and "Connected Disengaged." </w:t>
      </w:r>
      <w:r>
        <w:rPr>
          <w:rFonts w:ascii="Times New Roman" w:hAnsi="Times New Roman"/>
          <w:b w:val="0"/>
          <w:i w:val="0"/>
          <w:sz w:val="24"/>
        </w:rPr>
        <w:t>Both groups score zero on formal civic activities, but they differ fundamentally: the isolated group (21.8%) is younger, never socializes, and presumably lacks the social infrastructure for civic recruitment. The connected group (13.9%) socializes regularly but does not convert social interaction into civic action. These groups require different theoretical explanations — the first is a recruitment failure (Verba et al., 1995), the second a motivation or opportunity failure — and different intervention strategies.</w:t>
      </w:r>
    </w:p>
    <w:p>
      <w:pPr>
        <w:spacing w:line="480" w:lineRule="auto" w:after="0"/>
        <w:ind w:firstLine="720"/>
      </w:pPr>
      <w:r>
        <w:rPr>
          <w:rFonts w:ascii="Times New Roman" w:hAnsi="Times New Roman"/>
          <w:b w:val="0"/>
          <w:i w:val="0"/>
          <w:sz w:val="24"/>
        </w:rPr>
        <w:t>LPA is uniquely positioned to separate these groups because it classifies individuals based on their full configuration of indicators, including socialization frequency, rather than simply counting civic activities.</w:t>
      </w:r>
    </w:p>
    <w:p>
      <w:pPr>
        <w:pStyle w:val="Heading2"/>
      </w:pPr>
      <w:r>
        <w:rPr>
          <w:rFonts w:ascii="Times New Roman" w:hAnsi="Times New Roman"/>
          <w:color w:val="000000"/>
        </w:rPr>
        <w:t>4.2 RQ2: The Socialization–Volunteering Gradient Across Generations</w:t>
      </w:r>
    </w:p>
    <w:p>
      <w:pPr>
        <w:spacing w:line="480" w:lineRule="auto" w:after="0"/>
        <w:ind w:firstLine="720"/>
      </w:pPr>
      <w:r>
        <w:rPr>
          <w:rFonts w:ascii="Times New Roman" w:hAnsi="Times New Roman"/>
          <w:b w:val="0"/>
          <w:i w:val="0"/>
          <w:sz w:val="24"/>
        </w:rPr>
        <w:t>The relationship between socialization frequency and volunteering is strongly nonlinear, with the largest marginal effect at the lowest level of socialization: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2F3"/>
          </w:tcPr>
          <w:p>
            <w:pPr>
              <w:jc w:val="center"/>
            </w:pPr>
            <w:r/>
            <w:r>
              <w:rPr>
                <w:rFonts w:ascii="Times New Roman" w:hAnsi="Times New Roman"/>
                <w:b/>
                <w:sz w:val="20"/>
              </w:rPr>
              <w:t>Socialization Level</w:t>
            </w:r>
          </w:p>
        </w:tc>
        <w:tc>
          <w:tcPr>
            <w:tcW w:type="dxa" w:w="1560"/>
            <w:shd w:val="clear" w:color="auto" w:fill="D9E2F3"/>
          </w:tcPr>
          <w:p>
            <w:pPr>
              <w:jc w:val="center"/>
            </w:pPr>
            <w:r/>
            <w:r>
              <w:rPr>
                <w:rFonts w:ascii="Times New Roman" w:hAnsi="Times New Roman"/>
                <w:b/>
                <w:sz w:val="20"/>
              </w:rPr>
              <w:t>Gen Z</w:t>
            </w:r>
          </w:p>
        </w:tc>
        <w:tc>
          <w:tcPr>
            <w:tcW w:type="dxa" w:w="1560"/>
            <w:shd w:val="clear" w:color="auto" w:fill="D9E2F3"/>
          </w:tcPr>
          <w:p>
            <w:pPr>
              <w:jc w:val="center"/>
            </w:pPr>
            <w:r/>
            <w:r>
              <w:rPr>
                <w:rFonts w:ascii="Times New Roman" w:hAnsi="Times New Roman"/>
                <w:b/>
                <w:sz w:val="20"/>
              </w:rPr>
              <w:t>Millennial</w:t>
            </w:r>
          </w:p>
        </w:tc>
        <w:tc>
          <w:tcPr>
            <w:tcW w:type="dxa" w:w="1560"/>
            <w:shd w:val="clear" w:color="auto" w:fill="D9E2F3"/>
          </w:tcPr>
          <w:p>
            <w:pPr>
              <w:jc w:val="center"/>
            </w:pPr>
            <w:r/>
            <w:r>
              <w:rPr>
                <w:rFonts w:ascii="Times New Roman" w:hAnsi="Times New Roman"/>
                <w:b/>
                <w:sz w:val="20"/>
              </w:rPr>
              <w:t>Gen X</w:t>
            </w:r>
          </w:p>
        </w:tc>
        <w:tc>
          <w:tcPr>
            <w:tcW w:type="dxa" w:w="1560"/>
            <w:shd w:val="clear" w:color="auto" w:fill="D9E2F3"/>
          </w:tcPr>
          <w:p>
            <w:pPr>
              <w:jc w:val="center"/>
            </w:pPr>
            <w:r/>
            <w:r>
              <w:rPr>
                <w:rFonts w:ascii="Times New Roman" w:hAnsi="Times New Roman"/>
                <w:b/>
                <w:sz w:val="20"/>
              </w:rPr>
              <w:t>Boomer</w:t>
            </w:r>
          </w:p>
        </w:tc>
        <w:tc>
          <w:tcPr>
            <w:tcW w:type="dxa" w:w="1560"/>
            <w:shd w:val="clear" w:color="auto" w:fill="D9E2F3"/>
          </w:tcPr>
          <w:p>
            <w:pPr>
              <w:jc w:val="center"/>
            </w:pPr>
            <w:r/>
            <w:r>
              <w:rPr>
                <w:rFonts w:ascii="Times New Roman" w:hAnsi="Times New Roman"/>
                <w:b/>
                <w:sz w:val="20"/>
              </w:rPr>
              <w:t>Silent</w:t>
            </w:r>
          </w:p>
        </w:tc>
      </w:tr>
      <w:tr>
        <w:tc>
          <w:tcPr>
            <w:tcW w:type="dxa" w:w="1560"/>
          </w:tcPr>
          <w:p>
            <w:pPr>
              <w:jc w:val="center"/>
            </w:pPr>
            <w:r/>
            <w:r>
              <w:rPr>
                <w:rFonts w:ascii="Times New Roman" w:hAnsi="Times New Roman"/>
                <w:sz w:val="20"/>
              </w:rPr>
              <w:t>Not at all</w:t>
            </w:r>
          </w:p>
        </w:tc>
        <w:tc>
          <w:tcPr>
            <w:tcW w:type="dxa" w:w="1560"/>
          </w:tcPr>
          <w:p>
            <w:pPr>
              <w:jc w:val="center"/>
            </w:pPr>
            <w:r/>
            <w:r>
              <w:rPr>
                <w:rFonts w:ascii="Times New Roman" w:hAnsi="Times New Roman"/>
                <w:sz w:val="20"/>
              </w:rPr>
              <w:t>15.7%</w:t>
            </w:r>
          </w:p>
        </w:tc>
        <w:tc>
          <w:tcPr>
            <w:tcW w:type="dxa" w:w="1560"/>
          </w:tcPr>
          <w:p>
            <w:pPr>
              <w:jc w:val="center"/>
            </w:pPr>
            <w:r/>
            <w:r>
              <w:rPr>
                <w:rFonts w:ascii="Times New Roman" w:hAnsi="Times New Roman"/>
                <w:sz w:val="20"/>
              </w:rPr>
              <w:t>19.1%</w:t>
            </w:r>
          </w:p>
        </w:tc>
        <w:tc>
          <w:tcPr>
            <w:tcW w:type="dxa" w:w="1560"/>
          </w:tcPr>
          <w:p>
            <w:pPr>
              <w:jc w:val="center"/>
            </w:pPr>
            <w:r/>
            <w:r>
              <w:rPr>
                <w:rFonts w:ascii="Times New Roman" w:hAnsi="Times New Roman"/>
                <w:sz w:val="20"/>
              </w:rPr>
              <w:t>18.7%</w:t>
            </w:r>
          </w:p>
        </w:tc>
        <w:tc>
          <w:tcPr>
            <w:tcW w:type="dxa" w:w="1560"/>
          </w:tcPr>
          <w:p>
            <w:pPr>
              <w:jc w:val="center"/>
            </w:pPr>
            <w:r/>
            <w:r>
              <w:rPr>
                <w:rFonts w:ascii="Times New Roman" w:hAnsi="Times New Roman"/>
                <w:sz w:val="20"/>
              </w:rPr>
              <w:t>13.7%</w:t>
            </w:r>
          </w:p>
        </w:tc>
        <w:tc>
          <w:tcPr>
            <w:tcW w:type="dxa" w:w="1560"/>
          </w:tcPr>
          <w:p>
            <w:pPr>
              <w:jc w:val="center"/>
            </w:pPr>
            <w:r/>
            <w:r>
              <w:rPr>
                <w:rFonts w:ascii="Times New Roman" w:hAnsi="Times New Roman"/>
                <w:sz w:val="20"/>
              </w:rPr>
              <w:t>9.8%</w:t>
            </w:r>
          </w:p>
        </w:tc>
      </w:tr>
      <w:tr>
        <w:tc>
          <w:tcPr>
            <w:tcW w:type="dxa" w:w="1560"/>
          </w:tcPr>
          <w:p>
            <w:pPr>
              <w:jc w:val="center"/>
            </w:pPr>
            <w:r/>
            <w:r>
              <w:rPr>
                <w:rFonts w:ascii="Times New Roman" w:hAnsi="Times New Roman"/>
                <w:sz w:val="20"/>
              </w:rPr>
              <w:t>A few times/year</w:t>
            </w:r>
          </w:p>
        </w:tc>
        <w:tc>
          <w:tcPr>
            <w:tcW w:type="dxa" w:w="1560"/>
          </w:tcPr>
          <w:p>
            <w:pPr>
              <w:jc w:val="center"/>
            </w:pPr>
            <w:r/>
            <w:r>
              <w:rPr>
                <w:rFonts w:ascii="Times New Roman" w:hAnsi="Times New Roman"/>
                <w:sz w:val="20"/>
              </w:rPr>
              <w:t>25.6%</w:t>
            </w:r>
          </w:p>
        </w:tc>
        <w:tc>
          <w:tcPr>
            <w:tcW w:type="dxa" w:w="1560"/>
          </w:tcPr>
          <w:p>
            <w:pPr>
              <w:jc w:val="center"/>
            </w:pPr>
            <w:r/>
            <w:r>
              <w:rPr>
                <w:rFonts w:ascii="Times New Roman" w:hAnsi="Times New Roman"/>
                <w:sz w:val="20"/>
              </w:rPr>
              <w:t>30.1%</w:t>
            </w:r>
          </w:p>
        </w:tc>
        <w:tc>
          <w:tcPr>
            <w:tcW w:type="dxa" w:w="1560"/>
          </w:tcPr>
          <w:p>
            <w:pPr>
              <w:jc w:val="center"/>
            </w:pPr>
            <w:r/>
            <w:r>
              <w:rPr>
                <w:rFonts w:ascii="Times New Roman" w:hAnsi="Times New Roman"/>
                <w:sz w:val="20"/>
              </w:rPr>
              <w:t>32.3%</w:t>
            </w:r>
          </w:p>
        </w:tc>
        <w:tc>
          <w:tcPr>
            <w:tcW w:type="dxa" w:w="1560"/>
          </w:tcPr>
          <w:p>
            <w:pPr>
              <w:jc w:val="center"/>
            </w:pPr>
            <w:r/>
            <w:r>
              <w:rPr>
                <w:rFonts w:ascii="Times New Roman" w:hAnsi="Times New Roman"/>
                <w:sz w:val="20"/>
              </w:rPr>
              <w:t>25.4%</w:t>
            </w:r>
          </w:p>
        </w:tc>
        <w:tc>
          <w:tcPr>
            <w:tcW w:type="dxa" w:w="1560"/>
          </w:tcPr>
          <w:p>
            <w:pPr>
              <w:jc w:val="center"/>
            </w:pPr>
            <w:r/>
            <w:r>
              <w:rPr>
                <w:rFonts w:ascii="Times New Roman" w:hAnsi="Times New Roman"/>
                <w:sz w:val="20"/>
              </w:rPr>
              <w:t>18.2%</w:t>
            </w:r>
          </w:p>
        </w:tc>
      </w:tr>
      <w:tr>
        <w:tc>
          <w:tcPr>
            <w:tcW w:type="dxa" w:w="1560"/>
          </w:tcPr>
          <w:p>
            <w:pPr>
              <w:jc w:val="center"/>
            </w:pPr>
            <w:r/>
            <w:r>
              <w:rPr>
                <w:rFonts w:ascii="Times New Roman" w:hAnsi="Times New Roman"/>
                <w:sz w:val="20"/>
              </w:rPr>
              <w:t>Once a month</w:t>
            </w:r>
          </w:p>
        </w:tc>
        <w:tc>
          <w:tcPr>
            <w:tcW w:type="dxa" w:w="1560"/>
          </w:tcPr>
          <w:p>
            <w:pPr>
              <w:jc w:val="center"/>
            </w:pPr>
            <w:r/>
            <w:r>
              <w:rPr>
                <w:rFonts w:ascii="Times New Roman" w:hAnsi="Times New Roman"/>
                <w:sz w:val="20"/>
              </w:rPr>
              <w:t>32.4%</w:t>
            </w:r>
          </w:p>
        </w:tc>
        <w:tc>
          <w:tcPr>
            <w:tcW w:type="dxa" w:w="1560"/>
          </w:tcPr>
          <w:p>
            <w:pPr>
              <w:jc w:val="center"/>
            </w:pPr>
            <w:r/>
            <w:r>
              <w:rPr>
                <w:rFonts w:ascii="Times New Roman" w:hAnsi="Times New Roman"/>
                <w:sz w:val="20"/>
              </w:rPr>
              <w:t>37.2%</w:t>
            </w:r>
          </w:p>
        </w:tc>
        <w:tc>
          <w:tcPr>
            <w:tcW w:type="dxa" w:w="1560"/>
          </w:tcPr>
          <w:p>
            <w:pPr>
              <w:jc w:val="center"/>
            </w:pPr>
            <w:r/>
            <w:r>
              <w:rPr>
                <w:rFonts w:ascii="Times New Roman" w:hAnsi="Times New Roman"/>
                <w:sz w:val="20"/>
              </w:rPr>
              <w:t>40.0%</w:t>
            </w:r>
          </w:p>
        </w:tc>
        <w:tc>
          <w:tcPr>
            <w:tcW w:type="dxa" w:w="1560"/>
          </w:tcPr>
          <w:p>
            <w:pPr>
              <w:jc w:val="center"/>
            </w:pPr>
            <w:r/>
            <w:r>
              <w:rPr>
                <w:rFonts w:ascii="Times New Roman" w:hAnsi="Times New Roman"/>
                <w:sz w:val="20"/>
              </w:rPr>
              <w:t>33.3%</w:t>
            </w:r>
          </w:p>
        </w:tc>
        <w:tc>
          <w:tcPr>
            <w:tcW w:type="dxa" w:w="1560"/>
          </w:tcPr>
          <w:p>
            <w:pPr>
              <w:jc w:val="center"/>
            </w:pPr>
            <w:r/>
            <w:r>
              <w:rPr>
                <w:rFonts w:ascii="Times New Roman" w:hAnsi="Times New Roman"/>
                <w:sz w:val="20"/>
              </w:rPr>
              <w:t>24.6%</w:t>
            </w:r>
          </w:p>
        </w:tc>
      </w:tr>
      <w:tr>
        <w:tc>
          <w:tcPr>
            <w:tcW w:type="dxa" w:w="1560"/>
          </w:tcPr>
          <w:p>
            <w:pPr>
              <w:jc w:val="center"/>
            </w:pPr>
            <w:r/>
            <w:r>
              <w:rPr>
                <w:rFonts w:ascii="Times New Roman" w:hAnsi="Times New Roman"/>
                <w:sz w:val="20"/>
              </w:rPr>
              <w:t>A few times/month</w:t>
            </w:r>
          </w:p>
        </w:tc>
        <w:tc>
          <w:tcPr>
            <w:tcW w:type="dxa" w:w="1560"/>
          </w:tcPr>
          <w:p>
            <w:pPr>
              <w:jc w:val="center"/>
            </w:pPr>
            <w:r/>
            <w:r>
              <w:rPr>
                <w:rFonts w:ascii="Times New Roman" w:hAnsi="Times New Roman"/>
                <w:sz w:val="20"/>
              </w:rPr>
              <w:t>33.4%</w:t>
            </w:r>
          </w:p>
        </w:tc>
        <w:tc>
          <w:tcPr>
            <w:tcW w:type="dxa" w:w="1560"/>
          </w:tcPr>
          <w:p>
            <w:pPr>
              <w:jc w:val="center"/>
            </w:pPr>
            <w:r/>
            <w:r>
              <w:rPr>
                <w:rFonts w:ascii="Times New Roman" w:hAnsi="Times New Roman"/>
                <w:sz w:val="20"/>
              </w:rPr>
              <w:t>38.6%</w:t>
            </w:r>
          </w:p>
        </w:tc>
        <w:tc>
          <w:tcPr>
            <w:tcW w:type="dxa" w:w="1560"/>
          </w:tcPr>
          <w:p>
            <w:pPr>
              <w:jc w:val="center"/>
            </w:pPr>
            <w:r/>
            <w:r>
              <w:rPr>
                <w:rFonts w:ascii="Times New Roman" w:hAnsi="Times New Roman"/>
                <w:sz w:val="20"/>
              </w:rPr>
              <w:t>43.0%</w:t>
            </w:r>
          </w:p>
        </w:tc>
        <w:tc>
          <w:tcPr>
            <w:tcW w:type="dxa" w:w="1560"/>
          </w:tcPr>
          <w:p>
            <w:pPr>
              <w:jc w:val="center"/>
            </w:pPr>
            <w:r/>
            <w:r>
              <w:rPr>
                <w:rFonts w:ascii="Times New Roman" w:hAnsi="Times New Roman"/>
                <w:sz w:val="20"/>
              </w:rPr>
              <w:t>36.8%</w:t>
            </w:r>
          </w:p>
        </w:tc>
        <w:tc>
          <w:tcPr>
            <w:tcW w:type="dxa" w:w="1560"/>
          </w:tcPr>
          <w:p>
            <w:pPr>
              <w:jc w:val="center"/>
            </w:pPr>
            <w:r/>
            <w:r>
              <w:rPr>
                <w:rFonts w:ascii="Times New Roman" w:hAnsi="Times New Roman"/>
                <w:sz w:val="20"/>
              </w:rPr>
              <w:t>27.8%</w:t>
            </w:r>
          </w:p>
        </w:tc>
      </w:tr>
      <w:tr>
        <w:tc>
          <w:tcPr>
            <w:tcW w:type="dxa" w:w="1560"/>
          </w:tcPr>
          <w:p>
            <w:pPr>
              <w:jc w:val="center"/>
            </w:pPr>
            <w:r/>
            <w:r>
              <w:rPr>
                <w:rFonts w:ascii="Times New Roman" w:hAnsi="Times New Roman"/>
                <w:sz w:val="20"/>
              </w:rPr>
              <w:t>A few times/week</w:t>
            </w:r>
          </w:p>
        </w:tc>
        <w:tc>
          <w:tcPr>
            <w:tcW w:type="dxa" w:w="1560"/>
          </w:tcPr>
          <w:p>
            <w:pPr>
              <w:jc w:val="center"/>
            </w:pPr>
            <w:r/>
            <w:r>
              <w:rPr>
                <w:rFonts w:ascii="Times New Roman" w:hAnsi="Times New Roman"/>
                <w:sz w:val="20"/>
              </w:rPr>
              <w:t>31.9%</w:t>
            </w:r>
          </w:p>
        </w:tc>
        <w:tc>
          <w:tcPr>
            <w:tcW w:type="dxa" w:w="1560"/>
          </w:tcPr>
          <w:p>
            <w:pPr>
              <w:jc w:val="center"/>
            </w:pPr>
            <w:r/>
            <w:r>
              <w:rPr>
                <w:rFonts w:ascii="Times New Roman" w:hAnsi="Times New Roman"/>
                <w:sz w:val="20"/>
              </w:rPr>
              <w:t>42.0%</w:t>
            </w:r>
          </w:p>
        </w:tc>
        <w:tc>
          <w:tcPr>
            <w:tcW w:type="dxa" w:w="1560"/>
          </w:tcPr>
          <w:p>
            <w:pPr>
              <w:jc w:val="center"/>
            </w:pPr>
            <w:r/>
            <w:r>
              <w:rPr>
                <w:rFonts w:ascii="Times New Roman" w:hAnsi="Times New Roman"/>
                <w:sz w:val="20"/>
              </w:rPr>
              <w:t>48.7%</w:t>
            </w:r>
          </w:p>
        </w:tc>
        <w:tc>
          <w:tcPr>
            <w:tcW w:type="dxa" w:w="1560"/>
          </w:tcPr>
          <w:p>
            <w:pPr>
              <w:jc w:val="center"/>
            </w:pPr>
            <w:r/>
            <w:r>
              <w:rPr>
                <w:rFonts w:ascii="Times New Roman" w:hAnsi="Times New Roman"/>
                <w:sz w:val="20"/>
              </w:rPr>
              <w:t>41.5%</w:t>
            </w:r>
          </w:p>
        </w:tc>
        <w:tc>
          <w:tcPr>
            <w:tcW w:type="dxa" w:w="1560"/>
          </w:tcPr>
          <w:p>
            <w:pPr>
              <w:jc w:val="center"/>
            </w:pPr>
            <w:r/>
            <w:r>
              <w:rPr>
                <w:rFonts w:ascii="Times New Roman" w:hAnsi="Times New Roman"/>
                <w:sz w:val="20"/>
              </w:rPr>
              <w:t>34.8%</w:t>
            </w:r>
          </w:p>
        </w:tc>
      </w:tr>
      <w:tr>
        <w:tc>
          <w:tcPr>
            <w:tcW w:type="dxa" w:w="1560"/>
          </w:tcPr>
          <w:p>
            <w:pPr>
              <w:jc w:val="center"/>
            </w:pPr>
            <w:r/>
            <w:r>
              <w:rPr>
                <w:rFonts w:ascii="Times New Roman" w:hAnsi="Times New Roman"/>
                <w:sz w:val="20"/>
              </w:rPr>
              <w:t>Basically every day</w:t>
            </w:r>
          </w:p>
        </w:tc>
        <w:tc>
          <w:tcPr>
            <w:tcW w:type="dxa" w:w="1560"/>
          </w:tcPr>
          <w:p>
            <w:pPr>
              <w:jc w:val="center"/>
            </w:pPr>
            <w:r/>
            <w:r>
              <w:rPr>
                <w:rFonts w:ascii="Times New Roman" w:hAnsi="Times New Roman"/>
                <w:sz w:val="20"/>
              </w:rPr>
              <w:t>34.6%</w:t>
            </w:r>
          </w:p>
        </w:tc>
        <w:tc>
          <w:tcPr>
            <w:tcW w:type="dxa" w:w="1560"/>
          </w:tcPr>
          <w:p>
            <w:pPr>
              <w:jc w:val="center"/>
            </w:pPr>
            <w:r/>
            <w:r>
              <w:rPr>
                <w:rFonts w:ascii="Times New Roman" w:hAnsi="Times New Roman"/>
                <w:sz w:val="20"/>
              </w:rPr>
              <w:t>42.5%</w:t>
            </w:r>
          </w:p>
        </w:tc>
        <w:tc>
          <w:tcPr>
            <w:tcW w:type="dxa" w:w="1560"/>
          </w:tcPr>
          <w:p>
            <w:pPr>
              <w:jc w:val="center"/>
            </w:pPr>
            <w:r/>
            <w:r>
              <w:rPr>
                <w:rFonts w:ascii="Times New Roman" w:hAnsi="Times New Roman"/>
                <w:sz w:val="20"/>
              </w:rPr>
              <w:t>44.3%</w:t>
            </w:r>
          </w:p>
        </w:tc>
        <w:tc>
          <w:tcPr>
            <w:tcW w:type="dxa" w:w="1560"/>
          </w:tcPr>
          <w:p>
            <w:pPr>
              <w:jc w:val="center"/>
            </w:pPr>
            <w:r/>
            <w:r>
              <w:rPr>
                <w:rFonts w:ascii="Times New Roman" w:hAnsi="Times New Roman"/>
                <w:sz w:val="20"/>
              </w:rPr>
              <w:t>40.7%</w:t>
            </w:r>
          </w:p>
        </w:tc>
        <w:tc>
          <w:tcPr>
            <w:tcW w:type="dxa" w:w="1560"/>
          </w:tcPr>
          <w:p>
            <w:pPr>
              <w:jc w:val="center"/>
            </w:pPr>
            <w:r/>
            <w:r>
              <w:rPr>
                <w:rFonts w:ascii="Times New Roman" w:hAnsi="Times New Roman"/>
                <w:sz w:val="20"/>
              </w:rPr>
              <w:t>34.1%</w:t>
            </w:r>
          </w:p>
        </w:tc>
      </w:tr>
    </w:tbl>
    <w:p/>
    <w:p>
      <w:pPr>
        <w:spacing w:line="360" w:lineRule="auto"/>
      </w:pPr>
      <w:r>
        <w:rPr>
          <w:rFonts w:ascii="Times New Roman" w:hAnsi="Times New Roman"/>
          <w:i/>
          <w:sz w:val="18"/>
        </w:rPr>
        <w:t>Table 4. Volunteering rate by socialization frequency and generation (N = 199,804 with valid socialization and volunteering data).</w:t>
      </w:r>
    </w:p>
    <w:p>
      <w:pPr>
        <w:spacing w:line="480" w:lineRule="auto" w:after="0"/>
        <w:ind w:firstLine="720"/>
      </w:pPr>
      <w:r>
        <w:rPr>
          <w:rFonts w:ascii="Times New Roman" w:hAnsi="Times New Roman"/>
          <w:b/>
          <w:i w:val="0"/>
          <w:sz w:val="24"/>
        </w:rPr>
        <w:t xml:space="preserve">The "first step" effect. </w:t>
      </w:r>
      <w:r>
        <w:rPr>
          <w:rFonts w:ascii="Times New Roman" w:hAnsi="Times New Roman"/>
          <w:b w:val="0"/>
          <w:i w:val="0"/>
          <w:sz w:val="24"/>
        </w:rPr>
        <w:t>Across all generations, the transition from "not at all" to "a few times a year" produces the single largest increase in volunteering: +10.0 percentage points for Gen Z, +11.0 for Millennials, +13.6 for Gen X, and +11.7 for Boomers. Subsequent steps yield diminishing returns. This nonlinear pattern has direct implications for community development programming: even low-threshold social programming (community meals, casual gathering spaces) may produce disproportionate civic returns by moving individuals past the critical isolation threshold.</w:t>
      </w:r>
    </w:p>
    <w:p>
      <w:pPr>
        <w:spacing w:line="480" w:lineRule="auto" w:after="0"/>
        <w:ind w:firstLine="720"/>
      </w:pPr>
      <w:r>
        <w:rPr>
          <w:rFonts w:ascii="Times New Roman" w:hAnsi="Times New Roman"/>
          <w:b/>
          <w:i w:val="0"/>
          <w:sz w:val="24"/>
        </w:rPr>
        <w:t xml:space="preserve">Gen Z's ceiling effect. </w:t>
      </w:r>
      <w:r>
        <w:rPr>
          <w:rFonts w:ascii="Times New Roman" w:hAnsi="Times New Roman"/>
          <w:b w:val="0"/>
          <w:i w:val="0"/>
          <w:sz w:val="24"/>
        </w:rPr>
        <w:t>Unlike all other generations, Gen Z's volunteering rate plateaus at approximately 34% regardless of socialization frequency. Gen Z members who socialize daily (34.6%) volunteer at essentially the same rate as those who socialize monthly (32.4%). Other generations show continued gains at higher socialization frequencies, with Gen X reaching 48.7% at "a few times a week." This ceiling suggests a structural barrier beyond social connection — possibly institutional (fewer accessible volunteer organizations for young adults), economic (time poverty from precarious employment), or cultural (preference for individualized over collective action).</w:t>
      </w:r>
    </w:p>
    <w:p>
      <w:pPr>
        <w:spacing w:line="480" w:lineRule="auto" w:after="0"/>
        <w:ind w:firstLine="720"/>
      </w:pPr>
      <w:r>
        <w:rPr>
          <w:rFonts w:ascii="Times New Roman" w:hAnsi="Times New Roman"/>
          <w:b w:val="0"/>
          <w:i w:val="0"/>
          <w:sz w:val="24"/>
        </w:rPr>
        <w:t>The education × socialization interaction reveals a universal "civic floor" and a generation-specific "civic ceiling":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jc w:val="center"/>
            </w:pPr>
            <w:r/>
            <w:r>
              <w:rPr>
                <w:rFonts w:ascii="Times New Roman" w:hAnsi="Times New Roman"/>
                <w:b/>
                <w:sz w:val="20"/>
              </w:rPr>
              <w:t>Condition</w:t>
            </w:r>
          </w:p>
        </w:tc>
        <w:tc>
          <w:tcPr>
            <w:tcW w:type="dxa" w:w="2340"/>
            <w:shd w:val="clear" w:color="auto" w:fill="D9E2F3"/>
          </w:tcPr>
          <w:p>
            <w:pPr>
              <w:jc w:val="center"/>
            </w:pPr>
            <w:r/>
            <w:r>
              <w:rPr>
                <w:rFonts w:ascii="Times New Roman" w:hAnsi="Times New Roman"/>
                <w:b/>
                <w:sz w:val="20"/>
              </w:rPr>
              <w:t>Gen Z</w:t>
            </w:r>
          </w:p>
        </w:tc>
        <w:tc>
          <w:tcPr>
            <w:tcW w:type="dxa" w:w="2340"/>
            <w:shd w:val="clear" w:color="auto" w:fill="D9E2F3"/>
          </w:tcPr>
          <w:p>
            <w:pPr>
              <w:jc w:val="center"/>
            </w:pPr>
            <w:r/>
            <w:r>
              <w:rPr>
                <w:rFonts w:ascii="Times New Roman" w:hAnsi="Times New Roman"/>
                <w:b/>
                <w:sz w:val="20"/>
              </w:rPr>
              <w:t>Millennial</w:t>
            </w:r>
          </w:p>
        </w:tc>
        <w:tc>
          <w:tcPr>
            <w:tcW w:type="dxa" w:w="2340"/>
            <w:shd w:val="clear" w:color="auto" w:fill="D9E2F3"/>
          </w:tcPr>
          <w:p>
            <w:pPr>
              <w:jc w:val="center"/>
            </w:pPr>
            <w:r/>
            <w:r>
              <w:rPr>
                <w:rFonts w:ascii="Times New Roman" w:hAnsi="Times New Roman"/>
                <w:b/>
                <w:sz w:val="20"/>
              </w:rPr>
              <w:t>Boomer</w:t>
            </w:r>
          </w:p>
        </w:tc>
      </w:tr>
      <w:tr>
        <w:tc>
          <w:tcPr>
            <w:tcW w:type="dxa" w:w="2340"/>
          </w:tcPr>
          <w:p>
            <w:pPr>
              <w:jc w:val="center"/>
            </w:pPr>
            <w:r/>
            <w:r>
              <w:rPr>
                <w:rFonts w:ascii="Times New Roman" w:hAnsi="Times New Roman"/>
                <w:sz w:val="20"/>
              </w:rPr>
              <w:t>HS diploma + Isolated</w:t>
            </w:r>
          </w:p>
        </w:tc>
        <w:tc>
          <w:tcPr>
            <w:tcW w:type="dxa" w:w="2340"/>
          </w:tcPr>
          <w:p>
            <w:pPr>
              <w:jc w:val="center"/>
            </w:pPr>
            <w:r/>
            <w:r>
              <w:rPr>
                <w:rFonts w:ascii="Times New Roman" w:hAnsi="Times New Roman"/>
                <w:sz w:val="20"/>
              </w:rPr>
              <w:t>12.2%</w:t>
            </w:r>
          </w:p>
        </w:tc>
        <w:tc>
          <w:tcPr>
            <w:tcW w:type="dxa" w:w="2340"/>
          </w:tcPr>
          <w:p>
            <w:pPr>
              <w:jc w:val="center"/>
            </w:pPr>
            <w:r/>
            <w:r>
              <w:rPr>
                <w:rFonts w:ascii="Times New Roman" w:hAnsi="Times New Roman"/>
                <w:sz w:val="20"/>
              </w:rPr>
              <w:t>11.5%</w:t>
            </w:r>
          </w:p>
        </w:tc>
        <w:tc>
          <w:tcPr>
            <w:tcW w:type="dxa" w:w="2340"/>
          </w:tcPr>
          <w:p>
            <w:pPr>
              <w:jc w:val="center"/>
            </w:pPr>
            <w:r/>
            <w:r>
              <w:rPr>
                <w:rFonts w:ascii="Times New Roman" w:hAnsi="Times New Roman"/>
                <w:sz w:val="20"/>
              </w:rPr>
              <w:t>11.8%</w:t>
            </w:r>
          </w:p>
        </w:tc>
      </w:tr>
      <w:tr>
        <w:tc>
          <w:tcPr>
            <w:tcW w:type="dxa" w:w="2340"/>
          </w:tcPr>
          <w:p>
            <w:pPr>
              <w:jc w:val="center"/>
            </w:pPr>
            <w:r/>
            <w:r>
              <w:rPr>
                <w:rFonts w:ascii="Times New Roman" w:hAnsi="Times New Roman"/>
                <w:sz w:val="20"/>
              </w:rPr>
              <w:t>HS diploma + Connected</w:t>
            </w:r>
          </w:p>
        </w:tc>
        <w:tc>
          <w:tcPr>
            <w:tcW w:type="dxa" w:w="2340"/>
          </w:tcPr>
          <w:p>
            <w:pPr>
              <w:jc w:val="center"/>
            </w:pPr>
            <w:r/>
            <w:r>
              <w:rPr>
                <w:rFonts w:ascii="Times New Roman" w:hAnsi="Times New Roman"/>
                <w:sz w:val="20"/>
              </w:rPr>
              <w:t>26.3%</w:t>
            </w:r>
          </w:p>
        </w:tc>
        <w:tc>
          <w:tcPr>
            <w:tcW w:type="dxa" w:w="2340"/>
          </w:tcPr>
          <w:p>
            <w:pPr>
              <w:jc w:val="center"/>
            </w:pPr>
            <w:r/>
            <w:r>
              <w:rPr>
                <w:rFonts w:ascii="Times New Roman" w:hAnsi="Times New Roman"/>
                <w:sz w:val="20"/>
              </w:rPr>
              <w:t>25.5%</w:t>
            </w:r>
          </w:p>
        </w:tc>
        <w:tc>
          <w:tcPr>
            <w:tcW w:type="dxa" w:w="2340"/>
          </w:tcPr>
          <w:p>
            <w:pPr>
              <w:jc w:val="center"/>
            </w:pPr>
            <w:r/>
            <w:r>
              <w:rPr>
                <w:rFonts w:ascii="Times New Roman" w:hAnsi="Times New Roman"/>
                <w:sz w:val="20"/>
              </w:rPr>
              <w:t>25.4%</w:t>
            </w:r>
          </w:p>
        </w:tc>
      </w:tr>
      <w:tr>
        <w:tc>
          <w:tcPr>
            <w:tcW w:type="dxa" w:w="2340"/>
          </w:tcPr>
          <w:p>
            <w:pPr>
              <w:jc w:val="center"/>
            </w:pPr>
            <w:r/>
            <w:r>
              <w:rPr>
                <w:rFonts w:ascii="Times New Roman" w:hAnsi="Times New Roman"/>
                <w:sz w:val="20"/>
              </w:rPr>
              <w:t>BA+ degree + Isolated</w:t>
            </w:r>
          </w:p>
        </w:tc>
        <w:tc>
          <w:tcPr>
            <w:tcW w:type="dxa" w:w="2340"/>
          </w:tcPr>
          <w:p>
            <w:pPr>
              <w:jc w:val="center"/>
            </w:pPr>
            <w:r/>
            <w:r>
              <w:rPr>
                <w:rFonts w:ascii="Times New Roman" w:hAnsi="Times New Roman"/>
                <w:sz w:val="20"/>
              </w:rPr>
              <w:t>27.7%</w:t>
            </w:r>
          </w:p>
        </w:tc>
        <w:tc>
          <w:tcPr>
            <w:tcW w:type="dxa" w:w="2340"/>
          </w:tcPr>
          <w:p>
            <w:pPr>
              <w:jc w:val="center"/>
            </w:pPr>
            <w:r/>
            <w:r>
              <w:rPr>
                <w:rFonts w:ascii="Times New Roman" w:hAnsi="Times New Roman"/>
                <w:sz w:val="20"/>
              </w:rPr>
              <w:t>33.4%</w:t>
            </w:r>
          </w:p>
        </w:tc>
        <w:tc>
          <w:tcPr>
            <w:tcW w:type="dxa" w:w="2340"/>
          </w:tcPr>
          <w:p>
            <w:pPr>
              <w:jc w:val="center"/>
            </w:pPr>
            <w:r/>
            <w:r>
              <w:rPr>
                <w:rFonts w:ascii="Times New Roman" w:hAnsi="Times New Roman"/>
                <w:sz w:val="20"/>
              </w:rPr>
              <w:t>29.5%</w:t>
            </w:r>
          </w:p>
        </w:tc>
      </w:tr>
      <w:tr>
        <w:tc>
          <w:tcPr>
            <w:tcW w:type="dxa" w:w="2340"/>
          </w:tcPr>
          <w:p>
            <w:pPr>
              <w:jc w:val="center"/>
            </w:pPr>
            <w:r/>
            <w:r>
              <w:rPr>
                <w:rFonts w:ascii="Times New Roman" w:hAnsi="Times New Roman"/>
                <w:sz w:val="20"/>
              </w:rPr>
              <w:t>BA+ degree + Connected</w:t>
            </w:r>
          </w:p>
        </w:tc>
        <w:tc>
          <w:tcPr>
            <w:tcW w:type="dxa" w:w="2340"/>
          </w:tcPr>
          <w:p>
            <w:pPr>
              <w:jc w:val="center"/>
            </w:pPr>
            <w:r/>
            <w:r>
              <w:rPr>
                <w:rFonts w:ascii="Times New Roman" w:hAnsi="Times New Roman"/>
                <w:sz w:val="20"/>
              </w:rPr>
              <w:t>42.8%</w:t>
            </w:r>
          </w:p>
        </w:tc>
        <w:tc>
          <w:tcPr>
            <w:tcW w:type="dxa" w:w="2340"/>
          </w:tcPr>
          <w:p>
            <w:pPr>
              <w:jc w:val="center"/>
            </w:pPr>
            <w:r/>
            <w:r>
              <w:rPr>
                <w:rFonts w:ascii="Times New Roman" w:hAnsi="Times New Roman"/>
                <w:sz w:val="20"/>
              </w:rPr>
              <w:t>51.3%</w:t>
            </w:r>
          </w:p>
        </w:tc>
        <w:tc>
          <w:tcPr>
            <w:tcW w:type="dxa" w:w="2340"/>
          </w:tcPr>
          <w:p>
            <w:pPr>
              <w:jc w:val="center"/>
            </w:pPr>
            <w:r/>
            <w:r>
              <w:rPr>
                <w:rFonts w:ascii="Times New Roman" w:hAnsi="Times New Roman"/>
                <w:sz w:val="20"/>
              </w:rPr>
              <w:t>54.5%</w:t>
            </w:r>
          </w:p>
        </w:tc>
      </w:tr>
    </w:tbl>
    <w:p/>
    <w:p>
      <w:pPr>
        <w:spacing w:line="360" w:lineRule="auto"/>
      </w:pPr>
      <w:r>
        <w:rPr>
          <w:rFonts w:ascii="Times New Roman" w:hAnsi="Times New Roman"/>
          <w:i/>
          <w:sz w:val="18"/>
        </w:rPr>
        <w:t>Table 5. Volunteering rate by education × socialization × generation. "Isolated" = socializes never or a few times/year. "Connected" = socializes a few times/month or more.</w:t>
      </w:r>
    </w:p>
    <w:p>
      <w:pPr>
        <w:spacing w:line="480" w:lineRule="auto" w:after="0"/>
        <w:ind w:firstLine="720"/>
      </w:pPr>
      <w:r>
        <w:rPr>
          <w:rFonts w:ascii="Times New Roman" w:hAnsi="Times New Roman"/>
          <w:b w:val="0"/>
          <w:i w:val="0"/>
          <w:sz w:val="24"/>
        </w:rPr>
        <w:t>The civic floor (HS + Isolated ≈ 12%) is invariant across generations — social isolation combined with limited education produces the same baseline disengagement regardless of birth cohort. The ceiling, however, varies substantially: BA+ Connected Gen Z volunteers at 42.8% compared to 54.5% for Boomers in the same condition. SHAP analysis will decompose this 12-point gap into feature-level contributions.</w:t>
      </w:r>
    </w:p>
    <w:p>
      <w:pPr>
        <w:pStyle w:val="Heading3"/>
      </w:pPr>
      <w:r>
        <w:rPr>
          <w:rFonts w:ascii="Times New Roman" w:hAnsi="Times New Roman"/>
          <w:color w:val="000000"/>
        </w:rPr>
        <w:t>4.2.1 The Role Reversal: Connected Gen Z Outperforms Average Boomers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jc w:val="center"/>
            </w:pPr>
            <w:r/>
            <w:r>
              <w:rPr>
                <w:rFonts w:ascii="Times New Roman" w:hAnsi="Times New Roman"/>
                <w:b/>
                <w:sz w:val="20"/>
              </w:rPr>
              <w:t>Group</w:t>
            </w:r>
          </w:p>
        </w:tc>
        <w:tc>
          <w:tcPr>
            <w:tcW w:type="dxa" w:w="2340"/>
            <w:shd w:val="clear" w:color="auto" w:fill="D9E2F3"/>
          </w:tcPr>
          <w:p>
            <w:pPr>
              <w:jc w:val="center"/>
            </w:pPr>
            <w:r/>
            <w:r>
              <w:rPr>
                <w:rFonts w:ascii="Times New Roman" w:hAnsi="Times New Roman"/>
                <w:b/>
                <w:sz w:val="20"/>
              </w:rPr>
              <w:t>N</w:t>
            </w:r>
          </w:p>
        </w:tc>
        <w:tc>
          <w:tcPr>
            <w:tcW w:type="dxa" w:w="2340"/>
            <w:shd w:val="clear" w:color="auto" w:fill="D9E2F3"/>
          </w:tcPr>
          <w:p>
            <w:pPr>
              <w:jc w:val="center"/>
            </w:pPr>
            <w:r/>
            <w:r>
              <w:rPr>
                <w:rFonts w:ascii="Times New Roman" w:hAnsi="Times New Roman"/>
                <w:b/>
                <w:sz w:val="20"/>
              </w:rPr>
              <w:t>Vol Rate</w:t>
            </w:r>
          </w:p>
        </w:tc>
        <w:tc>
          <w:tcPr>
            <w:tcW w:type="dxa" w:w="2340"/>
            <w:shd w:val="clear" w:color="auto" w:fill="D9E2F3"/>
          </w:tcPr>
          <w:p>
            <w:pPr>
              <w:jc w:val="center"/>
            </w:pPr>
            <w:r/>
            <w:r>
              <w:rPr>
                <w:rFonts w:ascii="Times New Roman" w:hAnsi="Times New Roman"/>
                <w:b/>
                <w:sz w:val="20"/>
              </w:rPr>
              <w:t>Disengaged</w:t>
            </w:r>
          </w:p>
        </w:tc>
      </w:tr>
      <w:tr>
        <w:tc>
          <w:tcPr>
            <w:tcW w:type="dxa" w:w="2340"/>
          </w:tcPr>
          <w:p>
            <w:pPr>
              <w:jc w:val="center"/>
            </w:pPr>
            <w:r/>
            <w:r>
              <w:rPr>
                <w:rFonts w:ascii="Times New Roman" w:hAnsi="Times New Roman"/>
                <w:sz w:val="20"/>
              </w:rPr>
              <w:t>Gen Z: BA+, connected, politically talkative</w:t>
            </w:r>
          </w:p>
        </w:tc>
        <w:tc>
          <w:tcPr>
            <w:tcW w:type="dxa" w:w="2340"/>
          </w:tcPr>
          <w:p>
            <w:pPr>
              <w:jc w:val="center"/>
            </w:pPr>
            <w:r/>
            <w:r>
              <w:rPr>
                <w:rFonts w:ascii="Times New Roman" w:hAnsi="Times New Roman"/>
                <w:sz w:val="20"/>
              </w:rPr>
              <w:t>246</w:t>
            </w:r>
          </w:p>
        </w:tc>
        <w:tc>
          <w:tcPr>
            <w:tcW w:type="dxa" w:w="2340"/>
          </w:tcPr>
          <w:p>
            <w:pPr>
              <w:jc w:val="center"/>
            </w:pPr>
            <w:r/>
            <w:r>
              <w:rPr>
                <w:rFonts w:ascii="Times New Roman" w:hAnsi="Times New Roman"/>
                <w:sz w:val="20"/>
              </w:rPr>
              <w:t>45.5%</w:t>
            </w:r>
          </w:p>
        </w:tc>
        <w:tc>
          <w:tcPr>
            <w:tcW w:type="dxa" w:w="2340"/>
          </w:tcPr>
          <w:p>
            <w:pPr>
              <w:jc w:val="center"/>
            </w:pPr>
            <w:r/>
            <w:r>
              <w:rPr>
                <w:rFonts w:ascii="Times New Roman" w:hAnsi="Times New Roman"/>
                <w:sz w:val="20"/>
              </w:rPr>
              <w:t>31.3%</w:t>
            </w:r>
          </w:p>
        </w:tc>
      </w:tr>
      <w:tr>
        <w:tc>
          <w:tcPr>
            <w:tcW w:type="dxa" w:w="2340"/>
          </w:tcPr>
          <w:p>
            <w:pPr>
              <w:jc w:val="center"/>
            </w:pPr>
            <w:r/>
            <w:r>
              <w:rPr>
                <w:rFonts w:ascii="Times New Roman" w:hAnsi="Times New Roman"/>
                <w:sz w:val="20"/>
              </w:rPr>
              <w:t>Average Boomer (all)</w:t>
            </w:r>
          </w:p>
        </w:tc>
        <w:tc>
          <w:tcPr>
            <w:tcW w:type="dxa" w:w="2340"/>
          </w:tcPr>
          <w:p>
            <w:pPr>
              <w:jc w:val="center"/>
            </w:pPr>
            <w:r/>
            <w:r>
              <w:rPr>
                <w:rFonts w:ascii="Times New Roman" w:hAnsi="Times New Roman"/>
                <w:sz w:val="20"/>
              </w:rPr>
              <w:t>67,631</w:t>
            </w:r>
          </w:p>
        </w:tc>
        <w:tc>
          <w:tcPr>
            <w:tcW w:type="dxa" w:w="2340"/>
          </w:tcPr>
          <w:p>
            <w:pPr>
              <w:jc w:val="center"/>
            </w:pPr>
            <w:r/>
            <w:r>
              <w:rPr>
                <w:rFonts w:ascii="Times New Roman" w:hAnsi="Times New Roman"/>
                <w:sz w:val="20"/>
              </w:rPr>
              <w:t>32.3%</w:t>
            </w:r>
          </w:p>
        </w:tc>
        <w:tc>
          <w:tcPr>
            <w:tcW w:type="dxa" w:w="2340"/>
          </w:tcPr>
          <w:p>
            <w:pPr>
              <w:jc w:val="center"/>
            </w:pPr>
            <w:r/>
            <w:r>
              <w:rPr>
                <w:rFonts w:ascii="Times New Roman" w:hAnsi="Times New Roman"/>
                <w:sz w:val="20"/>
              </w:rPr>
              <w:t>31.0%</w:t>
            </w:r>
          </w:p>
        </w:tc>
      </w:tr>
    </w:tbl>
    <w:p/>
    <w:p>
      <w:pPr>
        <w:spacing w:line="360" w:lineRule="auto"/>
      </w:pPr>
      <w:r>
        <w:rPr>
          <w:rFonts w:ascii="Times New Roman" w:hAnsi="Times New Roman"/>
          <w:i/>
          <w:sz w:val="18"/>
        </w:rPr>
        <w:t>Table 6. Volunteering and disengagement rates for most-connected Gen Z versus average Boomer.</w:t>
      </w:r>
    </w:p>
    <w:p>
      <w:pPr>
        <w:spacing w:line="480" w:lineRule="auto" w:after="0"/>
        <w:ind w:firstLine="720"/>
      </w:pPr>
      <w:r>
        <w:rPr>
          <w:rFonts w:ascii="Times New Roman" w:hAnsi="Times New Roman"/>
          <w:b w:val="0"/>
          <w:i w:val="0"/>
          <w:sz w:val="24"/>
        </w:rPr>
        <w:t>This is perhaps the most counterintuitive finding: the most socially connected, educationally advantaged, politically engaged Gen Z members volunteer at rates 13 percentage points higher than the average Baby Boomer. The "generational decline" narrative collapses once socialization is accounted for. The crisis is not that a generation has abandoned civic values — it is that nearly half a generation has been cut off from the social infrastructure that makes civic life possible.</w:t>
      </w:r>
    </w:p>
    <w:p>
      <w:pPr>
        <w:pStyle w:val="Heading2"/>
      </w:pPr>
      <w:r>
        <w:rPr>
          <w:rFonts w:ascii="Times New Roman" w:hAnsi="Times New Roman"/>
          <w:color w:val="000000"/>
        </w:rPr>
        <w:t>4.3 RQ3: COVID-19 as Amplifier, Not Cause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pPr>
              <w:jc w:val="center"/>
            </w:pPr>
            <w:r/>
            <w:r>
              <w:rPr>
                <w:rFonts w:ascii="Times New Roman" w:hAnsi="Times New Roman"/>
                <w:b/>
                <w:sz w:val="20"/>
              </w:rPr>
              <w:t>Generation</w:t>
            </w:r>
          </w:p>
        </w:tc>
        <w:tc>
          <w:tcPr>
            <w:tcW w:type="dxa" w:w="1337"/>
            <w:shd w:val="clear" w:color="auto" w:fill="D9E2F3"/>
          </w:tcPr>
          <w:p>
            <w:pPr>
              <w:jc w:val="center"/>
            </w:pPr>
            <w:r/>
            <w:r>
              <w:rPr>
                <w:rFonts w:ascii="Times New Roman" w:hAnsi="Times New Roman"/>
                <w:b/>
                <w:sz w:val="20"/>
              </w:rPr>
              <w:t>Indicator</w:t>
            </w:r>
          </w:p>
        </w:tc>
        <w:tc>
          <w:tcPr>
            <w:tcW w:type="dxa" w:w="1337"/>
            <w:shd w:val="clear" w:color="auto" w:fill="D9E2F3"/>
          </w:tcPr>
          <w:p>
            <w:pPr>
              <w:jc w:val="center"/>
            </w:pPr>
            <w:r/>
            <w:r>
              <w:rPr>
                <w:rFonts w:ascii="Times New Roman" w:hAnsi="Times New Roman"/>
                <w:b/>
                <w:sz w:val="20"/>
              </w:rPr>
              <w:t>2017</w:t>
            </w:r>
          </w:p>
        </w:tc>
        <w:tc>
          <w:tcPr>
            <w:tcW w:type="dxa" w:w="1337"/>
            <w:shd w:val="clear" w:color="auto" w:fill="D9E2F3"/>
          </w:tcPr>
          <w:p>
            <w:pPr>
              <w:jc w:val="center"/>
            </w:pPr>
            <w:r/>
            <w:r>
              <w:rPr>
                <w:rFonts w:ascii="Times New Roman" w:hAnsi="Times New Roman"/>
                <w:b/>
                <w:sz w:val="20"/>
              </w:rPr>
              <w:t>2019</w:t>
            </w:r>
          </w:p>
        </w:tc>
        <w:tc>
          <w:tcPr>
            <w:tcW w:type="dxa" w:w="1337"/>
            <w:shd w:val="clear" w:color="auto" w:fill="D9E2F3"/>
          </w:tcPr>
          <w:p>
            <w:pPr>
              <w:jc w:val="center"/>
            </w:pPr>
            <w:r/>
            <w:r>
              <w:rPr>
                <w:rFonts w:ascii="Times New Roman" w:hAnsi="Times New Roman"/>
                <w:b/>
                <w:sz w:val="20"/>
              </w:rPr>
              <w:t>2021</w:t>
            </w:r>
          </w:p>
        </w:tc>
        <w:tc>
          <w:tcPr>
            <w:tcW w:type="dxa" w:w="1337"/>
            <w:shd w:val="clear" w:color="auto" w:fill="D9E2F3"/>
          </w:tcPr>
          <w:p>
            <w:pPr>
              <w:jc w:val="center"/>
            </w:pPr>
            <w:r/>
            <w:r>
              <w:rPr>
                <w:rFonts w:ascii="Times New Roman" w:hAnsi="Times New Roman"/>
                <w:b/>
                <w:sz w:val="20"/>
              </w:rPr>
              <w:t>2023</w:t>
            </w:r>
          </w:p>
        </w:tc>
        <w:tc>
          <w:tcPr>
            <w:tcW w:type="dxa" w:w="1337"/>
            <w:shd w:val="clear" w:color="auto" w:fill="D9E2F3"/>
          </w:tcPr>
          <w:p>
            <w:pPr>
              <w:jc w:val="center"/>
            </w:pPr>
            <w:r/>
            <w:r>
              <w:rPr>
                <w:rFonts w:ascii="Times New Roman" w:hAnsi="Times New Roman"/>
                <w:b/>
                <w:sz w:val="20"/>
              </w:rPr>
              <w:t>Trajectory</w:t>
            </w:r>
          </w:p>
        </w:tc>
      </w:tr>
      <w:tr>
        <w:tc>
          <w:tcPr>
            <w:tcW w:type="dxa" w:w="1337"/>
          </w:tcPr>
          <w:p>
            <w:pPr>
              <w:jc w:val="center"/>
            </w:pPr>
            <w:r/>
            <w:r>
              <w:rPr>
                <w:rFonts w:ascii="Times New Roman" w:hAnsi="Times New Roman"/>
                <w:sz w:val="20"/>
              </w:rPr>
              <w:t>Gen Z</w:t>
            </w:r>
          </w:p>
        </w:tc>
        <w:tc>
          <w:tcPr>
            <w:tcW w:type="dxa" w:w="1337"/>
          </w:tcPr>
          <w:p>
            <w:pPr>
              <w:jc w:val="center"/>
            </w:pPr>
            <w:r/>
            <w:r>
              <w:rPr>
                <w:rFonts w:ascii="Times New Roman" w:hAnsi="Times New Roman"/>
                <w:sz w:val="20"/>
              </w:rPr>
              <w:t>Isolated (%)</w:t>
            </w:r>
          </w:p>
        </w:tc>
        <w:tc>
          <w:tcPr>
            <w:tcW w:type="dxa" w:w="1337"/>
          </w:tcPr>
          <w:p>
            <w:pPr>
              <w:jc w:val="center"/>
            </w:pPr>
            <w:r/>
            <w:r>
              <w:rPr>
                <w:rFonts w:ascii="Times New Roman" w:hAnsi="Times New Roman"/>
                <w:sz w:val="20"/>
              </w:rPr>
              <w:t>57.0</w:t>
            </w:r>
          </w:p>
        </w:tc>
        <w:tc>
          <w:tcPr>
            <w:tcW w:type="dxa" w:w="1337"/>
          </w:tcPr>
          <w:p>
            <w:pPr>
              <w:jc w:val="center"/>
            </w:pPr>
            <w:r/>
            <w:r>
              <w:rPr>
                <w:rFonts w:ascii="Times New Roman" w:hAnsi="Times New Roman"/>
                <w:sz w:val="20"/>
              </w:rPr>
              <w:t>59.7</w:t>
            </w:r>
          </w:p>
        </w:tc>
        <w:tc>
          <w:tcPr>
            <w:tcW w:type="dxa" w:w="1337"/>
          </w:tcPr>
          <w:p>
            <w:pPr>
              <w:jc w:val="center"/>
            </w:pPr>
            <w:r/>
            <w:r>
              <w:rPr>
                <w:rFonts w:ascii="Times New Roman" w:hAnsi="Times New Roman"/>
                <w:sz w:val="20"/>
              </w:rPr>
              <w:t>62.6</w:t>
            </w:r>
          </w:p>
        </w:tc>
        <w:tc>
          <w:tcPr>
            <w:tcW w:type="dxa" w:w="1337"/>
          </w:tcPr>
          <w:p>
            <w:pPr>
              <w:jc w:val="center"/>
            </w:pPr>
            <w:r/>
            <w:r>
              <w:rPr>
                <w:rFonts w:ascii="Times New Roman" w:hAnsi="Times New Roman"/>
                <w:sz w:val="20"/>
              </w:rPr>
              <w:t>59.0</w:t>
            </w:r>
          </w:p>
        </w:tc>
        <w:tc>
          <w:tcPr>
            <w:tcW w:type="dxa" w:w="1337"/>
          </w:tcPr>
          <w:p>
            <w:pPr>
              <w:jc w:val="center"/>
            </w:pPr>
            <w:r/>
            <w:r>
              <w:rPr>
                <w:rFonts w:ascii="Times New Roman" w:hAnsi="Times New Roman"/>
                <w:sz w:val="20"/>
              </w:rPr>
              <w:t>Pre-existing; COVID worsened</w:t>
            </w:r>
          </w:p>
        </w:tc>
      </w:tr>
      <w:tr>
        <w:tc>
          <w:tcPr>
            <w:tcW w:type="dxa" w:w="1337"/>
          </w:tcPr>
          <w:p>
            <w:pPr>
              <w:jc w:val="center"/>
            </w:pPr>
            <w:r/>
            <w:r>
              <w:rPr>
                <w:rFonts w:ascii="Times New Roman" w:hAnsi="Times New Roman"/>
                <w:sz w:val="20"/>
              </w:rPr>
            </w:r>
          </w:p>
        </w:tc>
        <w:tc>
          <w:tcPr>
            <w:tcW w:type="dxa" w:w="1337"/>
          </w:tcPr>
          <w:p>
            <w:pPr>
              <w:jc w:val="center"/>
            </w:pPr>
            <w:r/>
            <w:r>
              <w:rPr>
                <w:rFonts w:ascii="Times New Roman" w:hAnsi="Times New Roman"/>
                <w:sz w:val="20"/>
              </w:rPr>
              <w:t>Boycotting (%)</w:t>
            </w:r>
          </w:p>
        </w:tc>
        <w:tc>
          <w:tcPr>
            <w:tcW w:type="dxa" w:w="1337"/>
          </w:tcPr>
          <w:p>
            <w:pPr>
              <w:jc w:val="center"/>
            </w:pPr>
            <w:r/>
            <w:r>
              <w:rPr>
                <w:rFonts w:ascii="Times New Roman" w:hAnsi="Times New Roman"/>
                <w:sz w:val="20"/>
              </w:rPr>
              <w:t>6.5</w:t>
            </w:r>
          </w:p>
        </w:tc>
        <w:tc>
          <w:tcPr>
            <w:tcW w:type="dxa" w:w="1337"/>
          </w:tcPr>
          <w:p>
            <w:pPr>
              <w:jc w:val="center"/>
            </w:pPr>
            <w:r/>
            <w:r>
              <w:rPr>
                <w:rFonts w:ascii="Times New Roman" w:hAnsi="Times New Roman"/>
                <w:sz w:val="20"/>
              </w:rPr>
              <w:t>9.8</w:t>
            </w:r>
          </w:p>
        </w:tc>
        <w:tc>
          <w:tcPr>
            <w:tcW w:type="dxa" w:w="1337"/>
          </w:tcPr>
          <w:p>
            <w:pPr>
              <w:jc w:val="center"/>
            </w:pPr>
            <w:r/>
            <w:r>
              <w:rPr>
                <w:rFonts w:ascii="Times New Roman" w:hAnsi="Times New Roman"/>
                <w:sz w:val="20"/>
              </w:rPr>
              <w:t>12.0</w:t>
            </w:r>
          </w:p>
        </w:tc>
        <w:tc>
          <w:tcPr>
            <w:tcW w:type="dxa" w:w="1337"/>
          </w:tcPr>
          <w:p>
            <w:pPr>
              <w:jc w:val="center"/>
            </w:pPr>
            <w:r/>
            <w:r>
              <w:rPr>
                <w:rFonts w:ascii="Times New Roman" w:hAnsi="Times New Roman"/>
                <w:sz w:val="20"/>
              </w:rPr>
              <w:t>14.8</w:t>
            </w:r>
          </w:p>
        </w:tc>
        <w:tc>
          <w:tcPr>
            <w:tcW w:type="dxa" w:w="1337"/>
          </w:tcPr>
          <w:p>
            <w:pPr>
              <w:jc w:val="center"/>
            </w:pPr>
            <w:r/>
            <w:r>
              <w:rPr>
                <w:rFonts w:ascii="Times New Roman" w:hAnsi="Times New Roman"/>
                <w:sz w:val="20"/>
              </w:rPr>
              <w:t>Steady doubling (×2.3)</w:t>
            </w:r>
          </w:p>
        </w:tc>
      </w:tr>
      <w:tr>
        <w:tc>
          <w:tcPr>
            <w:tcW w:type="dxa" w:w="1337"/>
          </w:tcPr>
          <w:p>
            <w:pPr>
              <w:jc w:val="center"/>
            </w:pPr>
            <w:r/>
            <w:r>
              <w:rPr>
                <w:rFonts w:ascii="Times New Roman" w:hAnsi="Times New Roman"/>
                <w:sz w:val="20"/>
              </w:rPr>
            </w:r>
          </w:p>
        </w:tc>
        <w:tc>
          <w:tcPr>
            <w:tcW w:type="dxa" w:w="1337"/>
          </w:tcPr>
          <w:p>
            <w:pPr>
              <w:jc w:val="center"/>
            </w:pPr>
            <w:r/>
            <w:r>
              <w:rPr>
                <w:rFonts w:ascii="Times New Roman" w:hAnsi="Times New Roman"/>
                <w:sz w:val="20"/>
              </w:rPr>
              <w:t>Disengaged (%)</w:t>
            </w:r>
          </w:p>
        </w:tc>
        <w:tc>
          <w:tcPr>
            <w:tcW w:type="dxa" w:w="1337"/>
          </w:tcPr>
          <w:p>
            <w:pPr>
              <w:jc w:val="center"/>
            </w:pPr>
            <w:r/>
            <w:r>
              <w:rPr>
                <w:rFonts w:ascii="Times New Roman" w:hAnsi="Times New Roman"/>
                <w:sz w:val="20"/>
              </w:rPr>
              <w:t>62.7</w:t>
            </w:r>
          </w:p>
        </w:tc>
        <w:tc>
          <w:tcPr>
            <w:tcW w:type="dxa" w:w="1337"/>
          </w:tcPr>
          <w:p>
            <w:pPr>
              <w:jc w:val="center"/>
            </w:pPr>
            <w:r/>
            <w:r>
              <w:rPr>
                <w:rFonts w:ascii="Times New Roman" w:hAnsi="Times New Roman"/>
                <w:sz w:val="20"/>
              </w:rPr>
              <w:t>57.9</w:t>
            </w:r>
          </w:p>
        </w:tc>
        <w:tc>
          <w:tcPr>
            <w:tcW w:type="dxa" w:w="1337"/>
          </w:tcPr>
          <w:p>
            <w:pPr>
              <w:jc w:val="center"/>
            </w:pPr>
            <w:r/>
            <w:r>
              <w:rPr>
                <w:rFonts w:ascii="Times New Roman" w:hAnsi="Times New Roman"/>
                <w:sz w:val="20"/>
              </w:rPr>
              <w:t>61.1</w:t>
            </w:r>
          </w:p>
        </w:tc>
        <w:tc>
          <w:tcPr>
            <w:tcW w:type="dxa" w:w="1337"/>
          </w:tcPr>
          <w:p>
            <w:pPr>
              <w:jc w:val="center"/>
            </w:pPr>
            <w:r/>
            <w:r>
              <w:rPr>
                <w:rFonts w:ascii="Times New Roman" w:hAnsi="Times New Roman"/>
                <w:sz w:val="20"/>
              </w:rPr>
              <w:t>55.5</w:t>
            </w:r>
          </w:p>
        </w:tc>
        <w:tc>
          <w:tcPr>
            <w:tcW w:type="dxa" w:w="1337"/>
          </w:tcPr>
          <w:p>
            <w:pPr>
              <w:jc w:val="center"/>
            </w:pPr>
            <w:r/>
            <w:r>
              <w:rPr>
                <w:rFonts w:ascii="Times New Roman" w:hAnsi="Times New Roman"/>
                <w:sz w:val="20"/>
              </w:rPr>
              <w:t>Slow improvement via boycotting</w:t>
            </w:r>
          </w:p>
        </w:tc>
      </w:tr>
      <w:tr>
        <w:tc>
          <w:tcPr>
            <w:tcW w:type="dxa" w:w="1337"/>
          </w:tcPr>
          <w:p>
            <w:pPr>
              <w:jc w:val="center"/>
            </w:pPr>
            <w:r/>
            <w:r>
              <w:rPr>
                <w:rFonts w:ascii="Times New Roman" w:hAnsi="Times New Roman"/>
                <w:sz w:val="20"/>
              </w:rPr>
              <w:t>Millennial</w:t>
            </w:r>
          </w:p>
        </w:tc>
        <w:tc>
          <w:tcPr>
            <w:tcW w:type="dxa" w:w="1337"/>
          </w:tcPr>
          <w:p>
            <w:pPr>
              <w:jc w:val="center"/>
            </w:pPr>
            <w:r/>
            <w:r>
              <w:rPr>
                <w:rFonts w:ascii="Times New Roman" w:hAnsi="Times New Roman"/>
                <w:sz w:val="20"/>
              </w:rPr>
              <w:t>Disengaged (%)</w:t>
            </w:r>
          </w:p>
        </w:tc>
        <w:tc>
          <w:tcPr>
            <w:tcW w:type="dxa" w:w="1337"/>
          </w:tcPr>
          <w:p>
            <w:pPr>
              <w:jc w:val="center"/>
            </w:pPr>
            <w:r/>
            <w:r>
              <w:rPr>
                <w:rFonts w:ascii="Times New Roman" w:hAnsi="Times New Roman"/>
                <w:sz w:val="20"/>
              </w:rPr>
              <w:t>42.7</w:t>
            </w:r>
          </w:p>
        </w:tc>
        <w:tc>
          <w:tcPr>
            <w:tcW w:type="dxa" w:w="1337"/>
          </w:tcPr>
          <w:p>
            <w:pPr>
              <w:jc w:val="center"/>
            </w:pPr>
            <w:r/>
            <w:r>
              <w:rPr>
                <w:rFonts w:ascii="Times New Roman" w:hAnsi="Times New Roman"/>
                <w:sz w:val="20"/>
              </w:rPr>
              <w:t>40.7</w:t>
            </w:r>
          </w:p>
        </w:tc>
        <w:tc>
          <w:tcPr>
            <w:tcW w:type="dxa" w:w="1337"/>
          </w:tcPr>
          <w:p>
            <w:pPr>
              <w:jc w:val="center"/>
            </w:pPr>
            <w:r/>
            <w:r>
              <w:rPr>
                <w:rFonts w:ascii="Times New Roman" w:hAnsi="Times New Roman"/>
                <w:sz w:val="20"/>
              </w:rPr>
              <w:t>40.0</w:t>
            </w:r>
          </w:p>
        </w:tc>
        <w:tc>
          <w:tcPr>
            <w:tcW w:type="dxa" w:w="1337"/>
          </w:tcPr>
          <w:p>
            <w:pPr>
              <w:jc w:val="center"/>
            </w:pPr>
            <w:r/>
            <w:r>
              <w:rPr>
                <w:rFonts w:ascii="Times New Roman" w:hAnsi="Times New Roman"/>
                <w:sz w:val="20"/>
              </w:rPr>
              <w:t>38.0</w:t>
            </w:r>
          </w:p>
        </w:tc>
        <w:tc>
          <w:tcPr>
            <w:tcW w:type="dxa" w:w="1337"/>
          </w:tcPr>
          <w:p>
            <w:pPr>
              <w:jc w:val="center"/>
            </w:pPr>
            <w:r/>
            <w:r>
              <w:rPr>
                <w:rFonts w:ascii="Times New Roman" w:hAnsi="Times New Roman"/>
                <w:sz w:val="20"/>
              </w:rPr>
              <w:t>Continuous decline</w:t>
            </w:r>
          </w:p>
        </w:tc>
      </w:tr>
      <w:tr>
        <w:tc>
          <w:tcPr>
            <w:tcW w:type="dxa" w:w="1337"/>
          </w:tcPr>
          <w:p>
            <w:pPr>
              <w:jc w:val="center"/>
            </w:pPr>
            <w:r/>
            <w:r>
              <w:rPr>
                <w:rFonts w:ascii="Times New Roman" w:hAnsi="Times New Roman"/>
                <w:sz w:val="20"/>
              </w:rPr>
            </w:r>
          </w:p>
        </w:tc>
        <w:tc>
          <w:tcPr>
            <w:tcW w:type="dxa" w:w="1337"/>
          </w:tcPr>
          <w:p>
            <w:pPr>
              <w:jc w:val="center"/>
            </w:pPr>
            <w:r/>
            <w:r>
              <w:rPr>
                <w:rFonts w:ascii="Times New Roman" w:hAnsi="Times New Roman"/>
                <w:sz w:val="20"/>
              </w:rPr>
              <w:t>Active 3+ (%)</w:t>
            </w:r>
          </w:p>
        </w:tc>
        <w:tc>
          <w:tcPr>
            <w:tcW w:type="dxa" w:w="1337"/>
          </w:tcPr>
          <w:p>
            <w:pPr>
              <w:jc w:val="center"/>
            </w:pPr>
            <w:r/>
            <w:r>
              <w:rPr>
                <w:rFonts w:ascii="Times New Roman" w:hAnsi="Times New Roman"/>
                <w:sz w:val="20"/>
              </w:rPr>
              <w:t>10.6</w:t>
            </w:r>
          </w:p>
        </w:tc>
        <w:tc>
          <w:tcPr>
            <w:tcW w:type="dxa" w:w="1337"/>
          </w:tcPr>
          <w:p>
            <w:pPr>
              <w:jc w:val="center"/>
            </w:pPr>
            <w:r/>
            <w:r>
              <w:rPr>
                <w:rFonts w:ascii="Times New Roman" w:hAnsi="Times New Roman"/>
                <w:sz w:val="20"/>
              </w:rPr>
              <w:t>11.6</w:t>
            </w:r>
          </w:p>
        </w:tc>
        <w:tc>
          <w:tcPr>
            <w:tcW w:type="dxa" w:w="1337"/>
          </w:tcPr>
          <w:p>
            <w:pPr>
              <w:jc w:val="center"/>
            </w:pPr>
            <w:r/>
            <w:r>
              <w:rPr>
                <w:rFonts w:ascii="Times New Roman" w:hAnsi="Times New Roman"/>
                <w:sz w:val="20"/>
              </w:rPr>
              <w:t>12.4</w:t>
            </w:r>
          </w:p>
        </w:tc>
        <w:tc>
          <w:tcPr>
            <w:tcW w:type="dxa" w:w="1337"/>
          </w:tcPr>
          <w:p>
            <w:pPr>
              <w:jc w:val="center"/>
            </w:pPr>
            <w:r/>
            <w:r>
              <w:rPr>
                <w:rFonts w:ascii="Times New Roman" w:hAnsi="Times New Roman"/>
                <w:sz w:val="20"/>
              </w:rPr>
              <w:t>13.1</w:t>
            </w:r>
          </w:p>
        </w:tc>
        <w:tc>
          <w:tcPr>
            <w:tcW w:type="dxa" w:w="1337"/>
          </w:tcPr>
          <w:p>
            <w:pPr>
              <w:jc w:val="center"/>
            </w:pPr>
            <w:r/>
            <w:r>
              <w:rPr>
                <w:rFonts w:ascii="Times New Roman" w:hAnsi="Times New Roman"/>
                <w:sz w:val="20"/>
              </w:rPr>
              <w:t>Continuous growth</w:t>
            </w:r>
          </w:p>
        </w:tc>
      </w:tr>
      <w:tr>
        <w:tc>
          <w:tcPr>
            <w:tcW w:type="dxa" w:w="1337"/>
          </w:tcPr>
          <w:p>
            <w:pPr>
              <w:jc w:val="center"/>
            </w:pPr>
            <w:r/>
            <w:r>
              <w:rPr>
                <w:rFonts w:ascii="Times New Roman" w:hAnsi="Times New Roman"/>
                <w:sz w:val="20"/>
              </w:rPr>
              <w:t>Boomer</w:t>
            </w:r>
          </w:p>
        </w:tc>
        <w:tc>
          <w:tcPr>
            <w:tcW w:type="dxa" w:w="1337"/>
          </w:tcPr>
          <w:p>
            <w:pPr>
              <w:jc w:val="center"/>
            </w:pPr>
            <w:r/>
            <w:r>
              <w:rPr>
                <w:rFonts w:ascii="Times New Roman" w:hAnsi="Times New Roman"/>
                <w:sz w:val="20"/>
              </w:rPr>
              <w:t>Volunteering (%)</w:t>
            </w:r>
          </w:p>
        </w:tc>
        <w:tc>
          <w:tcPr>
            <w:tcW w:type="dxa" w:w="1337"/>
          </w:tcPr>
          <w:p>
            <w:pPr>
              <w:jc w:val="center"/>
            </w:pPr>
            <w:r/>
            <w:r>
              <w:rPr>
                <w:rFonts w:ascii="Times New Roman" w:hAnsi="Times New Roman"/>
                <w:sz w:val="20"/>
              </w:rPr>
              <w:t>34.0</w:t>
            </w:r>
          </w:p>
        </w:tc>
        <w:tc>
          <w:tcPr>
            <w:tcW w:type="dxa" w:w="1337"/>
          </w:tcPr>
          <w:p>
            <w:pPr>
              <w:jc w:val="center"/>
            </w:pPr>
            <w:r/>
            <w:r>
              <w:rPr>
                <w:rFonts w:ascii="Times New Roman" w:hAnsi="Times New Roman"/>
                <w:sz w:val="20"/>
              </w:rPr>
              <w:t>34.2</w:t>
            </w:r>
          </w:p>
        </w:tc>
        <w:tc>
          <w:tcPr>
            <w:tcW w:type="dxa" w:w="1337"/>
          </w:tcPr>
          <w:p>
            <w:pPr>
              <w:jc w:val="center"/>
            </w:pPr>
            <w:r/>
            <w:r>
              <w:rPr>
                <w:rFonts w:ascii="Times New Roman" w:hAnsi="Times New Roman"/>
                <w:sz w:val="20"/>
              </w:rPr>
              <w:t>28.4</w:t>
            </w:r>
          </w:p>
        </w:tc>
        <w:tc>
          <w:tcPr>
            <w:tcW w:type="dxa" w:w="1337"/>
          </w:tcPr>
          <w:p>
            <w:pPr>
              <w:jc w:val="center"/>
            </w:pPr>
            <w:r/>
            <w:r>
              <w:rPr>
                <w:rFonts w:ascii="Times New Roman" w:hAnsi="Times New Roman"/>
                <w:sz w:val="20"/>
              </w:rPr>
              <w:t>31.7</w:t>
            </w:r>
          </w:p>
        </w:tc>
        <w:tc>
          <w:tcPr>
            <w:tcW w:type="dxa" w:w="1337"/>
          </w:tcPr>
          <w:p>
            <w:pPr>
              <w:jc w:val="center"/>
            </w:pPr>
            <w:r/>
            <w:r>
              <w:rPr>
                <w:rFonts w:ascii="Times New Roman" w:hAnsi="Times New Roman"/>
                <w:sz w:val="20"/>
              </w:rPr>
              <w:t>V-shaped recovery</w:t>
            </w:r>
          </w:p>
        </w:tc>
      </w:tr>
    </w:tbl>
    <w:p/>
    <w:p>
      <w:pPr>
        <w:spacing w:line="360" w:lineRule="auto"/>
      </w:pPr>
      <w:r>
        <w:rPr>
          <w:rFonts w:ascii="Times New Roman" w:hAnsi="Times New Roman"/>
          <w:i/>
          <w:sz w:val="18"/>
        </w:rPr>
        <w:t>Table 7. Civic engagement trajectories by generation across four CPS-CEV waves. "Isolated" = socializes never or a few times/year. "Disengaged" = zero of four formal civic activities.</w:t>
      </w:r>
    </w:p>
    <w:p>
      <w:pPr>
        <w:spacing w:line="480" w:lineRule="auto" w:after="0"/>
        <w:ind w:firstLine="720"/>
      </w:pPr>
      <w:r>
        <w:rPr>
          <w:rFonts w:ascii="Times New Roman" w:hAnsi="Times New Roman"/>
          <w:b w:val="0"/>
          <w:i w:val="0"/>
          <w:sz w:val="24"/>
        </w:rPr>
        <w:t>Three distinct generational responses to the pandemic emerge:</w:t>
      </w:r>
    </w:p>
    <w:p>
      <w:pPr>
        <w:spacing w:line="480" w:lineRule="auto" w:after="0"/>
        <w:ind w:firstLine="720"/>
      </w:pPr>
      <w:r>
        <w:rPr>
          <w:rFonts w:ascii="Times New Roman" w:hAnsi="Times New Roman"/>
          <w:b/>
          <w:i w:val="0"/>
          <w:sz w:val="24"/>
        </w:rPr>
        <w:t xml:space="preserve">Gen Z: Deepening isolation with civic substitution. </w:t>
      </w:r>
      <w:r>
        <w:rPr>
          <w:rFonts w:ascii="Times New Roman" w:hAnsi="Times New Roman"/>
          <w:b w:val="0"/>
          <w:i w:val="0"/>
          <w:sz w:val="24"/>
        </w:rPr>
        <w:t>Social isolation peaked during COVID (62.6% in 2021) but was already at 57.0% in 2017. Formal civic disengagement actually improved slightly by 2023 (55.5%), but only because boycotting doubled from 6.5% to 14.8% — not because volunteering or organizational participation recovered. This pattern exemplifies Bennett and Segerberg's (2012) shift from collective to connective action.</w:t>
      </w:r>
    </w:p>
    <w:p>
      <w:pPr>
        <w:spacing w:line="480" w:lineRule="auto" w:after="0"/>
        <w:ind w:firstLine="720"/>
      </w:pPr>
      <w:r>
        <w:rPr>
          <w:rFonts w:ascii="Times New Roman" w:hAnsi="Times New Roman"/>
          <w:b/>
          <w:i w:val="0"/>
          <w:sz w:val="24"/>
        </w:rPr>
        <w:t xml:space="preserve">Millennials: Steady civic maturation. </w:t>
      </w:r>
      <w:r>
        <w:rPr>
          <w:rFonts w:ascii="Times New Roman" w:hAnsi="Times New Roman"/>
          <w:b w:val="0"/>
          <w:i w:val="0"/>
          <w:sz w:val="24"/>
        </w:rPr>
        <w:t>The only generation showing continuous decline in disengagement and continuous growth in multi-domain civic activity across all four waves, even through the pandemic. This likely reflects life-course effects (entering peak parenting and career years) combined with political activation around social justice movements of 2020.</w:t>
      </w:r>
    </w:p>
    <w:p>
      <w:pPr>
        <w:spacing w:line="480" w:lineRule="auto" w:after="0"/>
        <w:ind w:firstLine="720"/>
      </w:pPr>
      <w:r>
        <w:rPr>
          <w:rFonts w:ascii="Times New Roman" w:hAnsi="Times New Roman"/>
          <w:b/>
          <w:i w:val="0"/>
          <w:sz w:val="24"/>
        </w:rPr>
        <w:t xml:space="preserve">Boomers: V-shaped recovery. </w:t>
      </w:r>
      <w:r>
        <w:rPr>
          <w:rFonts w:ascii="Times New Roman" w:hAnsi="Times New Roman"/>
          <w:b w:val="0"/>
          <w:i w:val="0"/>
          <w:sz w:val="24"/>
        </w:rPr>
        <w:t>Volunteering dropped sharply during COVID (34.2% → 28.4%) but substantially recovered by 2023 (31.7%). Donation rates remained stable, and boycotting grew modestly. The Boomer civic infrastructure proved resilient — consistent with established social capital reserves that could withstand temporary disruption (Putnam, 2000).</w:t>
      </w:r>
    </w:p>
    <w:p>
      <w:pPr>
        <w:pStyle w:val="Heading3"/>
      </w:pPr>
      <w:r>
        <w:rPr>
          <w:rFonts w:ascii="Times New Roman" w:hAnsi="Times New Roman"/>
          <w:color w:val="000000"/>
        </w:rPr>
        <w:t>4.3.1 Cohort Versus Age Effects</w:t>
      </w:r>
    </w:p>
    <w:p>
      <w:pPr>
        <w:spacing w:line="480" w:lineRule="auto" w:after="0"/>
        <w:ind w:firstLine="720"/>
      </w:pPr>
      <w:r>
        <w:rPr>
          <w:rFonts w:ascii="Times New Roman" w:hAnsi="Times New Roman"/>
          <w:b w:val="0"/>
          <w:i w:val="0"/>
          <w:sz w:val="24"/>
        </w:rPr>
        <w:t>To verify that Gen Z's patterns reflect a generational shift rather than an age effect, we compared Millennials and Gen Z at the same age: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pPr>
              <w:jc w:val="center"/>
            </w:pPr>
            <w:r/>
            <w:r>
              <w:rPr>
                <w:rFonts w:ascii="Times New Roman" w:hAnsi="Times New Roman"/>
                <w:b/>
                <w:sz w:val="20"/>
              </w:rPr>
              <w:t>Comparison</w:t>
            </w:r>
          </w:p>
        </w:tc>
        <w:tc>
          <w:tcPr>
            <w:tcW w:type="dxa" w:w="1872"/>
            <w:shd w:val="clear" w:color="auto" w:fill="D9E2F3"/>
          </w:tcPr>
          <w:p>
            <w:pPr>
              <w:jc w:val="center"/>
            </w:pPr>
            <w:r/>
            <w:r>
              <w:rPr>
                <w:rFonts w:ascii="Times New Roman" w:hAnsi="Times New Roman"/>
                <w:b/>
                <w:sz w:val="20"/>
              </w:rPr>
              <w:t>Never Socialize</w:t>
            </w:r>
          </w:p>
        </w:tc>
        <w:tc>
          <w:tcPr>
            <w:tcW w:type="dxa" w:w="1872"/>
            <w:shd w:val="clear" w:color="auto" w:fill="D9E2F3"/>
          </w:tcPr>
          <w:p>
            <w:pPr>
              <w:jc w:val="center"/>
            </w:pPr>
            <w:r/>
            <w:r>
              <w:rPr>
                <w:rFonts w:ascii="Times New Roman" w:hAnsi="Times New Roman"/>
                <w:b/>
                <w:sz w:val="20"/>
              </w:rPr>
              <w:t>Volunteering</w:t>
            </w:r>
          </w:p>
        </w:tc>
        <w:tc>
          <w:tcPr>
            <w:tcW w:type="dxa" w:w="1872"/>
            <w:shd w:val="clear" w:color="auto" w:fill="D9E2F3"/>
          </w:tcPr>
          <w:p>
            <w:pPr>
              <w:jc w:val="center"/>
            </w:pPr>
            <w:r/>
            <w:r>
              <w:rPr>
                <w:rFonts w:ascii="Times New Roman" w:hAnsi="Times New Roman"/>
                <w:b/>
                <w:sz w:val="20"/>
              </w:rPr>
              <w:t>Disengaged</w:t>
            </w:r>
          </w:p>
        </w:tc>
        <w:tc>
          <w:tcPr>
            <w:tcW w:type="dxa" w:w="1872"/>
            <w:shd w:val="clear" w:color="auto" w:fill="D9E2F3"/>
          </w:tcPr>
          <w:p>
            <w:pPr>
              <w:jc w:val="center"/>
            </w:pPr>
            <w:r/>
            <w:r>
              <w:rPr>
                <w:rFonts w:ascii="Times New Roman" w:hAnsi="Times New Roman"/>
                <w:b/>
                <w:sz w:val="20"/>
              </w:rPr>
              <w:t>BA+ Rate</w:t>
            </w:r>
          </w:p>
        </w:tc>
      </w:tr>
      <w:tr>
        <w:tc>
          <w:tcPr>
            <w:tcW w:type="dxa" w:w="1872"/>
          </w:tcPr>
          <w:p>
            <w:pPr>
              <w:jc w:val="center"/>
            </w:pPr>
            <w:r/>
            <w:r>
              <w:rPr>
                <w:rFonts w:ascii="Times New Roman" w:hAnsi="Times New Roman"/>
                <w:sz w:val="20"/>
              </w:rPr>
              <w:t>Millennials aged 20–25 (2017)</w:t>
            </w:r>
          </w:p>
        </w:tc>
        <w:tc>
          <w:tcPr>
            <w:tcW w:type="dxa" w:w="1872"/>
          </w:tcPr>
          <w:p>
            <w:pPr>
              <w:jc w:val="center"/>
            </w:pPr>
            <w:r/>
            <w:r>
              <w:rPr>
                <w:rFonts w:ascii="Times New Roman" w:hAnsi="Times New Roman"/>
                <w:sz w:val="20"/>
              </w:rPr>
              <w:t>40.0%</w:t>
            </w:r>
          </w:p>
        </w:tc>
        <w:tc>
          <w:tcPr>
            <w:tcW w:type="dxa" w:w="1872"/>
          </w:tcPr>
          <w:p>
            <w:pPr>
              <w:jc w:val="center"/>
            </w:pPr>
            <w:r/>
            <w:r>
              <w:rPr>
                <w:rFonts w:ascii="Times New Roman" w:hAnsi="Times New Roman"/>
                <w:sz w:val="20"/>
              </w:rPr>
              <w:t>26.3%</w:t>
            </w:r>
          </w:p>
        </w:tc>
        <w:tc>
          <w:tcPr>
            <w:tcW w:type="dxa" w:w="1872"/>
          </w:tcPr>
          <w:p>
            <w:pPr>
              <w:jc w:val="center"/>
            </w:pPr>
            <w:r/>
            <w:r>
              <w:rPr>
                <w:rFonts w:ascii="Times New Roman" w:hAnsi="Times New Roman"/>
                <w:sz w:val="20"/>
              </w:rPr>
              <w:t>53.1%</w:t>
            </w:r>
          </w:p>
        </w:tc>
        <w:tc>
          <w:tcPr>
            <w:tcW w:type="dxa" w:w="1872"/>
          </w:tcPr>
          <w:p>
            <w:pPr>
              <w:jc w:val="center"/>
            </w:pPr>
            <w:r/>
            <w:r>
              <w:rPr>
                <w:rFonts w:ascii="Times New Roman" w:hAnsi="Times New Roman"/>
                <w:sz w:val="20"/>
              </w:rPr>
              <w:t>25.9%</w:t>
            </w:r>
          </w:p>
        </w:tc>
      </w:tr>
      <w:tr>
        <w:tc>
          <w:tcPr>
            <w:tcW w:type="dxa" w:w="1872"/>
          </w:tcPr>
          <w:p>
            <w:pPr>
              <w:jc w:val="center"/>
            </w:pPr>
            <w:r/>
            <w:r>
              <w:rPr>
                <w:rFonts w:ascii="Times New Roman" w:hAnsi="Times New Roman"/>
                <w:sz w:val="20"/>
              </w:rPr>
              <w:t>Gen Z aged 20–25 (2023)</w:t>
            </w:r>
          </w:p>
        </w:tc>
        <w:tc>
          <w:tcPr>
            <w:tcW w:type="dxa" w:w="1872"/>
          </w:tcPr>
          <w:p>
            <w:pPr>
              <w:jc w:val="center"/>
            </w:pPr>
            <w:r/>
            <w:r>
              <w:rPr>
                <w:rFonts w:ascii="Times New Roman" w:hAnsi="Times New Roman"/>
                <w:sz w:val="20"/>
              </w:rPr>
              <w:t>47.4%</w:t>
            </w:r>
          </w:p>
        </w:tc>
        <w:tc>
          <w:tcPr>
            <w:tcW w:type="dxa" w:w="1872"/>
          </w:tcPr>
          <w:p>
            <w:pPr>
              <w:jc w:val="center"/>
            </w:pPr>
            <w:r/>
            <w:r>
              <w:rPr>
                <w:rFonts w:ascii="Times New Roman" w:hAnsi="Times New Roman"/>
                <w:sz w:val="20"/>
              </w:rPr>
              <w:t>22.4%</w:t>
            </w:r>
          </w:p>
        </w:tc>
        <w:tc>
          <w:tcPr>
            <w:tcW w:type="dxa" w:w="1872"/>
          </w:tcPr>
          <w:p>
            <w:pPr>
              <w:jc w:val="center"/>
            </w:pPr>
            <w:r/>
            <w:r>
              <w:rPr>
                <w:rFonts w:ascii="Times New Roman" w:hAnsi="Times New Roman"/>
                <w:sz w:val="20"/>
              </w:rPr>
              <w:t>56.6%</w:t>
            </w:r>
          </w:p>
        </w:tc>
        <w:tc>
          <w:tcPr>
            <w:tcW w:type="dxa" w:w="1872"/>
          </w:tcPr>
          <w:p>
            <w:pPr>
              <w:jc w:val="center"/>
            </w:pPr>
            <w:r/>
            <w:r>
              <w:rPr>
                <w:rFonts w:ascii="Times New Roman" w:hAnsi="Times New Roman"/>
                <w:sz w:val="20"/>
              </w:rPr>
              <w:t>25.9%</w:t>
            </w:r>
          </w:p>
        </w:tc>
      </w:tr>
      <w:tr>
        <w:tc>
          <w:tcPr>
            <w:tcW w:type="dxa" w:w="1872"/>
          </w:tcPr>
          <w:p>
            <w:pPr>
              <w:jc w:val="center"/>
            </w:pPr>
            <w:r/>
            <w:r>
              <w:rPr>
                <w:rFonts w:ascii="Times New Roman" w:hAnsi="Times New Roman"/>
                <w:sz w:val="20"/>
              </w:rPr>
              <w:t>Difference</w:t>
            </w:r>
          </w:p>
        </w:tc>
        <w:tc>
          <w:tcPr>
            <w:tcW w:type="dxa" w:w="1872"/>
          </w:tcPr>
          <w:p>
            <w:pPr>
              <w:jc w:val="center"/>
            </w:pPr>
            <w:r/>
            <w:r>
              <w:rPr>
                <w:rFonts w:ascii="Times New Roman" w:hAnsi="Times New Roman"/>
                <w:sz w:val="20"/>
              </w:rPr>
              <w:t>+7.4pp</w:t>
            </w:r>
          </w:p>
        </w:tc>
        <w:tc>
          <w:tcPr>
            <w:tcW w:type="dxa" w:w="1872"/>
          </w:tcPr>
          <w:p>
            <w:pPr>
              <w:jc w:val="center"/>
            </w:pPr>
            <w:r/>
            <w:r>
              <w:rPr>
                <w:rFonts w:ascii="Times New Roman" w:hAnsi="Times New Roman"/>
                <w:sz w:val="20"/>
              </w:rPr>
              <w:t>−3.9pp</w:t>
            </w:r>
          </w:p>
        </w:tc>
        <w:tc>
          <w:tcPr>
            <w:tcW w:type="dxa" w:w="1872"/>
          </w:tcPr>
          <w:p>
            <w:pPr>
              <w:jc w:val="center"/>
            </w:pPr>
            <w:r/>
            <w:r>
              <w:rPr>
                <w:rFonts w:ascii="Times New Roman" w:hAnsi="Times New Roman"/>
                <w:sz w:val="20"/>
              </w:rPr>
              <w:t>+3.5pp</w:t>
            </w:r>
          </w:p>
        </w:tc>
        <w:tc>
          <w:tcPr>
            <w:tcW w:type="dxa" w:w="1872"/>
          </w:tcPr>
          <w:p>
            <w:pPr>
              <w:jc w:val="center"/>
            </w:pPr>
            <w:r/>
            <w:r>
              <w:rPr>
                <w:rFonts w:ascii="Times New Roman" w:hAnsi="Times New Roman"/>
                <w:sz w:val="20"/>
              </w:rPr>
              <w:t>0.0pp</w:t>
            </w:r>
          </w:p>
        </w:tc>
      </w:tr>
    </w:tbl>
    <w:p/>
    <w:p>
      <w:pPr>
        <w:spacing w:line="360" w:lineRule="auto"/>
      </w:pPr>
      <w:r>
        <w:rPr>
          <w:rFonts w:ascii="Times New Roman" w:hAnsi="Times New Roman"/>
          <w:i/>
          <w:sz w:val="18"/>
        </w:rPr>
        <w:t>Table 8. Cohort comparison at identical age (20–25) with identical educational composition.</w:t>
      </w:r>
    </w:p>
    <w:p>
      <w:pPr>
        <w:spacing w:line="480" w:lineRule="auto" w:after="0"/>
        <w:ind w:firstLine="720"/>
      </w:pPr>
      <w:r>
        <w:rPr>
          <w:rFonts w:ascii="Times New Roman" w:hAnsi="Times New Roman"/>
          <w:b w:val="0"/>
          <w:i w:val="0"/>
          <w:sz w:val="24"/>
        </w:rPr>
        <w:t>At the same age and with identical educational attainment, Gen Z is 7.4 percentage points more socially isolated and 3.5 points more civically disengaged than Millennials were at the same life stage. This confirms a cohort effect independent of age.</w:t>
      </w:r>
    </w:p>
    <w:p>
      <w:pPr>
        <w:pStyle w:val="Heading2"/>
      </w:pPr>
      <w:r>
        <w:rPr>
          <w:rFonts w:ascii="Times New Roman" w:hAnsi="Times New Roman"/>
          <w:color w:val="000000"/>
        </w:rPr>
        <w:t>4.4 RQ4: The Digital Native Paradox</w:t>
      </w:r>
    </w:p>
    <w:p>
      <w:pPr>
        <w:spacing w:line="480" w:lineRule="auto" w:after="0"/>
        <w:ind w:firstLine="720"/>
      </w:pPr>
      <w:r>
        <w:rPr>
          <w:rFonts w:ascii="Times New Roman" w:hAnsi="Times New Roman"/>
          <w:b w:val="0"/>
          <w:i w:val="0"/>
          <w:sz w:val="24"/>
        </w:rPr>
        <w:t>The CPS-CEV includes a measure of civic social media use (VLSOCMEDIA), enabling a direct test of whether digital connectivity compensates for in-person social isolation: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jc w:val="center"/>
            </w:pPr>
            <w:r/>
            <w:r>
              <w:rPr>
                <w:rFonts w:ascii="Times New Roman" w:hAnsi="Times New Roman"/>
                <w:b/>
                <w:sz w:val="20"/>
              </w:rPr>
              <w:t>Generation</w:t>
            </w:r>
          </w:p>
        </w:tc>
        <w:tc>
          <w:tcPr>
            <w:tcW w:type="dxa" w:w="2340"/>
            <w:shd w:val="clear" w:color="auto" w:fill="D9E2F3"/>
          </w:tcPr>
          <w:p>
            <w:pPr>
              <w:jc w:val="center"/>
            </w:pPr>
            <w:r/>
            <w:r>
              <w:rPr>
                <w:rFonts w:ascii="Times New Roman" w:hAnsi="Times New Roman"/>
                <w:b/>
                <w:sz w:val="20"/>
              </w:rPr>
              <w:t>Isolated + SM</w:t>
            </w:r>
          </w:p>
        </w:tc>
        <w:tc>
          <w:tcPr>
            <w:tcW w:type="dxa" w:w="2340"/>
            <w:shd w:val="clear" w:color="auto" w:fill="D9E2F3"/>
          </w:tcPr>
          <w:p>
            <w:pPr>
              <w:jc w:val="center"/>
            </w:pPr>
            <w:r/>
            <w:r>
              <w:rPr>
                <w:rFonts w:ascii="Times New Roman" w:hAnsi="Times New Roman"/>
                <w:b/>
                <w:sz w:val="20"/>
              </w:rPr>
              <w:t>Isolated + No SM</w:t>
            </w:r>
          </w:p>
        </w:tc>
        <w:tc>
          <w:tcPr>
            <w:tcW w:type="dxa" w:w="2340"/>
            <w:shd w:val="clear" w:color="auto" w:fill="D9E2F3"/>
          </w:tcPr>
          <w:p>
            <w:pPr>
              <w:jc w:val="center"/>
            </w:pPr>
            <w:r/>
            <w:r>
              <w:rPr>
                <w:rFonts w:ascii="Times New Roman" w:hAnsi="Times New Roman"/>
                <w:b/>
                <w:sz w:val="20"/>
              </w:rPr>
              <w:t>Compensation</w:t>
            </w:r>
          </w:p>
        </w:tc>
      </w:tr>
      <w:tr>
        <w:tc>
          <w:tcPr>
            <w:tcW w:type="dxa" w:w="2340"/>
          </w:tcPr>
          <w:p>
            <w:pPr>
              <w:jc w:val="center"/>
            </w:pPr>
            <w:r/>
            <w:r>
              <w:rPr>
                <w:rFonts w:ascii="Times New Roman" w:hAnsi="Times New Roman"/>
                <w:sz w:val="20"/>
              </w:rPr>
              <w:t>Gen Z</w:t>
            </w:r>
          </w:p>
        </w:tc>
        <w:tc>
          <w:tcPr>
            <w:tcW w:type="dxa" w:w="2340"/>
          </w:tcPr>
          <w:p>
            <w:pPr>
              <w:jc w:val="center"/>
            </w:pPr>
            <w:r/>
            <w:r>
              <w:rPr>
                <w:rFonts w:ascii="Times New Roman" w:hAnsi="Times New Roman"/>
                <w:sz w:val="20"/>
              </w:rPr>
              <w:t>22.6%</w:t>
            </w:r>
          </w:p>
        </w:tc>
        <w:tc>
          <w:tcPr>
            <w:tcW w:type="dxa" w:w="2340"/>
          </w:tcPr>
          <w:p>
            <w:pPr>
              <w:jc w:val="center"/>
            </w:pPr>
            <w:r/>
            <w:r>
              <w:rPr>
                <w:rFonts w:ascii="Times New Roman" w:hAnsi="Times New Roman"/>
                <w:sz w:val="20"/>
              </w:rPr>
              <w:t>17.0%</w:t>
            </w:r>
          </w:p>
        </w:tc>
        <w:tc>
          <w:tcPr>
            <w:tcW w:type="dxa" w:w="2340"/>
          </w:tcPr>
          <w:p>
            <w:pPr>
              <w:jc w:val="center"/>
            </w:pPr>
            <w:r/>
            <w:r>
              <w:rPr>
                <w:rFonts w:ascii="Times New Roman" w:hAnsi="Times New Roman"/>
                <w:sz w:val="20"/>
              </w:rPr>
              <w:t>+5.5pp</w:t>
            </w:r>
          </w:p>
        </w:tc>
      </w:tr>
      <w:tr>
        <w:tc>
          <w:tcPr>
            <w:tcW w:type="dxa" w:w="2340"/>
          </w:tcPr>
          <w:p>
            <w:pPr>
              <w:jc w:val="center"/>
            </w:pPr>
            <w:r/>
            <w:r>
              <w:rPr>
                <w:rFonts w:ascii="Times New Roman" w:hAnsi="Times New Roman"/>
                <w:sz w:val="20"/>
              </w:rPr>
              <w:t>Millennial</w:t>
            </w:r>
          </w:p>
        </w:tc>
        <w:tc>
          <w:tcPr>
            <w:tcW w:type="dxa" w:w="2340"/>
          </w:tcPr>
          <w:p>
            <w:pPr>
              <w:jc w:val="center"/>
            </w:pPr>
            <w:r/>
            <w:r>
              <w:rPr>
                <w:rFonts w:ascii="Times New Roman" w:hAnsi="Times New Roman"/>
                <w:sz w:val="20"/>
              </w:rPr>
              <w:t>28.6%</w:t>
            </w:r>
          </w:p>
        </w:tc>
        <w:tc>
          <w:tcPr>
            <w:tcW w:type="dxa" w:w="2340"/>
          </w:tcPr>
          <w:p>
            <w:pPr>
              <w:jc w:val="center"/>
            </w:pPr>
            <w:r/>
            <w:r>
              <w:rPr>
                <w:rFonts w:ascii="Times New Roman" w:hAnsi="Times New Roman"/>
                <w:sz w:val="20"/>
              </w:rPr>
              <w:t>21.5%</w:t>
            </w:r>
          </w:p>
        </w:tc>
        <w:tc>
          <w:tcPr>
            <w:tcW w:type="dxa" w:w="2340"/>
          </w:tcPr>
          <w:p>
            <w:pPr>
              <w:jc w:val="center"/>
            </w:pPr>
            <w:r/>
            <w:r>
              <w:rPr>
                <w:rFonts w:ascii="Times New Roman" w:hAnsi="Times New Roman"/>
                <w:sz w:val="20"/>
              </w:rPr>
              <w:t>+7.1pp</w:t>
            </w:r>
          </w:p>
        </w:tc>
      </w:tr>
      <w:tr>
        <w:tc>
          <w:tcPr>
            <w:tcW w:type="dxa" w:w="2340"/>
          </w:tcPr>
          <w:p>
            <w:pPr>
              <w:jc w:val="center"/>
            </w:pPr>
            <w:r/>
            <w:r>
              <w:rPr>
                <w:rFonts w:ascii="Times New Roman" w:hAnsi="Times New Roman"/>
                <w:sz w:val="20"/>
              </w:rPr>
              <w:t>Gen X</w:t>
            </w:r>
          </w:p>
        </w:tc>
        <w:tc>
          <w:tcPr>
            <w:tcW w:type="dxa" w:w="2340"/>
          </w:tcPr>
          <w:p>
            <w:pPr>
              <w:jc w:val="center"/>
            </w:pPr>
            <w:r/>
            <w:r>
              <w:rPr>
                <w:rFonts w:ascii="Times New Roman" w:hAnsi="Times New Roman"/>
                <w:sz w:val="20"/>
              </w:rPr>
              <w:t>29.5%</w:t>
            </w:r>
          </w:p>
        </w:tc>
        <w:tc>
          <w:tcPr>
            <w:tcW w:type="dxa" w:w="2340"/>
          </w:tcPr>
          <w:p>
            <w:pPr>
              <w:jc w:val="center"/>
            </w:pPr>
            <w:r/>
            <w:r>
              <w:rPr>
                <w:rFonts w:ascii="Times New Roman" w:hAnsi="Times New Roman"/>
                <w:sz w:val="20"/>
              </w:rPr>
              <w:t>22.7%</w:t>
            </w:r>
          </w:p>
        </w:tc>
        <w:tc>
          <w:tcPr>
            <w:tcW w:type="dxa" w:w="2340"/>
          </w:tcPr>
          <w:p>
            <w:pPr>
              <w:jc w:val="center"/>
            </w:pPr>
            <w:r/>
            <w:r>
              <w:rPr>
                <w:rFonts w:ascii="Times New Roman" w:hAnsi="Times New Roman"/>
                <w:sz w:val="20"/>
              </w:rPr>
              <w:t>+6.8pp</w:t>
            </w:r>
          </w:p>
        </w:tc>
      </w:tr>
      <w:tr>
        <w:tc>
          <w:tcPr>
            <w:tcW w:type="dxa" w:w="2340"/>
          </w:tcPr>
          <w:p>
            <w:pPr>
              <w:jc w:val="center"/>
            </w:pPr>
            <w:r/>
            <w:r>
              <w:rPr>
                <w:rFonts w:ascii="Times New Roman" w:hAnsi="Times New Roman"/>
                <w:sz w:val="20"/>
              </w:rPr>
              <w:t>Boomer</w:t>
            </w:r>
          </w:p>
        </w:tc>
        <w:tc>
          <w:tcPr>
            <w:tcW w:type="dxa" w:w="2340"/>
          </w:tcPr>
          <w:p>
            <w:pPr>
              <w:jc w:val="center"/>
            </w:pPr>
            <w:r/>
            <w:r>
              <w:rPr>
                <w:rFonts w:ascii="Times New Roman" w:hAnsi="Times New Roman"/>
                <w:sz w:val="20"/>
              </w:rPr>
              <w:t>28.3%</w:t>
            </w:r>
          </w:p>
        </w:tc>
        <w:tc>
          <w:tcPr>
            <w:tcW w:type="dxa" w:w="2340"/>
          </w:tcPr>
          <w:p>
            <w:pPr>
              <w:jc w:val="center"/>
            </w:pPr>
            <w:r/>
            <w:r>
              <w:rPr>
                <w:rFonts w:ascii="Times New Roman" w:hAnsi="Times New Roman"/>
                <w:sz w:val="20"/>
              </w:rPr>
              <w:t>17.0%</w:t>
            </w:r>
          </w:p>
        </w:tc>
        <w:tc>
          <w:tcPr>
            <w:tcW w:type="dxa" w:w="2340"/>
          </w:tcPr>
          <w:p>
            <w:pPr>
              <w:jc w:val="center"/>
            </w:pPr>
            <w:r/>
            <w:r>
              <w:rPr>
                <w:rFonts w:ascii="Times New Roman" w:hAnsi="Times New Roman"/>
                <w:sz w:val="20"/>
              </w:rPr>
              <w:t>+11.3pp</w:t>
            </w:r>
          </w:p>
        </w:tc>
      </w:tr>
      <w:tr>
        <w:tc>
          <w:tcPr>
            <w:tcW w:type="dxa" w:w="2340"/>
          </w:tcPr>
          <w:p>
            <w:pPr>
              <w:jc w:val="center"/>
            </w:pPr>
            <w:r/>
            <w:r>
              <w:rPr>
                <w:rFonts w:ascii="Times New Roman" w:hAnsi="Times New Roman"/>
                <w:sz w:val="20"/>
              </w:rPr>
              <w:t>Silent</w:t>
            </w:r>
          </w:p>
        </w:tc>
        <w:tc>
          <w:tcPr>
            <w:tcW w:type="dxa" w:w="2340"/>
          </w:tcPr>
          <w:p>
            <w:pPr>
              <w:jc w:val="center"/>
            </w:pPr>
            <w:r/>
            <w:r>
              <w:rPr>
                <w:rFonts w:ascii="Times New Roman" w:hAnsi="Times New Roman"/>
                <w:sz w:val="20"/>
              </w:rPr>
              <w:t>23.2%</w:t>
            </w:r>
          </w:p>
        </w:tc>
        <w:tc>
          <w:tcPr>
            <w:tcW w:type="dxa" w:w="2340"/>
          </w:tcPr>
          <w:p>
            <w:pPr>
              <w:jc w:val="center"/>
            </w:pPr>
            <w:r/>
            <w:r>
              <w:rPr>
                <w:rFonts w:ascii="Times New Roman" w:hAnsi="Times New Roman"/>
                <w:sz w:val="20"/>
              </w:rPr>
              <w:t>12.2%</w:t>
            </w:r>
          </w:p>
        </w:tc>
        <w:tc>
          <w:tcPr>
            <w:tcW w:type="dxa" w:w="2340"/>
          </w:tcPr>
          <w:p>
            <w:pPr>
              <w:jc w:val="center"/>
            </w:pPr>
            <w:r/>
            <w:r>
              <w:rPr>
                <w:rFonts w:ascii="Times New Roman" w:hAnsi="Times New Roman"/>
                <w:sz w:val="20"/>
              </w:rPr>
              <w:t>+10.9pp</w:t>
            </w:r>
          </w:p>
        </w:tc>
      </w:tr>
    </w:tbl>
    <w:p/>
    <w:p>
      <w:pPr>
        <w:spacing w:line="360" w:lineRule="auto"/>
      </w:pPr>
      <w:r>
        <w:rPr>
          <w:rFonts w:ascii="Times New Roman" w:hAnsi="Times New Roman"/>
          <w:i/>
          <w:sz w:val="18"/>
        </w:rPr>
        <w:t>Table 9. Volunteering rate among socially isolated individuals by civic social media use and generation. "Isolated" = socializes never or a few times/year. "SM" = uses social media for civic purposes at least a few times/month.</w:t>
      </w:r>
    </w:p>
    <w:p>
      <w:pPr>
        <w:spacing w:line="480" w:lineRule="auto" w:after="0"/>
        <w:ind w:firstLine="720"/>
      </w:pPr>
      <w:r>
        <w:rPr>
          <w:rFonts w:ascii="Times New Roman" w:hAnsi="Times New Roman"/>
          <w:b/>
          <w:i w:val="0"/>
          <w:sz w:val="24"/>
        </w:rPr>
        <w:t xml:space="preserve">The digital native generation benefits least from digital civic tools. </w:t>
      </w:r>
      <w:r>
        <w:rPr>
          <w:rFonts w:ascii="Times New Roman" w:hAnsi="Times New Roman"/>
          <w:b w:val="0"/>
          <w:i w:val="0"/>
          <w:sz w:val="24"/>
        </w:rPr>
        <w:t>Among socially isolated individuals, civic social media use is associated with an 11.3 percentage point increase in volunteering for Boomers — but only a 5.5 point increase for Gen Z. The pattern is even starker among the socially connected: social media adds 9.9 points for connected Boomers but only 1.6 points for connected Gen Z.</w:t>
      </w:r>
    </w:p>
    <w:p>
      <w:pPr>
        <w:spacing w:line="480" w:lineRule="auto" w:after="0"/>
        <w:ind w:firstLine="720"/>
      </w:pPr>
      <w:r>
        <w:rPr>
          <w:rFonts w:ascii="Times New Roman" w:hAnsi="Times New Roman"/>
          <w:b w:val="0"/>
          <w:i w:val="0"/>
          <w:sz w:val="24"/>
        </w:rPr>
        <w:t>The theoretical interpretation draws on the economics of marginal utility: for Boomers who adopted social media later in life, civic digital tools represent a genuinely novel channel for civic information, recruitment, and coordination. For Gen Z, who have never known life without social media, these tools are simply the ambient environment — present but not activating. As Twenge (2017) documented, the omnipresence of digital connectivity may paradoxically reduce its capacity to generate the focused civic mobilization that occasional, intentional use provides for older adults.</w:t>
      </w:r>
    </w:p>
    <w:p>
      <w:r>
        <w:br w:type="page"/>
      </w:r>
    </w:p>
    <w:p>
      <w:pPr>
        <w:pStyle w:val="Heading1"/>
      </w:pPr>
      <w:r>
        <w:rPr>
          <w:rFonts w:ascii="Times New Roman" w:hAnsi="Times New Roman"/>
          <w:color w:val="000000"/>
        </w:rPr>
        <w:t>5. The Integrated Narrative: Five Propositions</w:t>
      </w:r>
    </w:p>
    <w:p>
      <w:pPr>
        <w:spacing w:line="480" w:lineRule="auto" w:after="0"/>
        <w:ind w:firstLine="720"/>
      </w:pPr>
      <w:r>
        <w:rPr>
          <w:rFonts w:ascii="Times New Roman" w:hAnsi="Times New Roman"/>
          <w:b w:val="0"/>
          <w:i w:val="0"/>
          <w:sz w:val="24"/>
        </w:rPr>
        <w:t>The exploratory findings converge on five propositions that the formal analysis will test:</w:t>
      </w:r>
    </w:p>
    <w:p>
      <w:pPr>
        <w:spacing w:line="480" w:lineRule="auto" w:after="0"/>
        <w:ind w:firstLine="720"/>
      </w:pPr>
      <w:r>
        <w:rPr>
          <w:rFonts w:ascii="Times New Roman" w:hAnsi="Times New Roman"/>
          <w:b/>
          <w:i w:val="0"/>
          <w:sz w:val="24"/>
        </w:rPr>
        <w:t xml:space="preserve">Proposition 1: Social connection is the civic lifeline. </w:t>
      </w:r>
      <w:r>
        <w:rPr>
          <w:rFonts w:ascii="Times New Roman" w:hAnsi="Times New Roman"/>
          <w:b w:val="0"/>
          <w:i w:val="0"/>
          <w:sz w:val="24"/>
        </w:rPr>
        <w:t>The transition from complete social isolation to even minimal social contact ("a few times a year") produces the largest marginal increase in volunteering across all generations (+10–14pp). This "first step" represents the most efficient point of intervention for civic engagement programming.</w:t>
      </w:r>
    </w:p>
    <w:p>
      <w:pPr>
        <w:spacing w:line="480" w:lineRule="auto" w:after="0"/>
        <w:ind w:firstLine="720"/>
      </w:pPr>
      <w:r>
        <w:rPr>
          <w:rFonts w:ascii="Times New Roman" w:hAnsi="Times New Roman"/>
          <w:b/>
          <w:i w:val="0"/>
          <w:sz w:val="24"/>
        </w:rPr>
        <w:t xml:space="preserve">Proposition 2: Gen Z's civic crisis is a socialization crisis, not a values crisis. </w:t>
      </w:r>
      <w:r>
        <w:rPr>
          <w:rFonts w:ascii="Times New Roman" w:hAnsi="Times New Roman"/>
          <w:b w:val="0"/>
          <w:i w:val="0"/>
          <w:sz w:val="24"/>
        </w:rPr>
        <w:t>47% of Gen Z never socializes in person, and this was true before COVID. Education (42.1% of BA+ Gen Z never socializes) and employment (45.6% of employed Gen Z never socializes) do not resolve it. Yet the most connected Gen Z members out-volunteer the average Boomer (45.5% vs. 32.3%).</w:t>
      </w:r>
    </w:p>
    <w:p>
      <w:pPr>
        <w:spacing w:line="480" w:lineRule="auto" w:after="0"/>
        <w:ind w:firstLine="720"/>
      </w:pPr>
      <w:r>
        <w:rPr>
          <w:rFonts w:ascii="Times New Roman" w:hAnsi="Times New Roman"/>
          <w:b/>
          <w:i w:val="0"/>
          <w:sz w:val="24"/>
        </w:rPr>
        <w:t xml:space="preserve">Proposition 3: Digital connectivity compensates for social isolation — but more for Boomers than Gen Z. </w:t>
      </w:r>
      <w:r>
        <w:rPr>
          <w:rFonts w:ascii="Times New Roman" w:hAnsi="Times New Roman"/>
          <w:b w:val="0"/>
          <w:i w:val="0"/>
          <w:sz w:val="24"/>
        </w:rPr>
        <w:t>Civic social media use is associated with +11.3pp volunteering for isolated Boomers but only +5.5pp for isolated Gen Z. Digital tools function as novel civic infrastructure for digital immigrants but as ambient noise for digital natives.</w:t>
      </w:r>
    </w:p>
    <w:p>
      <w:pPr>
        <w:spacing w:line="480" w:lineRule="auto" w:after="0"/>
        <w:ind w:firstLine="720"/>
      </w:pPr>
      <w:r>
        <w:rPr>
          <w:rFonts w:ascii="Times New Roman" w:hAnsi="Times New Roman"/>
          <w:b/>
          <w:i w:val="0"/>
          <w:sz w:val="24"/>
        </w:rPr>
        <w:t xml:space="preserve">Proposition 4: Gen Z is substituting consumer activism for community engagement. </w:t>
      </w:r>
      <w:r>
        <w:rPr>
          <w:rFonts w:ascii="Times New Roman" w:hAnsi="Times New Roman"/>
          <w:b w:val="0"/>
          <w:i w:val="0"/>
          <w:sz w:val="24"/>
        </w:rPr>
        <w:t>Boycotting more than doubled among Gen Z (6.5% → 14.8%, 2017–2023) while volunteering declined. This "consumerization of civic engagement" aligns with Bennett and Segerberg's (2012) shift from collective to connective action and carries implications for the development of collective problem-solving capacity.</w:t>
      </w:r>
    </w:p>
    <w:p>
      <w:pPr>
        <w:spacing w:line="480" w:lineRule="auto" w:after="0"/>
        <w:ind w:firstLine="720"/>
      </w:pPr>
      <w:r>
        <w:rPr>
          <w:rFonts w:ascii="Times New Roman" w:hAnsi="Times New Roman"/>
          <w:b/>
          <w:i w:val="0"/>
          <w:sz w:val="24"/>
        </w:rPr>
        <w:t xml:space="preserve">Proposition 5: COVID amplified but did not create the generational fracture. </w:t>
      </w:r>
      <w:r>
        <w:rPr>
          <w:rFonts w:ascii="Times New Roman" w:hAnsi="Times New Roman"/>
          <w:b w:val="0"/>
          <w:i w:val="0"/>
          <w:sz w:val="24"/>
        </w:rPr>
        <w:t>Gen Z's social isolation rate was 57% in 2017 and peaked at 63% in 2021. The pandemic was an accelerant applied to pre-existing structural conditions, not a cause. Recovery has been partial at best.</w:t>
      </w:r>
    </w:p>
    <w:p>
      <w:r>
        <w:br w:type="page"/>
      </w:r>
    </w:p>
    <w:p>
      <w:pPr>
        <w:pStyle w:val="Heading1"/>
      </w:pPr>
      <w:r>
        <w:rPr>
          <w:rFonts w:ascii="Times New Roman" w:hAnsi="Times New Roman"/>
          <w:color w:val="000000"/>
        </w:rPr>
        <w:t>6. Significance and Implications</w:t>
      </w:r>
    </w:p>
    <w:p>
      <w:pPr>
        <w:pStyle w:val="Heading2"/>
      </w:pPr>
      <w:r>
        <w:rPr>
          <w:rFonts w:ascii="Times New Roman" w:hAnsi="Times New Roman"/>
          <w:color w:val="000000"/>
        </w:rPr>
        <w:t>6.1 For Community Development and Extension</w:t>
      </w:r>
    </w:p>
    <w:p>
      <w:pPr>
        <w:spacing w:line="480" w:lineRule="auto" w:after="0"/>
        <w:ind w:firstLine="720"/>
      </w:pPr>
      <w:r>
        <w:rPr>
          <w:rFonts w:ascii="Times New Roman" w:hAnsi="Times New Roman"/>
          <w:b w:val="0"/>
          <w:i w:val="0"/>
          <w:sz w:val="24"/>
        </w:rPr>
        <w:t>The "first step" finding has direct programmatic implications for Extension educators and community development practitioners. The data suggests that intensive civic engagement programs may be less efficient than low-threshold social programming — community meals, casual gathering spaces, intergenerational events — that move individuals from complete isolation to minimal social contact. The largest civic return comes not from activating the already-connected but from reaching the disconnected.</w:t>
      </w:r>
    </w:p>
    <w:p>
      <w:pPr>
        <w:spacing w:line="480" w:lineRule="auto" w:after="0"/>
        <w:ind w:firstLine="720"/>
      </w:pPr>
      <w:r>
        <w:rPr>
          <w:rFonts w:ascii="Times New Roman" w:hAnsi="Times New Roman"/>
          <w:b w:val="0"/>
          <w:i w:val="0"/>
          <w:sz w:val="24"/>
        </w:rPr>
        <w:t>For Gen Z specifically, the failure of education and employment to resolve social isolation suggests that traditional pathways to civic recruitment (campus organizations, workplace volunteer programs) may be insufficient. Alternative approaches — peer-based outreach, interest-driven social programming, hybrid digital-physical community spaces — may be necessary to breach Gen Z's socialization barrier.</w:t>
      </w:r>
    </w:p>
    <w:p>
      <w:pPr>
        <w:pStyle w:val="Heading2"/>
      </w:pPr>
      <w:r>
        <w:rPr>
          <w:rFonts w:ascii="Times New Roman" w:hAnsi="Times New Roman"/>
          <w:color w:val="000000"/>
        </w:rPr>
        <w:t>6.2 For the National Loneliness Conversation</w:t>
      </w:r>
    </w:p>
    <w:p>
      <w:pPr>
        <w:spacing w:line="480" w:lineRule="auto" w:after="0"/>
        <w:ind w:firstLine="720"/>
      </w:pPr>
      <w:r>
        <w:rPr>
          <w:rFonts w:ascii="Times New Roman" w:hAnsi="Times New Roman"/>
          <w:b w:val="0"/>
          <w:i w:val="0"/>
          <w:sz w:val="24"/>
        </w:rPr>
        <w:t>By connecting the Surgeon General's loneliness epidemic to measurable civic outcomes in a nationally representative dataset, this study adds democratic health to the case for treating social isolation as a public priority. The finding that 60% of Gen Z is completely civically disengaged — and that this is primarily a socialization problem, not an attitude problem — reframes the generational discourse from "young people don't care" to "young people aren't connected."</w:t>
      </w:r>
    </w:p>
    <w:p>
      <w:pPr>
        <w:pStyle w:val="Heading2"/>
      </w:pPr>
      <w:r>
        <w:rPr>
          <w:rFonts w:ascii="Times New Roman" w:hAnsi="Times New Roman"/>
          <w:color w:val="000000"/>
        </w:rPr>
        <w:t>6.3 For Civic Engagement Theory</w:t>
      </w:r>
    </w:p>
    <w:p>
      <w:pPr>
        <w:spacing w:line="480" w:lineRule="auto" w:after="0"/>
        <w:ind w:firstLine="720"/>
      </w:pPr>
      <w:r>
        <w:rPr>
          <w:rFonts w:ascii="Times New Roman" w:hAnsi="Times New Roman"/>
          <w:b w:val="0"/>
          <w:i w:val="0"/>
          <w:sz w:val="24"/>
        </w:rPr>
        <w:t>The study contributes to ongoing theoretical revision of the Civic Voluntarism Model by demonstrating that the recruitment pathway — mediated by social networks — may be more consequential than the resource pathway for explaining contemporary patterns of civic participation. It also provides the first large-scale empirical test of the collective-to-connective action shift (Bennett &amp; Segerberg, 2012) across generational cohorts, and extends Putnam's social capital framework to address the digitally mediated social isolation of the 2020s.</w:t>
      </w:r>
    </w:p>
    <w:p>
      <w:r>
        <w:br w:type="page"/>
      </w:r>
    </w:p>
    <w:p>
      <w:pPr>
        <w:pStyle w:val="Heading1"/>
      </w:pPr>
      <w:r>
        <w:rPr>
          <w:rFonts w:ascii="Times New Roman" w:hAnsi="Times New Roman"/>
          <w:color w:val="000000"/>
        </w:rPr>
        <w:t>7. Open Questions for Discussion</w:t>
      </w:r>
    </w:p>
    <w:p>
      <w:pPr>
        <w:spacing w:line="480" w:lineRule="auto" w:after="0"/>
        <w:ind w:firstLine="720"/>
      </w:pPr>
      <w:r>
        <w:rPr>
          <w:rFonts w:ascii="Times New Roman" w:hAnsi="Times New Roman"/>
          <w:b/>
          <w:i w:val="0"/>
          <w:sz w:val="24"/>
        </w:rPr>
        <w:t xml:space="preserve">1. Scope. </w:t>
      </w:r>
      <w:r>
        <w:rPr>
          <w:rFonts w:ascii="Times New Roman" w:hAnsi="Times New Roman"/>
          <w:b w:val="0"/>
          <w:i w:val="0"/>
          <w:sz w:val="24"/>
        </w:rPr>
        <w:t>The findings are generational, not geographic, which argues for national scope (N ≈ 201,000). However, a Pennsylvania-focused analysis could still serve as an illustrative case study within the national framework, preserving the Extension connection. Recommendation: national scope with optional PA deep-dive.</w:t>
      </w:r>
    </w:p>
    <w:p>
      <w:pPr>
        <w:spacing w:line="480" w:lineRule="auto" w:after="0"/>
        <w:ind w:firstLine="720"/>
      </w:pPr>
      <w:r>
        <w:rPr>
          <w:rFonts w:ascii="Times New Roman" w:hAnsi="Times New Roman"/>
          <w:b/>
          <w:i w:val="0"/>
          <w:sz w:val="24"/>
        </w:rPr>
        <w:t xml:space="preserve">2. Framing. </w:t>
      </w:r>
      <w:r>
        <w:rPr>
          <w:rFonts w:ascii="Times New Roman" w:hAnsi="Times New Roman"/>
          <w:b w:val="0"/>
          <w:i w:val="0"/>
          <w:sz w:val="24"/>
        </w:rPr>
        <w:t>"Bowling Alone, Scrolling Together" positions us in direct conversation with Putnam's foundational work while updating it for the digital age. Is this appropriately ambitious?</w:t>
      </w:r>
    </w:p>
    <w:p>
      <w:pPr>
        <w:spacing w:line="480" w:lineRule="auto" w:after="0"/>
        <w:ind w:firstLine="720"/>
      </w:pPr>
      <w:r>
        <w:rPr>
          <w:rFonts w:ascii="Times New Roman" w:hAnsi="Times New Roman"/>
          <w:b/>
          <w:i w:val="0"/>
          <w:sz w:val="24"/>
        </w:rPr>
        <w:t xml:space="preserve">3. Causal language. </w:t>
      </w:r>
      <w:r>
        <w:rPr>
          <w:rFonts w:ascii="Times New Roman" w:hAnsi="Times New Roman"/>
          <w:b w:val="0"/>
          <w:i w:val="0"/>
          <w:sz w:val="24"/>
        </w:rPr>
        <w:t>All findings are cross-sectional and associational. The "first step" effect is predictive, not causal. We frame this as a predictive-interpretive study using GBM + SHAP rather than pursuing causal methods that the data cannot support.</w:t>
      </w:r>
    </w:p>
    <w:p>
      <w:pPr>
        <w:spacing w:line="480" w:lineRule="auto" w:after="0"/>
        <w:ind w:firstLine="720"/>
      </w:pPr>
      <w:r>
        <w:rPr>
          <w:rFonts w:ascii="Times New Roman" w:hAnsi="Times New Roman"/>
          <w:b/>
          <w:i w:val="0"/>
          <w:sz w:val="24"/>
        </w:rPr>
        <w:t xml:space="preserve">4. Gen Z ceiling effect. </w:t>
      </w:r>
      <w:r>
        <w:rPr>
          <w:rFonts w:ascii="Times New Roman" w:hAnsi="Times New Roman"/>
          <w:b w:val="0"/>
          <w:i w:val="0"/>
          <w:sz w:val="24"/>
        </w:rPr>
        <w:t>Gen Z's volunteering plateaus at ~34% regardless of socialization frequency. What explains this ceiling? Should we explicitly investigate it as an additional research question?</w:t>
      </w:r>
    </w:p>
    <w:p>
      <w:pPr>
        <w:spacing w:line="480" w:lineRule="auto" w:after="0"/>
        <w:ind w:firstLine="720"/>
      </w:pPr>
      <w:r>
        <w:rPr>
          <w:rFonts w:ascii="Times New Roman" w:hAnsi="Times New Roman"/>
          <w:b/>
          <w:i w:val="0"/>
          <w:sz w:val="24"/>
        </w:rPr>
        <w:t xml:space="preserve">5. Target venue. </w:t>
      </w:r>
      <w:r>
        <w:rPr>
          <w:rFonts w:ascii="Times New Roman" w:hAnsi="Times New Roman"/>
          <w:b w:val="0"/>
          <w:i w:val="0"/>
          <w:sz w:val="24"/>
        </w:rPr>
        <w:t>The generational + loneliness + civic engagement combination could fit American Behavioral Scientist, Journal of Youth and Adolescence, Social Forces, Nonprofit and Voluntary Sector Quarterly, or Journal of Community Psychology.</w:t>
      </w:r>
    </w:p>
    <w:p>
      <w:pPr>
        <w:spacing w:line="480" w:lineRule="auto" w:after="0"/>
        <w:ind w:firstLine="720"/>
      </w:pPr>
      <w:r>
        <w:rPr>
          <w:rFonts w:ascii="Times New Roman" w:hAnsi="Times New Roman"/>
          <w:b/>
          <w:i w:val="0"/>
          <w:sz w:val="24"/>
        </w:rPr>
        <w:t xml:space="preserve">6. Timeline. </w:t>
      </w:r>
      <w:r>
        <w:rPr>
          <w:rFonts w:ascii="Times New Roman" w:hAnsi="Times New Roman"/>
          <w:b w:val="0"/>
          <w:i w:val="0"/>
          <w:sz w:val="24"/>
        </w:rPr>
        <w:t>The data is clean, codings are verified, and the exploratory analysis is complete. Formal LPA analysis can begin immediately upon agreement on research design.</w:t>
      </w:r>
    </w:p>
    <w:p>
      <w:r>
        <w:br w:type="page"/>
      </w:r>
    </w:p>
    <w:p>
      <w:pPr>
        <w:pStyle w:val="Heading1"/>
      </w:pPr>
      <w:r>
        <w:rPr>
          <w:rFonts w:ascii="Times New Roman" w:hAnsi="Times New Roman"/>
          <w:color w:val="000000"/>
        </w:rPr>
        <w:t>References</w:t>
      </w:r>
    </w:p>
    <w:p>
      <w:pPr>
        <w:spacing w:line="480" w:lineRule="auto"/>
        <w:ind w:left="720" w:hanging="720"/>
      </w:pPr>
      <w:r>
        <w:rPr>
          <w:rFonts w:ascii="Times New Roman" w:hAnsi="Times New Roman"/>
          <w:sz w:val="24"/>
        </w:rPr>
        <w:t>Bennett, W. L., &amp; Segerberg, A. (2012). The logic of connective action. Information, Communication &amp; Society, 15(5), 739–768.</w:t>
      </w:r>
    </w:p>
    <w:p>
      <w:pPr>
        <w:spacing w:line="480" w:lineRule="auto"/>
        <w:ind w:left="720" w:hanging="720"/>
      </w:pPr>
      <w:r>
        <w:rPr>
          <w:rFonts w:ascii="Times New Roman" w:hAnsi="Times New Roman"/>
          <w:sz w:val="24"/>
        </w:rPr>
        <w:t>Bergman, L. R., &amp; Magnusson, D. (1997). A person-oriented approach in research on developmental psychopathology. Development and Psychopathology, 9(2), 291–319.</w:t>
      </w:r>
    </w:p>
    <w:p>
      <w:pPr>
        <w:spacing w:line="480" w:lineRule="auto"/>
        <w:ind w:left="720" w:hanging="720"/>
      </w:pPr>
      <w:r>
        <w:rPr>
          <w:rFonts w:ascii="Times New Roman" w:hAnsi="Times New Roman"/>
          <w:sz w:val="24"/>
        </w:rPr>
        <w:t>Brady, H. E., Verba, S., &amp; Schlozman, K. L. (1995). Beyond SES: A resource model of political participation. American Political Science Review, 89(2), 271–294.</w:t>
      </w:r>
    </w:p>
    <w:p>
      <w:pPr>
        <w:spacing w:line="480" w:lineRule="auto"/>
        <w:ind w:left="720" w:hanging="720"/>
      </w:pPr>
      <w:r>
        <w:rPr>
          <w:rFonts w:ascii="Times New Roman" w:hAnsi="Times New Roman"/>
          <w:sz w:val="24"/>
        </w:rPr>
        <w:t>Coleman, J. S. (1988). Social capital in the creation of human capital. American Journal of Sociology, 94, S95–S120.</w:t>
      </w:r>
    </w:p>
    <w:p>
      <w:pPr>
        <w:spacing w:line="480" w:lineRule="auto"/>
        <w:ind w:left="720" w:hanging="720"/>
      </w:pPr>
      <w:r>
        <w:rPr>
          <w:rFonts w:ascii="Times New Roman" w:hAnsi="Times New Roman"/>
          <w:sz w:val="24"/>
        </w:rPr>
        <w:t>Collins, L. M., &amp; Lanza, S. T. (2010). Latent class and latent transition analysis. Wiley.</w:t>
      </w:r>
    </w:p>
    <w:p>
      <w:pPr>
        <w:spacing w:line="480" w:lineRule="auto"/>
        <w:ind w:left="720" w:hanging="720"/>
      </w:pPr>
      <w:r>
        <w:rPr>
          <w:rFonts w:ascii="Times New Roman" w:hAnsi="Times New Roman"/>
          <w:sz w:val="24"/>
        </w:rPr>
        <w:t>Flood, S., King, M., Rodgers, R., Ruggles, S., Warren, J. R., &amp; Westberry, M. (2023). IPUMS CPS: Version 11.0. Minneapolis, MN: IPUMS.</w:t>
      </w:r>
    </w:p>
    <w:p>
      <w:pPr>
        <w:spacing w:line="480" w:lineRule="auto"/>
        <w:ind w:left="720" w:hanging="720"/>
      </w:pPr>
      <w:r>
        <w:rPr>
          <w:rFonts w:ascii="Times New Roman" w:hAnsi="Times New Roman"/>
          <w:sz w:val="24"/>
        </w:rPr>
        <w:t>Granovetter, M. S. (1973). The strength of weak ties. American Journal of Sociology, 78(6), 1360–1380.</w:t>
      </w:r>
    </w:p>
    <w:p>
      <w:pPr>
        <w:spacing w:line="480" w:lineRule="auto"/>
        <w:ind w:left="720" w:hanging="720"/>
      </w:pPr>
      <w:r>
        <w:rPr>
          <w:rFonts w:ascii="Times New Roman" w:hAnsi="Times New Roman"/>
          <w:sz w:val="24"/>
        </w:rPr>
        <w:t>Lundberg, S. M., &amp; Lee, S.-I. (2017). A unified approach to interpreting model predictions. In Advances in Neural Information Processing Systems 30.</w:t>
      </w:r>
    </w:p>
    <w:p>
      <w:pPr>
        <w:spacing w:line="480" w:lineRule="auto"/>
        <w:ind w:left="720" w:hanging="720"/>
      </w:pPr>
      <w:r>
        <w:rPr>
          <w:rFonts w:ascii="Times New Roman" w:hAnsi="Times New Roman"/>
          <w:sz w:val="24"/>
        </w:rPr>
        <w:t>Muthén, B. O., &amp; Muthén, L. K. (2000). Integrating person-centered and variable-centered analyses. Alcoholism: Clinical and Experimental Research, 24(6), 934–946.</w:t>
      </w:r>
    </w:p>
    <w:p>
      <w:pPr>
        <w:spacing w:line="480" w:lineRule="auto"/>
        <w:ind w:left="720" w:hanging="720"/>
      </w:pPr>
      <w:r>
        <w:rPr>
          <w:rFonts w:ascii="Times New Roman" w:hAnsi="Times New Roman"/>
          <w:sz w:val="24"/>
        </w:rPr>
        <w:t>Office of the Surgeon General. (2023). Our epidemic of loneliness and isolation: The U.S. Surgeon General's advisory on the healing effects of social connection and community. U.S. Department of Health and Human Services.</w:t>
      </w:r>
    </w:p>
    <w:p>
      <w:pPr>
        <w:spacing w:line="480" w:lineRule="auto"/>
        <w:ind w:left="720" w:hanging="720"/>
      </w:pPr>
      <w:r>
        <w:rPr>
          <w:rFonts w:ascii="Times New Roman" w:hAnsi="Times New Roman"/>
          <w:sz w:val="24"/>
        </w:rPr>
        <w:t>Putnam, R. D. (2000). Bowling alone: The collapse and revival of American community. Simon &amp; Schuster.</w:t>
      </w:r>
    </w:p>
    <w:p>
      <w:pPr>
        <w:spacing w:line="480" w:lineRule="auto"/>
        <w:ind w:left="720" w:hanging="720"/>
      </w:pPr>
      <w:r>
        <w:rPr>
          <w:rFonts w:ascii="Times New Roman" w:hAnsi="Times New Roman"/>
          <w:sz w:val="24"/>
        </w:rPr>
        <w:t>Rosenstone, S. J., &amp; Hansen, J. M. (1993). Mobilization, participation, and democracy in America. Macmillan.</w:t>
      </w:r>
    </w:p>
    <w:p>
      <w:pPr>
        <w:spacing w:line="480" w:lineRule="auto"/>
        <w:ind w:left="720" w:hanging="720"/>
      </w:pPr>
      <w:r>
        <w:rPr>
          <w:rFonts w:ascii="Times New Roman" w:hAnsi="Times New Roman"/>
          <w:sz w:val="24"/>
        </w:rPr>
        <w:t>Skocpol, T. (2003). Diminished democracy: From membership to management in American civic life. University of Oklahoma Press.</w:t>
      </w:r>
    </w:p>
    <w:p>
      <w:pPr>
        <w:spacing w:line="480" w:lineRule="auto"/>
        <w:ind w:left="720" w:hanging="720"/>
      </w:pPr>
      <w:r>
        <w:rPr>
          <w:rFonts w:ascii="Times New Roman" w:hAnsi="Times New Roman"/>
          <w:sz w:val="24"/>
        </w:rPr>
        <w:t>Twenge, J. M. (2017). iGen: Why today's super-connected kids are growing up less rebellious, more tolerant, less happy — and completely unprepared for adulthood. Atria Books.</w:t>
      </w:r>
    </w:p>
    <w:p>
      <w:pPr>
        <w:spacing w:line="480" w:lineRule="auto"/>
        <w:ind w:left="720" w:hanging="720"/>
      </w:pPr>
      <w:r>
        <w:rPr>
          <w:rFonts w:ascii="Times New Roman" w:hAnsi="Times New Roman"/>
          <w:sz w:val="24"/>
        </w:rPr>
        <w:t>Verba, S., Schlozman, K. L., &amp; Brady, H. E. (1995). Voice and equality: Civic voluntarism in American politics. Harvard University Press.</w:t>
      </w:r>
    </w:p>
    <w:p>
      <w:pPr>
        <w:spacing w:line="480" w:lineRule="auto"/>
        <w:ind w:left="720" w:hanging="720"/>
      </w:pPr>
      <w:r>
        <w:rPr>
          <w:rFonts w:ascii="Times New Roman" w:hAnsi="Times New Roman"/>
          <w:sz w:val="24"/>
        </w:rPr>
        <w:t>Zukin, C., Keeter, S., Andolina, M., Jenkins, K., &amp; Delli Carpini, M. X. (2006). A new engagement? Political participation, civic life, and the changing American citizen.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