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80" w:lineRule="auto"/>
        <w:jc w:val="center"/>
      </w:pPr>
      <w:r>
        <w:rPr>
          <w:rFonts w:ascii="Times New Roman" w:hAnsi="Times New Roman"/>
          <w:b/>
          <w:sz w:val="24"/>
        </w:rPr>
        <w:t>Research Proposal and Data Preview</w:t>
      </w:r>
    </w:p>
    <w:p>
      <w:pPr>
        <w:spacing w:line="480" w:lineRule="auto"/>
        <w:jc w:val="center"/>
      </w:pPr>
      <w:r>
        <w:rPr>
          <w:rFonts w:ascii="Times New Roman" w:hAnsi="Times New Roman"/>
          <w:sz w:val="24"/>
        </w:rPr>
        <w:t>Heterogeneous Effects of Organized Volunteering on Civic Engagement</w:t>
        <w:br/>
        <w:t>Across Rural and Urban America:</w:t>
        <w:br/>
        <w:t>A Three-Phase Machine Learning Approach</w:t>
      </w:r>
    </w:p>
    <w:p/>
    <w:p/>
    <w:p>
      <w:pPr>
        <w:spacing w:line="480" w:lineRule="auto"/>
        <w:jc w:val="center"/>
      </w:pPr>
      <w:r>
        <w:rPr>
          <w:rFonts w:ascii="Times New Roman" w:hAnsi="Times New Roman"/>
          <w:sz w:val="24"/>
        </w:rPr>
        <w:t>Hosung You and Suzanna Windon, Ph.D.</w:t>
      </w:r>
    </w:p>
    <w:p>
      <w:pPr>
        <w:spacing w:line="480" w:lineRule="auto"/>
        <w:jc w:val="center"/>
      </w:pPr>
      <w:r>
        <w:rPr>
          <w:rFonts w:ascii="Times New Roman" w:hAnsi="Times New Roman"/>
          <w:sz w:val="24"/>
        </w:rPr>
        <w:t>Department of Agricultural Economics, Sociology, and Education</w:t>
        <w:br/>
        <w:t>The Pennsylvania State University</w:t>
      </w:r>
    </w:p>
    <w:p>
      <w:pPr>
        <w:spacing w:line="480" w:lineRule="auto"/>
        <w:jc w:val="center"/>
      </w:pPr>
      <w:r>
        <w:rPr>
          <w:rFonts w:ascii="Times New Roman" w:hAnsi="Times New Roman"/>
          <w:sz w:val="24"/>
        </w:rPr>
        <w:t>Prepared for Discussion Meeting</w:t>
        <w:br/>
        <w:t>March 03, 2026</w:t>
      </w:r>
    </w:p>
    <w:p>
      <w:r>
        <w:br w:type="page"/>
      </w:r>
    </w:p>
    <w:p>
      <w:pPr>
        <w:spacing w:before="240" w:after="240" w:line="480" w:lineRule="auto"/>
        <w:jc w:val="center"/>
      </w:pPr>
      <w:r>
        <w:rPr>
          <w:rFonts w:ascii="Times New Roman" w:hAnsi="Times New Roman"/>
          <w:b/>
          <w:sz w:val="24"/>
        </w:rPr>
        <w:t>Research Rationale and Significance</w:t>
      </w:r>
    </w:p>
    <w:p>
      <w:pPr>
        <w:spacing w:before="240" w:after="240" w:line="480" w:lineRule="auto"/>
        <w:jc w:val="left"/>
      </w:pPr>
      <w:r>
        <w:rPr>
          <w:rFonts w:ascii="Times New Roman" w:hAnsi="Times New Roman"/>
          <w:b/>
          <w:sz w:val="24"/>
        </w:rPr>
        <w:t>The Problem: Average Effects Mask Critical Heterogeneity</w:t>
      </w:r>
    </w:p>
    <w:p>
      <w:pPr>
        <w:spacing w:line="480" w:lineRule="auto" w:after="0"/>
        <w:ind w:firstLine="720"/>
      </w:pPr>
      <w:r>
        <w:rPr>
          <w:rFonts w:ascii="Times New Roman" w:hAnsi="Times New Roman"/>
          <w:sz w:val="24"/>
        </w:rPr>
        <w:t>Volunteering has long been recognized as a cornerstone of civic life in the United States, with approximately 32% of American adults participating in organized volunteering annually (AmeriCorps, 2023). A substantial body of research has documented the positive association between volunteering and broader civic engagement outcomes, including political participation, charitable giving, and community involvement (Musick &amp; Wilson, 2008; Putnam, 2000; Wilson, 2000). However, nearly all existing studies share a critical limitation: they estimate average effects across diverse populations, thereby obscuring meaningful heterogeneity in how volunteering influences civic engagement for different types of people in different contexts.</w:t>
      </w:r>
    </w:p>
    <w:p>
      <w:pPr>
        <w:spacing w:line="480" w:lineRule="auto" w:after="0"/>
        <w:ind w:firstLine="720"/>
      </w:pPr>
      <w:r>
        <w:rPr>
          <w:rFonts w:ascii="Times New Roman" w:hAnsi="Times New Roman"/>
          <w:sz w:val="24"/>
        </w:rPr>
        <w:t>This limitation has two consequential implications. First, from a scientific perspective, average treatment effects can be misleading when the true effect varies substantially across subpopulations. Volunteering may serve as a powerful gateway to political engagement for some individuals while having negligible effects for others. Second, from a practical standpoint, extension educators and volunteer program administrators need evidence about what works specifically for their target populations—not just what works on average—to allocate limited resources effectively.</w:t>
      </w:r>
    </w:p>
    <w:p>
      <w:pPr>
        <w:spacing w:before="240" w:after="240" w:line="480" w:lineRule="auto"/>
        <w:jc w:val="left"/>
      </w:pPr>
      <w:r>
        <w:rPr>
          <w:rFonts w:ascii="Times New Roman" w:hAnsi="Times New Roman"/>
          <w:b/>
          <w:sz w:val="24"/>
        </w:rPr>
        <w:t>The Rural-Urban Dimension</w:t>
      </w:r>
    </w:p>
    <w:p>
      <w:pPr>
        <w:spacing w:line="480" w:lineRule="auto" w:after="0"/>
        <w:ind w:firstLine="720"/>
      </w:pPr>
      <w:r>
        <w:rPr>
          <w:rFonts w:ascii="Times New Roman" w:hAnsi="Times New Roman"/>
          <w:sz w:val="24"/>
        </w:rPr>
        <w:t>The rural-urban divide in civic participation makes this heterogeneity question particularly urgent. Rural communities face distinct structural challenges—geographic isolation, population decline, limited institutional infrastructure, and fewer formal organizations—that shape both the opportunity structure for volunteering and its potential civic returns (Flora &amp; Flora, 2013). Preliminary analysis of our data reveals that while rural and urban Americans volunteer at comparable rates (32.5% vs. 31.8%), the pattern of civic engagement differs markedly across geographic contexts. For instance, rural volunteers contact public officials at a higher rate than their urban counterparts (28.5% vs. 24.2%), and attend public meetings at substantially higher rates (28.4% vs. 23.3%). These descriptive patterns suggest that the civic spillover from volunteering may function differently in rural contexts—a hypothesis that has not been tested with appropriate causal methods.</w:t>
      </w:r>
    </w:p>
    <w:p>
      <w:pPr>
        <w:spacing w:before="240" w:after="240" w:line="480" w:lineRule="auto"/>
        <w:jc w:val="left"/>
      </w:pPr>
      <w:r>
        <w:rPr>
          <w:rFonts w:ascii="Times New Roman" w:hAnsi="Times New Roman"/>
          <w:b/>
          <w:sz w:val="24"/>
        </w:rPr>
        <w:t>Why Now: Methodological Opportunity</w:t>
      </w:r>
    </w:p>
    <w:p>
      <w:pPr>
        <w:spacing w:line="480" w:lineRule="auto" w:after="0"/>
        <w:ind w:firstLine="720"/>
      </w:pPr>
      <w:r>
        <w:rPr>
          <w:rFonts w:ascii="Times New Roman" w:hAnsi="Times New Roman"/>
          <w:sz w:val="24"/>
        </w:rPr>
        <w:t>Two recent advances in quantitative methodology create an unprecedented opportunity to address these limitations. First, person-centered approaches such as Latent Profile Analysis (LPA) can identify qualitatively distinct patterns of civic engagement, moving beyond simplistic high/low dichotomies to reveal the multidimensional structure of civic participation (Vermunt &amp; Magidson, 2002). Second, causal machine learning methods—particularly the Generalized Random Forest (Athey et al., 2019)—can estimate individualized treatment effects, identifying precisely for whom an intervention is most effective without imposing parametric assumptions on the heterogeneity structure. The combination of these methods with SHAP (SHapley Additive exPlanations; Lundberg &amp; Lee, 2017) for interpretability has not been applied in civic engagement research to date.</w:t>
      </w:r>
    </w:p>
    <w:p>
      <w:pPr>
        <w:spacing w:before="240" w:after="240" w:line="480" w:lineRule="auto"/>
        <w:jc w:val="left"/>
      </w:pPr>
      <w:r>
        <w:rPr>
          <w:rFonts w:ascii="Times New Roman" w:hAnsi="Times New Roman"/>
          <w:b/>
          <w:sz w:val="24"/>
        </w:rPr>
        <w:t>Research Questions</w:t>
      </w:r>
    </w:p>
    <w:p>
      <w:pPr>
        <w:spacing w:line="480" w:lineRule="auto"/>
        <w:ind w:firstLine="720"/>
      </w:pPr>
      <w:r>
        <w:rPr>
          <w:rFonts w:ascii="Times New Roman" w:hAnsi="Times New Roman"/>
          <w:b/>
          <w:sz w:val="24"/>
        </w:rPr>
        <w:t xml:space="preserve">RQ1. </w:t>
      </w:r>
      <w:r>
        <w:rPr>
          <w:rFonts w:ascii="Times New Roman" w:hAnsi="Times New Roman"/>
          <w:sz w:val="24"/>
        </w:rPr>
        <w:t>How many qualitatively distinct civic engagement profiles exist among U.S. adults, and how are these profiles distributed across rural and urban areas?</w:t>
      </w:r>
    </w:p>
    <w:p>
      <w:pPr>
        <w:spacing w:line="480" w:lineRule="auto"/>
        <w:ind w:firstLine="720"/>
      </w:pPr>
      <w:r>
        <w:rPr>
          <w:rFonts w:ascii="Times New Roman" w:hAnsi="Times New Roman"/>
          <w:b/>
          <w:sz w:val="24"/>
        </w:rPr>
        <w:t xml:space="preserve">RQ2. </w:t>
      </w:r>
      <w:r>
        <w:rPr>
          <w:rFonts w:ascii="Times New Roman" w:hAnsi="Times New Roman"/>
          <w:sz w:val="24"/>
        </w:rPr>
        <w:t>To what extent does the causal effect of organized volunteering on civic engagement outcomes vary across identified latent profiles and rural/urban residence?</w:t>
      </w:r>
    </w:p>
    <w:p>
      <w:pPr>
        <w:spacing w:line="480" w:lineRule="auto"/>
        <w:ind w:firstLine="720"/>
      </w:pPr>
      <w:r>
        <w:rPr>
          <w:rFonts w:ascii="Times New Roman" w:hAnsi="Times New Roman"/>
          <w:b/>
          <w:sz w:val="24"/>
        </w:rPr>
        <w:t xml:space="preserve">RQ3. </w:t>
      </w:r>
      <w:r>
        <w:rPr>
          <w:rFonts w:ascii="Times New Roman" w:hAnsi="Times New Roman"/>
          <w:sz w:val="24"/>
        </w:rPr>
        <w:t>What individual- and community-level factors most strongly explain the heterogeneity in volunteering effects on civic engagement?</w:t>
      </w:r>
    </w:p>
    <w:p>
      <w:r>
        <w:br w:type="page"/>
      </w:r>
    </w:p>
    <w:p>
      <w:pPr>
        <w:spacing w:before="240" w:after="240" w:line="480" w:lineRule="auto"/>
        <w:jc w:val="center"/>
      </w:pPr>
      <w:r>
        <w:rPr>
          <w:rFonts w:ascii="Times New Roman" w:hAnsi="Times New Roman"/>
          <w:b/>
          <w:sz w:val="24"/>
        </w:rPr>
        <w:t>Data Source and Preliminary Analysis</w:t>
      </w:r>
    </w:p>
    <w:p>
      <w:pPr>
        <w:spacing w:before="240" w:after="240" w:line="480" w:lineRule="auto"/>
        <w:jc w:val="left"/>
      </w:pPr>
      <w:r>
        <w:rPr>
          <w:rFonts w:ascii="Times New Roman" w:hAnsi="Times New Roman"/>
          <w:b/>
          <w:sz w:val="24"/>
        </w:rPr>
        <w:t>Data Source</w:t>
      </w:r>
    </w:p>
    <w:p>
      <w:pPr>
        <w:spacing w:line="480" w:lineRule="auto" w:after="0"/>
        <w:ind w:firstLine="720"/>
      </w:pPr>
      <w:r>
        <w:rPr>
          <w:rFonts w:ascii="Times New Roman" w:hAnsi="Times New Roman"/>
          <w:sz w:val="24"/>
        </w:rPr>
        <w:t>This study uses pooled data from four waves (September 2017, 2019, 2021, 2023) of the Current Population Survey Civic Engagement and Volunteering Supplement (CPS-CEV), administered by the U.S. Census Bureau in partnership with AmeriCorps. The CPS-CEV is the most comprehensive federal survey of civic engagement in the United States, providing nationally representative data on volunteering, political participation, charitable giving, community interaction, and group membership among the civilian noninstitutionalized population. The data were accessed through IPUMS CPS (Flood et al., 2025).</w:t>
      </w:r>
    </w:p>
    <w:p>
      <w:pPr>
        <w:spacing w:before="240" w:line="480" w:lineRule="auto"/>
      </w:pPr>
      <w:r>
        <w:rPr>
          <w:rFonts w:ascii="Times New Roman" w:hAnsi="Times New Roman"/>
          <w:b/>
          <w:i/>
          <w:sz w:val="24"/>
        </w:rPr>
        <w:t>Table 1</w:t>
        <w:br/>
        <w:t>Sample Characteristics by Survey Wave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20"/>
              </w:rPr>
              <w:t>Wave</w:t>
            </w:r>
          </w:p>
        </w:tc>
        <w:tc>
          <w:tcPr>
            <w:tcW w:type="dxa" w:w="1560"/>
          </w:tcPr>
          <w:p>
            <w:pPr>
              <w:jc w:val="center"/>
            </w:pPr>
            <w:r>
              <w:rPr>
                <w:rFonts w:ascii="Times New Roman" w:hAnsi="Times New Roman"/>
                <w:b/>
                <w:sz w:val="20"/>
              </w:rPr>
              <w:t>N</w:t>
            </w:r>
          </w:p>
        </w:tc>
        <w:tc>
          <w:tcPr>
            <w:tcW w:type="dxa" w:w="1560"/>
          </w:tcPr>
          <w:p>
            <w:pPr>
              <w:jc w:val="center"/>
            </w:pPr>
            <w:r>
              <w:rPr>
                <w:rFonts w:ascii="Times New Roman" w:hAnsi="Times New Roman"/>
                <w:b/>
                <w:sz w:val="20"/>
              </w:rPr>
              <w:t>Volunteered (%)</w:t>
            </w:r>
          </w:p>
        </w:tc>
        <w:tc>
          <w:tcPr>
            <w:tcW w:type="dxa" w:w="1560"/>
          </w:tcPr>
          <w:p>
            <w:pPr>
              <w:jc w:val="center"/>
            </w:pPr>
            <w:r>
              <w:rPr>
                <w:rFonts w:ascii="Times New Roman" w:hAnsi="Times New Roman"/>
                <w:b/>
                <w:sz w:val="20"/>
              </w:rPr>
              <w:t>Rural (%)</w:t>
            </w:r>
          </w:p>
        </w:tc>
        <w:tc>
          <w:tcPr>
            <w:tcW w:type="dxa" w:w="1560"/>
          </w:tcPr>
          <w:p>
            <w:pPr>
              <w:jc w:val="center"/>
            </w:pPr>
            <w:r>
              <w:rPr>
                <w:rFonts w:ascii="Times New Roman" w:hAnsi="Times New Roman"/>
                <w:b/>
                <w:sz w:val="20"/>
              </w:rPr>
              <w:t>Mean Age</w:t>
            </w:r>
          </w:p>
        </w:tc>
        <w:tc>
          <w:tcPr>
            <w:tcW w:type="dxa" w:w="1560"/>
          </w:tcPr>
          <w:p>
            <w:pPr>
              <w:jc w:val="center"/>
            </w:pPr>
            <w:r>
              <w:rPr>
                <w:rFonts w:ascii="Times New Roman" w:hAnsi="Times New Roman"/>
                <w:b/>
                <w:sz w:val="20"/>
              </w:rPr>
              <w:t>Female (%)</w:t>
            </w:r>
          </w:p>
        </w:tc>
      </w:tr>
      <w:tr>
        <w:tc>
          <w:tcPr>
            <w:tcW w:type="dxa" w:w="1560"/>
          </w:tcPr>
          <w:p>
            <w:pPr>
              <w:jc w:val="left"/>
            </w:pPr>
            <w:r>
              <w:rPr>
                <w:rFonts w:ascii="Times New Roman" w:hAnsi="Times New Roman"/>
                <w:sz w:val="20"/>
              </w:rPr>
              <w:t>2017</w:t>
            </w:r>
          </w:p>
        </w:tc>
        <w:tc>
          <w:tcPr>
            <w:tcW w:type="dxa" w:w="1560"/>
          </w:tcPr>
          <w:p>
            <w:pPr>
              <w:jc w:val="center"/>
            </w:pPr>
            <w:r>
              <w:rPr>
                <w:rFonts w:ascii="Times New Roman" w:hAnsi="Times New Roman"/>
                <w:sz w:val="20"/>
              </w:rPr>
              <w:t>59,134</w:t>
            </w:r>
          </w:p>
        </w:tc>
        <w:tc>
          <w:tcPr>
            <w:tcW w:type="dxa" w:w="1560"/>
          </w:tcPr>
          <w:p>
            <w:pPr>
              <w:jc w:val="center"/>
            </w:pPr>
            <w:r>
              <w:rPr>
                <w:rFonts w:ascii="Times New Roman" w:hAnsi="Times New Roman"/>
                <w:sz w:val="20"/>
              </w:rPr>
              <w:t>33.6</w:t>
            </w:r>
          </w:p>
        </w:tc>
        <w:tc>
          <w:tcPr>
            <w:tcW w:type="dxa" w:w="1560"/>
          </w:tcPr>
          <w:p>
            <w:pPr>
              <w:jc w:val="center"/>
            </w:pPr>
            <w:r>
              <w:rPr>
                <w:rFonts w:ascii="Times New Roman" w:hAnsi="Times New Roman"/>
                <w:sz w:val="20"/>
              </w:rPr>
              <w:t>20.6</w:t>
            </w:r>
          </w:p>
        </w:tc>
        <w:tc>
          <w:tcPr>
            <w:tcW w:type="dxa" w:w="1560"/>
          </w:tcPr>
          <w:p>
            <w:pPr>
              <w:jc w:val="center"/>
            </w:pPr>
            <w:r>
              <w:rPr>
                <w:rFonts w:ascii="Times New Roman" w:hAnsi="Times New Roman"/>
                <w:sz w:val="20"/>
              </w:rPr>
              <w:t>51.3</w:t>
            </w:r>
          </w:p>
        </w:tc>
        <w:tc>
          <w:tcPr>
            <w:tcW w:type="dxa" w:w="1560"/>
          </w:tcPr>
          <w:p>
            <w:pPr>
              <w:jc w:val="center"/>
            </w:pPr>
            <w:r>
              <w:rPr>
                <w:rFonts w:ascii="Times New Roman" w:hAnsi="Times New Roman"/>
                <w:sz w:val="20"/>
              </w:rPr>
              <w:t>53.0</w:t>
            </w:r>
          </w:p>
        </w:tc>
      </w:tr>
      <w:tr>
        <w:tc>
          <w:tcPr>
            <w:tcW w:type="dxa" w:w="1560"/>
          </w:tcPr>
          <w:p>
            <w:pPr>
              <w:jc w:val="left"/>
            </w:pPr>
            <w:r>
              <w:rPr>
                <w:rFonts w:ascii="Times New Roman" w:hAnsi="Times New Roman"/>
                <w:sz w:val="20"/>
              </w:rPr>
              <w:t>2019</w:t>
            </w:r>
          </w:p>
        </w:tc>
        <w:tc>
          <w:tcPr>
            <w:tcW w:type="dxa" w:w="1560"/>
          </w:tcPr>
          <w:p>
            <w:pPr>
              <w:jc w:val="center"/>
            </w:pPr>
            <w:r>
              <w:rPr>
                <w:rFonts w:ascii="Times New Roman" w:hAnsi="Times New Roman"/>
                <w:sz w:val="20"/>
              </w:rPr>
              <w:t>51,678</w:t>
            </w:r>
          </w:p>
        </w:tc>
        <w:tc>
          <w:tcPr>
            <w:tcW w:type="dxa" w:w="1560"/>
          </w:tcPr>
          <w:p>
            <w:pPr>
              <w:jc w:val="center"/>
            </w:pPr>
            <w:r>
              <w:rPr>
                <w:rFonts w:ascii="Times New Roman" w:hAnsi="Times New Roman"/>
                <w:sz w:val="20"/>
              </w:rPr>
              <w:t>34.1</w:t>
            </w:r>
          </w:p>
        </w:tc>
        <w:tc>
          <w:tcPr>
            <w:tcW w:type="dxa" w:w="1560"/>
          </w:tcPr>
          <w:p>
            <w:pPr>
              <w:jc w:val="center"/>
            </w:pPr>
            <w:r>
              <w:rPr>
                <w:rFonts w:ascii="Times New Roman" w:hAnsi="Times New Roman"/>
                <w:sz w:val="20"/>
              </w:rPr>
              <w:t>20.4</w:t>
            </w:r>
          </w:p>
        </w:tc>
        <w:tc>
          <w:tcPr>
            <w:tcW w:type="dxa" w:w="1560"/>
          </w:tcPr>
          <w:p>
            <w:pPr>
              <w:jc w:val="center"/>
            </w:pPr>
            <w:r>
              <w:rPr>
                <w:rFonts w:ascii="Times New Roman" w:hAnsi="Times New Roman"/>
                <w:sz w:val="20"/>
              </w:rPr>
              <w:t>51.4</w:t>
            </w:r>
          </w:p>
        </w:tc>
        <w:tc>
          <w:tcPr>
            <w:tcW w:type="dxa" w:w="1560"/>
          </w:tcPr>
          <w:p>
            <w:pPr>
              <w:jc w:val="center"/>
            </w:pPr>
            <w:r>
              <w:rPr>
                <w:rFonts w:ascii="Times New Roman" w:hAnsi="Times New Roman"/>
                <w:sz w:val="20"/>
              </w:rPr>
              <w:t>53.0</w:t>
            </w:r>
          </w:p>
        </w:tc>
      </w:tr>
      <w:tr>
        <w:tc>
          <w:tcPr>
            <w:tcW w:type="dxa" w:w="1560"/>
          </w:tcPr>
          <w:p>
            <w:pPr>
              <w:jc w:val="left"/>
            </w:pPr>
            <w:r>
              <w:rPr>
                <w:rFonts w:ascii="Times New Roman" w:hAnsi="Times New Roman"/>
                <w:sz w:val="20"/>
              </w:rPr>
              <w:t>2021</w:t>
            </w:r>
          </w:p>
        </w:tc>
        <w:tc>
          <w:tcPr>
            <w:tcW w:type="dxa" w:w="1560"/>
          </w:tcPr>
          <w:p>
            <w:pPr>
              <w:jc w:val="center"/>
            </w:pPr>
            <w:r>
              <w:rPr>
                <w:rFonts w:ascii="Times New Roman" w:hAnsi="Times New Roman"/>
                <w:sz w:val="20"/>
              </w:rPr>
              <w:t>44,033</w:t>
            </w:r>
          </w:p>
        </w:tc>
        <w:tc>
          <w:tcPr>
            <w:tcW w:type="dxa" w:w="1560"/>
          </w:tcPr>
          <w:p>
            <w:pPr>
              <w:jc w:val="center"/>
            </w:pPr>
            <w:r>
              <w:rPr>
                <w:rFonts w:ascii="Times New Roman" w:hAnsi="Times New Roman"/>
                <w:sz w:val="20"/>
              </w:rPr>
              <w:t>27.4</w:t>
            </w:r>
          </w:p>
        </w:tc>
        <w:tc>
          <w:tcPr>
            <w:tcW w:type="dxa" w:w="1560"/>
          </w:tcPr>
          <w:p>
            <w:pPr>
              <w:jc w:val="center"/>
            </w:pPr>
            <w:r>
              <w:rPr>
                <w:rFonts w:ascii="Times New Roman" w:hAnsi="Times New Roman"/>
                <w:sz w:val="20"/>
              </w:rPr>
              <w:t>20.2</w:t>
            </w:r>
          </w:p>
        </w:tc>
        <w:tc>
          <w:tcPr>
            <w:tcW w:type="dxa" w:w="1560"/>
          </w:tcPr>
          <w:p>
            <w:pPr>
              <w:jc w:val="center"/>
            </w:pPr>
            <w:r>
              <w:rPr>
                <w:rFonts w:ascii="Times New Roman" w:hAnsi="Times New Roman"/>
                <w:sz w:val="20"/>
              </w:rPr>
              <w:t>51.8</w:t>
            </w:r>
          </w:p>
        </w:tc>
        <w:tc>
          <w:tcPr>
            <w:tcW w:type="dxa" w:w="1560"/>
          </w:tcPr>
          <w:p>
            <w:pPr>
              <w:jc w:val="center"/>
            </w:pPr>
            <w:r>
              <w:rPr>
                <w:rFonts w:ascii="Times New Roman" w:hAnsi="Times New Roman"/>
                <w:sz w:val="20"/>
              </w:rPr>
              <w:t>53.3</w:t>
            </w:r>
          </w:p>
        </w:tc>
      </w:tr>
      <w:tr>
        <w:tc>
          <w:tcPr>
            <w:tcW w:type="dxa" w:w="1560"/>
          </w:tcPr>
          <w:p>
            <w:pPr>
              <w:jc w:val="left"/>
            </w:pPr>
            <w:r>
              <w:rPr>
                <w:rFonts w:ascii="Times New Roman" w:hAnsi="Times New Roman"/>
                <w:sz w:val="20"/>
              </w:rPr>
              <w:t>2023</w:t>
            </w:r>
          </w:p>
        </w:tc>
        <w:tc>
          <w:tcPr>
            <w:tcW w:type="dxa" w:w="1560"/>
          </w:tcPr>
          <w:p>
            <w:pPr>
              <w:jc w:val="center"/>
            </w:pPr>
            <w:r>
              <w:rPr>
                <w:rFonts w:ascii="Times New Roman" w:hAnsi="Times New Roman"/>
                <w:sz w:val="20"/>
              </w:rPr>
              <w:t>44,226</w:t>
            </w:r>
          </w:p>
        </w:tc>
        <w:tc>
          <w:tcPr>
            <w:tcW w:type="dxa" w:w="1560"/>
          </w:tcPr>
          <w:p>
            <w:pPr>
              <w:jc w:val="center"/>
            </w:pPr>
            <w:r>
              <w:rPr>
                <w:rFonts w:ascii="Times New Roman" w:hAnsi="Times New Roman"/>
                <w:sz w:val="20"/>
              </w:rPr>
              <w:t>31.8</w:t>
            </w:r>
          </w:p>
        </w:tc>
        <w:tc>
          <w:tcPr>
            <w:tcW w:type="dxa" w:w="1560"/>
          </w:tcPr>
          <w:p>
            <w:pPr>
              <w:jc w:val="center"/>
            </w:pPr>
            <w:r>
              <w:rPr>
                <w:rFonts w:ascii="Times New Roman" w:hAnsi="Times New Roman"/>
                <w:sz w:val="20"/>
              </w:rPr>
              <w:t>20.1</w:t>
            </w:r>
          </w:p>
        </w:tc>
        <w:tc>
          <w:tcPr>
            <w:tcW w:type="dxa" w:w="1560"/>
          </w:tcPr>
          <w:p>
            <w:pPr>
              <w:jc w:val="center"/>
            </w:pPr>
            <w:r>
              <w:rPr>
                <w:rFonts w:ascii="Times New Roman" w:hAnsi="Times New Roman"/>
                <w:sz w:val="20"/>
              </w:rPr>
              <w:t>51.7</w:t>
            </w:r>
          </w:p>
        </w:tc>
        <w:tc>
          <w:tcPr>
            <w:tcW w:type="dxa" w:w="1560"/>
          </w:tcPr>
          <w:p>
            <w:pPr>
              <w:jc w:val="center"/>
            </w:pPr>
            <w:r>
              <w:rPr>
                <w:rFonts w:ascii="Times New Roman" w:hAnsi="Times New Roman"/>
                <w:sz w:val="20"/>
              </w:rPr>
              <w:t>53.2</w:t>
            </w:r>
          </w:p>
        </w:tc>
      </w:tr>
      <w:tr>
        <w:tc>
          <w:tcPr>
            <w:tcW w:type="dxa" w:w="1560"/>
          </w:tcPr>
          <w:p>
            <w:pPr>
              <w:jc w:val="left"/>
            </w:pPr>
            <w:r>
              <w:rPr>
                <w:rFonts w:ascii="Times New Roman" w:hAnsi="Times New Roman"/>
                <w:sz w:val="20"/>
              </w:rPr>
              <w:t>Pooled</w:t>
            </w:r>
          </w:p>
        </w:tc>
        <w:tc>
          <w:tcPr>
            <w:tcW w:type="dxa" w:w="1560"/>
          </w:tcPr>
          <w:p>
            <w:pPr>
              <w:jc w:val="center"/>
            </w:pPr>
            <w:r>
              <w:rPr>
                <w:rFonts w:ascii="Times New Roman" w:hAnsi="Times New Roman"/>
                <w:sz w:val="20"/>
              </w:rPr>
              <w:t>199,071</w:t>
            </w:r>
          </w:p>
        </w:tc>
        <w:tc>
          <w:tcPr>
            <w:tcW w:type="dxa" w:w="1560"/>
          </w:tcPr>
          <w:p>
            <w:pPr>
              <w:jc w:val="center"/>
            </w:pPr>
            <w:r>
              <w:rPr>
                <w:rFonts w:ascii="Times New Roman" w:hAnsi="Times New Roman"/>
                <w:sz w:val="20"/>
              </w:rPr>
              <w:t>32.0</w:t>
            </w:r>
          </w:p>
        </w:tc>
        <w:tc>
          <w:tcPr>
            <w:tcW w:type="dxa" w:w="1560"/>
          </w:tcPr>
          <w:p>
            <w:pPr>
              <w:jc w:val="center"/>
            </w:pPr>
            <w:r>
              <w:rPr>
                <w:rFonts w:ascii="Times New Roman" w:hAnsi="Times New Roman"/>
                <w:sz w:val="20"/>
              </w:rPr>
              <w:t>20.4</w:t>
            </w:r>
          </w:p>
        </w:tc>
        <w:tc>
          <w:tcPr>
            <w:tcW w:type="dxa" w:w="1560"/>
          </w:tcPr>
          <w:p>
            <w:pPr>
              <w:jc w:val="center"/>
            </w:pPr>
            <w:r>
              <w:rPr>
                <w:rFonts w:ascii="Times New Roman" w:hAnsi="Times New Roman"/>
                <w:sz w:val="20"/>
              </w:rPr>
              <w:t>51.5</w:t>
            </w:r>
          </w:p>
        </w:tc>
        <w:tc>
          <w:tcPr>
            <w:tcW w:type="dxa" w:w="1560"/>
          </w:tcPr>
          <w:p>
            <w:pPr>
              <w:jc w:val="center"/>
            </w:pPr>
            <w:r>
              <w:rPr>
                <w:rFonts w:ascii="Times New Roman" w:hAnsi="Times New Roman"/>
                <w:sz w:val="20"/>
              </w:rPr>
              <w:t>53.1</w:t>
            </w:r>
          </w:p>
        </w:tc>
      </w:tr>
    </w:tbl>
    <w:p>
      <w:pPr>
        <w:spacing w:line="480" w:lineRule="auto"/>
      </w:pPr>
      <w:r>
        <w:rPr>
          <w:rFonts w:ascii="Times New Roman" w:hAnsi="Times New Roman"/>
          <w:i/>
          <w:sz w:val="20"/>
        </w:rPr>
        <w:t xml:space="preserve">Note. </w:t>
      </w:r>
      <w:r>
        <w:rPr>
          <w:rFonts w:ascii="Times New Roman" w:hAnsi="Times New Roman"/>
          <w:sz w:val="20"/>
        </w:rPr>
        <w:t>Data from CPS-CEV September supplements via IPUMS CPS. Sample restricted to adults aged 18+ with valid supplement weights (VLSUPPWT &gt; 0) and identifiable metropolitan status.</w:t>
      </w:r>
    </w:p>
    <w:p/>
    <w:p>
      <w:pPr>
        <w:spacing w:before="240" w:after="240" w:line="480" w:lineRule="auto"/>
        <w:jc w:val="left"/>
      </w:pPr>
      <w:r>
        <w:rPr>
          <w:rFonts w:ascii="Times New Roman" w:hAnsi="Times New Roman"/>
          <w:b/>
          <w:sz w:val="24"/>
        </w:rPr>
        <w:t>Preliminary Descriptive Findings</w:t>
      </w:r>
    </w:p>
    <w:p>
      <w:pPr>
        <w:spacing w:line="480" w:lineRule="auto" w:after="0"/>
        <w:ind w:firstLine="720"/>
      </w:pPr>
      <w:r>
        <w:rPr>
          <w:rFonts w:ascii="Times New Roman" w:hAnsi="Times New Roman"/>
          <w:sz w:val="24"/>
        </w:rPr>
        <w:t>Table 2 presents the corrected civic engagement rates by volunteering status and geographic context. Across all indicators, organized volunteers consistently demonstrate substantially higher rates of civic engagement than non-volunteers, with differences ranging from 10.5 to 49.9 percentage points. These raw descriptive differences, while not causal, suggest a strong association that warrants rigorous causal investigation.</w:t>
      </w:r>
    </w:p>
    <w:p>
      <w:pPr>
        <w:spacing w:before="240" w:line="480" w:lineRule="auto"/>
      </w:pPr>
      <w:r>
        <w:rPr>
          <w:rFonts w:ascii="Times New Roman" w:hAnsi="Times New Roman"/>
          <w:b/>
          <w:i/>
          <w:sz w:val="24"/>
        </w:rPr>
        <w:t>Table 2</w:t>
        <w:br/>
        <w:t>Civic Engagement Rates by Organized Volunteering Status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Civic Engagement Indicator</w:t>
            </w:r>
          </w:p>
        </w:tc>
        <w:tc>
          <w:tcPr>
            <w:tcW w:type="dxa" w:w="1872"/>
          </w:tcPr>
          <w:p>
            <w:pPr>
              <w:jc w:val="center"/>
            </w:pPr>
            <w:r>
              <w:rPr>
                <w:rFonts w:ascii="Times New Roman" w:hAnsi="Times New Roman"/>
                <w:b/>
                <w:sz w:val="20"/>
              </w:rPr>
              <w:t>Overall</w:t>
            </w:r>
          </w:p>
        </w:tc>
        <w:tc>
          <w:tcPr>
            <w:tcW w:type="dxa" w:w="1872"/>
          </w:tcPr>
          <w:p>
            <w:pPr>
              <w:jc w:val="center"/>
            </w:pPr>
            <w:r>
              <w:rPr>
                <w:rFonts w:ascii="Times New Roman" w:hAnsi="Times New Roman"/>
                <w:b/>
                <w:sz w:val="20"/>
              </w:rPr>
              <w:t>Volunteers</w:t>
            </w:r>
          </w:p>
        </w:tc>
        <w:tc>
          <w:tcPr>
            <w:tcW w:type="dxa" w:w="1872"/>
          </w:tcPr>
          <w:p>
            <w:pPr>
              <w:jc w:val="center"/>
            </w:pPr>
            <w:r>
              <w:rPr>
                <w:rFonts w:ascii="Times New Roman" w:hAnsi="Times New Roman"/>
                <w:b/>
                <w:sz w:val="20"/>
              </w:rPr>
              <w:t>Non-Vol.</w:t>
            </w:r>
          </w:p>
        </w:tc>
        <w:tc>
          <w:tcPr>
            <w:tcW w:type="dxa" w:w="1872"/>
          </w:tcPr>
          <w:p>
            <w:pPr>
              <w:jc w:val="center"/>
            </w:pPr>
            <w:r>
              <w:rPr>
                <w:rFonts w:ascii="Times New Roman" w:hAnsi="Times New Roman"/>
                <w:b/>
                <w:sz w:val="20"/>
              </w:rPr>
              <w:t>Diff (pp)</w:t>
            </w:r>
          </w:p>
        </w:tc>
      </w:tr>
      <w:tr>
        <w:tc>
          <w:tcPr>
            <w:tcW w:type="dxa" w:w="1872"/>
          </w:tcPr>
          <w:p>
            <w:pPr>
              <w:jc w:val="left"/>
            </w:pPr>
            <w:r>
              <w:rPr>
                <w:rFonts w:ascii="Times New Roman" w:hAnsi="Times New Roman"/>
                <w:sz w:val="20"/>
              </w:rPr>
              <w:t>Donated to charity ($25+)</w:t>
            </w:r>
          </w:p>
        </w:tc>
        <w:tc>
          <w:tcPr>
            <w:tcW w:type="dxa" w:w="1872"/>
          </w:tcPr>
          <w:p>
            <w:pPr>
              <w:jc w:val="center"/>
            </w:pPr>
            <w:r>
              <w:rPr>
                <w:rFonts w:ascii="Times New Roman" w:hAnsi="Times New Roman"/>
                <w:sz w:val="20"/>
              </w:rPr>
              <w:t>55.3%</w:t>
            </w:r>
          </w:p>
        </w:tc>
        <w:tc>
          <w:tcPr>
            <w:tcW w:type="dxa" w:w="1872"/>
          </w:tcPr>
          <w:p>
            <w:pPr>
              <w:jc w:val="center"/>
            </w:pPr>
            <w:r>
              <w:rPr>
                <w:rFonts w:ascii="Times New Roman" w:hAnsi="Times New Roman"/>
                <w:sz w:val="20"/>
              </w:rPr>
              <w:t>82.0%</w:t>
            </w:r>
          </w:p>
        </w:tc>
        <w:tc>
          <w:tcPr>
            <w:tcW w:type="dxa" w:w="1872"/>
          </w:tcPr>
          <w:p>
            <w:pPr>
              <w:jc w:val="center"/>
            </w:pPr>
            <w:r>
              <w:rPr>
                <w:rFonts w:ascii="Times New Roman" w:hAnsi="Times New Roman"/>
                <w:sz w:val="20"/>
              </w:rPr>
              <w:t>42.7%</w:t>
            </w:r>
          </w:p>
        </w:tc>
        <w:tc>
          <w:tcPr>
            <w:tcW w:type="dxa" w:w="1872"/>
          </w:tcPr>
          <w:p>
            <w:pPr>
              <w:jc w:val="center"/>
            </w:pPr>
            <w:r>
              <w:rPr>
                <w:rFonts w:ascii="Times New Roman" w:hAnsi="Times New Roman"/>
                <w:sz w:val="20"/>
              </w:rPr>
              <w:t>+39.3</w:t>
            </w:r>
          </w:p>
        </w:tc>
      </w:tr>
      <w:tr>
        <w:tc>
          <w:tcPr>
            <w:tcW w:type="dxa" w:w="1872"/>
          </w:tcPr>
          <w:p>
            <w:pPr>
              <w:jc w:val="left"/>
            </w:pPr>
            <w:r>
              <w:rPr>
                <w:rFonts w:ascii="Times New Roman" w:hAnsi="Times New Roman"/>
                <w:sz w:val="20"/>
              </w:rPr>
              <w:t>Organization membership</w:t>
            </w:r>
          </w:p>
        </w:tc>
        <w:tc>
          <w:tcPr>
            <w:tcW w:type="dxa" w:w="1872"/>
          </w:tcPr>
          <w:p>
            <w:pPr>
              <w:jc w:val="center"/>
            </w:pPr>
            <w:r>
              <w:rPr>
                <w:rFonts w:ascii="Times New Roman" w:hAnsi="Times New Roman"/>
                <w:sz w:val="20"/>
              </w:rPr>
              <w:t>29.2%</w:t>
            </w:r>
          </w:p>
        </w:tc>
        <w:tc>
          <w:tcPr>
            <w:tcW w:type="dxa" w:w="1872"/>
          </w:tcPr>
          <w:p>
            <w:pPr>
              <w:jc w:val="center"/>
            </w:pPr>
            <w:r>
              <w:rPr>
                <w:rFonts w:ascii="Times New Roman" w:hAnsi="Times New Roman"/>
                <w:sz w:val="20"/>
              </w:rPr>
              <w:t>63.2%</w:t>
            </w:r>
          </w:p>
        </w:tc>
        <w:tc>
          <w:tcPr>
            <w:tcW w:type="dxa" w:w="1872"/>
          </w:tcPr>
          <w:p>
            <w:pPr>
              <w:jc w:val="center"/>
            </w:pPr>
            <w:r>
              <w:rPr>
                <w:rFonts w:ascii="Times New Roman" w:hAnsi="Times New Roman"/>
                <w:sz w:val="20"/>
              </w:rPr>
              <w:t>13.2%</w:t>
            </w:r>
          </w:p>
        </w:tc>
        <w:tc>
          <w:tcPr>
            <w:tcW w:type="dxa" w:w="1872"/>
          </w:tcPr>
          <w:p>
            <w:pPr>
              <w:jc w:val="center"/>
            </w:pPr>
            <w:r>
              <w:rPr>
                <w:rFonts w:ascii="Times New Roman" w:hAnsi="Times New Roman"/>
                <w:sz w:val="20"/>
              </w:rPr>
              <w:t>+49.9</w:t>
            </w:r>
          </w:p>
        </w:tc>
      </w:tr>
      <w:tr>
        <w:tc>
          <w:tcPr>
            <w:tcW w:type="dxa" w:w="1872"/>
          </w:tcPr>
          <w:p>
            <w:pPr>
              <w:jc w:val="left"/>
            </w:pPr>
            <w:r>
              <w:rPr>
                <w:rFonts w:ascii="Times New Roman" w:hAnsi="Times New Roman"/>
                <w:sz w:val="20"/>
              </w:rPr>
              <w:t>Worked with neighbors</w:t>
            </w:r>
          </w:p>
        </w:tc>
        <w:tc>
          <w:tcPr>
            <w:tcW w:type="dxa" w:w="1872"/>
          </w:tcPr>
          <w:p>
            <w:pPr>
              <w:jc w:val="center"/>
            </w:pPr>
            <w:r>
              <w:rPr>
                <w:rFonts w:ascii="Times New Roman" w:hAnsi="Times New Roman"/>
                <w:sz w:val="20"/>
              </w:rPr>
              <w:t>22.2%</w:t>
            </w:r>
          </w:p>
        </w:tc>
        <w:tc>
          <w:tcPr>
            <w:tcW w:type="dxa" w:w="1872"/>
          </w:tcPr>
          <w:p>
            <w:pPr>
              <w:jc w:val="center"/>
            </w:pPr>
            <w:r>
              <w:rPr>
                <w:rFonts w:ascii="Times New Roman" w:hAnsi="Times New Roman"/>
                <w:sz w:val="20"/>
              </w:rPr>
              <w:t>42.7%</w:t>
            </w:r>
          </w:p>
        </w:tc>
        <w:tc>
          <w:tcPr>
            <w:tcW w:type="dxa" w:w="1872"/>
          </w:tcPr>
          <w:p>
            <w:pPr>
              <w:jc w:val="center"/>
            </w:pPr>
            <w:r>
              <w:rPr>
                <w:rFonts w:ascii="Times New Roman" w:hAnsi="Times New Roman"/>
                <w:sz w:val="20"/>
              </w:rPr>
              <w:t>12.6%</w:t>
            </w:r>
          </w:p>
        </w:tc>
        <w:tc>
          <w:tcPr>
            <w:tcW w:type="dxa" w:w="1872"/>
          </w:tcPr>
          <w:p>
            <w:pPr>
              <w:jc w:val="center"/>
            </w:pPr>
            <w:r>
              <w:rPr>
                <w:rFonts w:ascii="Times New Roman" w:hAnsi="Times New Roman"/>
                <w:sz w:val="20"/>
              </w:rPr>
              <w:t>+30.0</w:t>
            </w:r>
          </w:p>
        </w:tc>
      </w:tr>
      <w:tr>
        <w:tc>
          <w:tcPr>
            <w:tcW w:type="dxa" w:w="1872"/>
          </w:tcPr>
          <w:p>
            <w:pPr>
              <w:jc w:val="left"/>
            </w:pPr>
            <w:r>
              <w:rPr>
                <w:rFonts w:ascii="Times New Roman" w:hAnsi="Times New Roman"/>
                <w:sz w:val="20"/>
              </w:rPr>
              <w:t>Voted in local election</w:t>
            </w:r>
          </w:p>
        </w:tc>
        <w:tc>
          <w:tcPr>
            <w:tcW w:type="dxa" w:w="1872"/>
          </w:tcPr>
          <w:p>
            <w:pPr>
              <w:jc w:val="center"/>
            </w:pPr>
            <w:r>
              <w:rPr>
                <w:rFonts w:ascii="Times New Roman" w:hAnsi="Times New Roman"/>
                <w:sz w:val="20"/>
              </w:rPr>
              <w:t>57.8%</w:t>
            </w:r>
          </w:p>
        </w:tc>
        <w:tc>
          <w:tcPr>
            <w:tcW w:type="dxa" w:w="1872"/>
          </w:tcPr>
          <w:p>
            <w:pPr>
              <w:jc w:val="center"/>
            </w:pPr>
            <w:r>
              <w:rPr>
                <w:rFonts w:ascii="Times New Roman" w:hAnsi="Times New Roman"/>
                <w:sz w:val="20"/>
              </w:rPr>
              <w:t>74.2%</w:t>
            </w:r>
          </w:p>
        </w:tc>
        <w:tc>
          <w:tcPr>
            <w:tcW w:type="dxa" w:w="1872"/>
          </w:tcPr>
          <w:p>
            <w:pPr>
              <w:jc w:val="center"/>
            </w:pPr>
            <w:r>
              <w:rPr>
                <w:rFonts w:ascii="Times New Roman" w:hAnsi="Times New Roman"/>
                <w:sz w:val="20"/>
              </w:rPr>
              <w:t>49.9%</w:t>
            </w:r>
          </w:p>
        </w:tc>
        <w:tc>
          <w:tcPr>
            <w:tcW w:type="dxa" w:w="1872"/>
          </w:tcPr>
          <w:p>
            <w:pPr>
              <w:jc w:val="center"/>
            </w:pPr>
            <w:r>
              <w:rPr>
                <w:rFonts w:ascii="Times New Roman" w:hAnsi="Times New Roman"/>
                <w:sz w:val="20"/>
              </w:rPr>
              <w:t>+24.4</w:t>
            </w:r>
          </w:p>
        </w:tc>
      </w:tr>
      <w:tr>
        <w:tc>
          <w:tcPr>
            <w:tcW w:type="dxa" w:w="1872"/>
          </w:tcPr>
          <w:p>
            <w:pPr>
              <w:jc w:val="left"/>
            </w:pPr>
            <w:r>
              <w:rPr>
                <w:rFonts w:ascii="Times New Roman" w:hAnsi="Times New Roman"/>
                <w:sz w:val="20"/>
              </w:rPr>
              <w:t>Contacted public official</w:t>
            </w:r>
          </w:p>
        </w:tc>
        <w:tc>
          <w:tcPr>
            <w:tcW w:type="dxa" w:w="1872"/>
          </w:tcPr>
          <w:p>
            <w:pPr>
              <w:jc w:val="center"/>
            </w:pPr>
            <w:r>
              <w:rPr>
                <w:rFonts w:ascii="Times New Roman" w:hAnsi="Times New Roman"/>
                <w:sz w:val="20"/>
              </w:rPr>
              <w:t>12.3%</w:t>
            </w:r>
          </w:p>
        </w:tc>
        <w:tc>
          <w:tcPr>
            <w:tcW w:type="dxa" w:w="1872"/>
          </w:tcPr>
          <w:p>
            <w:pPr>
              <w:jc w:val="center"/>
            </w:pPr>
            <w:r>
              <w:rPr>
                <w:rFonts w:ascii="Times New Roman" w:hAnsi="Times New Roman"/>
                <w:sz w:val="20"/>
              </w:rPr>
              <w:t>25.1%</w:t>
            </w:r>
          </w:p>
        </w:tc>
        <w:tc>
          <w:tcPr>
            <w:tcW w:type="dxa" w:w="1872"/>
          </w:tcPr>
          <w:p>
            <w:pPr>
              <w:jc w:val="center"/>
            </w:pPr>
            <w:r>
              <w:rPr>
                <w:rFonts w:ascii="Times New Roman" w:hAnsi="Times New Roman"/>
                <w:sz w:val="20"/>
              </w:rPr>
              <w:t>6.2%</w:t>
            </w:r>
          </w:p>
        </w:tc>
        <w:tc>
          <w:tcPr>
            <w:tcW w:type="dxa" w:w="1872"/>
          </w:tcPr>
          <w:p>
            <w:pPr>
              <w:jc w:val="center"/>
            </w:pPr>
            <w:r>
              <w:rPr>
                <w:rFonts w:ascii="Times New Roman" w:hAnsi="Times New Roman"/>
                <w:sz w:val="20"/>
              </w:rPr>
              <w:t>+18.9</w:t>
            </w:r>
          </w:p>
        </w:tc>
      </w:tr>
      <w:tr>
        <w:tc>
          <w:tcPr>
            <w:tcW w:type="dxa" w:w="1872"/>
          </w:tcPr>
          <w:p>
            <w:pPr>
              <w:jc w:val="left"/>
            </w:pPr>
            <w:r>
              <w:rPr>
                <w:rFonts w:ascii="Times New Roman" w:hAnsi="Times New Roman"/>
                <w:sz w:val="20"/>
              </w:rPr>
              <w:t>Attended public meeting</w:t>
            </w:r>
          </w:p>
        </w:tc>
        <w:tc>
          <w:tcPr>
            <w:tcW w:type="dxa" w:w="1872"/>
          </w:tcPr>
          <w:p>
            <w:pPr>
              <w:jc w:val="center"/>
            </w:pPr>
            <w:r>
              <w:rPr>
                <w:rFonts w:ascii="Times New Roman" w:hAnsi="Times New Roman"/>
                <w:sz w:val="20"/>
              </w:rPr>
              <w:t>11.2%</w:t>
            </w:r>
          </w:p>
        </w:tc>
        <w:tc>
          <w:tcPr>
            <w:tcW w:type="dxa" w:w="1872"/>
          </w:tcPr>
          <w:p>
            <w:pPr>
              <w:jc w:val="center"/>
            </w:pPr>
            <w:r>
              <w:rPr>
                <w:rFonts w:ascii="Times New Roman" w:hAnsi="Times New Roman"/>
                <w:sz w:val="20"/>
              </w:rPr>
              <w:t>24.3%</w:t>
            </w:r>
          </w:p>
        </w:tc>
        <w:tc>
          <w:tcPr>
            <w:tcW w:type="dxa" w:w="1872"/>
          </w:tcPr>
          <w:p>
            <w:pPr>
              <w:jc w:val="center"/>
            </w:pPr>
            <w:r>
              <w:rPr>
                <w:rFonts w:ascii="Times New Roman" w:hAnsi="Times New Roman"/>
                <w:sz w:val="20"/>
              </w:rPr>
              <w:t>5.1%</w:t>
            </w:r>
          </w:p>
        </w:tc>
        <w:tc>
          <w:tcPr>
            <w:tcW w:type="dxa" w:w="1872"/>
          </w:tcPr>
          <w:p>
            <w:pPr>
              <w:jc w:val="center"/>
            </w:pPr>
            <w:r>
              <w:rPr>
                <w:rFonts w:ascii="Times New Roman" w:hAnsi="Times New Roman"/>
                <w:sz w:val="20"/>
              </w:rPr>
              <w:t>+19.3</w:t>
            </w:r>
          </w:p>
        </w:tc>
      </w:tr>
      <w:tr>
        <w:tc>
          <w:tcPr>
            <w:tcW w:type="dxa" w:w="1872"/>
          </w:tcPr>
          <w:p>
            <w:pPr>
              <w:jc w:val="left"/>
            </w:pPr>
            <w:r>
              <w:rPr>
                <w:rFonts w:ascii="Times New Roman" w:hAnsi="Times New Roman"/>
                <w:sz w:val="20"/>
              </w:rPr>
              <w:t>Boycotted/buycotted</w:t>
            </w:r>
          </w:p>
        </w:tc>
        <w:tc>
          <w:tcPr>
            <w:tcW w:type="dxa" w:w="1872"/>
          </w:tcPr>
          <w:p>
            <w:pPr>
              <w:jc w:val="center"/>
            </w:pPr>
            <w:r>
              <w:rPr>
                <w:rFonts w:ascii="Times New Roman" w:hAnsi="Times New Roman"/>
                <w:sz w:val="20"/>
              </w:rPr>
              <w:t>17.5%</w:t>
            </w:r>
          </w:p>
        </w:tc>
        <w:tc>
          <w:tcPr>
            <w:tcW w:type="dxa" w:w="1872"/>
          </w:tcPr>
          <w:p>
            <w:pPr>
              <w:jc w:val="center"/>
            </w:pPr>
            <w:r>
              <w:rPr>
                <w:rFonts w:ascii="Times New Roman" w:hAnsi="Times New Roman"/>
                <w:sz w:val="20"/>
              </w:rPr>
              <w:t>29.7%</w:t>
            </w:r>
          </w:p>
        </w:tc>
        <w:tc>
          <w:tcPr>
            <w:tcW w:type="dxa" w:w="1872"/>
          </w:tcPr>
          <w:p>
            <w:pPr>
              <w:jc w:val="center"/>
            </w:pPr>
            <w:r>
              <w:rPr>
                <w:rFonts w:ascii="Times New Roman" w:hAnsi="Times New Roman"/>
                <w:sz w:val="20"/>
              </w:rPr>
              <w:t>11.8%</w:t>
            </w:r>
          </w:p>
        </w:tc>
        <w:tc>
          <w:tcPr>
            <w:tcW w:type="dxa" w:w="1872"/>
          </w:tcPr>
          <w:p>
            <w:pPr>
              <w:jc w:val="center"/>
            </w:pPr>
            <w:r>
              <w:rPr>
                <w:rFonts w:ascii="Times New Roman" w:hAnsi="Times New Roman"/>
                <w:sz w:val="20"/>
              </w:rPr>
              <w:t>+17.9</w:t>
            </w:r>
          </w:p>
        </w:tc>
      </w:tr>
      <w:tr>
        <w:tc>
          <w:tcPr>
            <w:tcW w:type="dxa" w:w="1872"/>
          </w:tcPr>
          <w:p>
            <w:pPr>
              <w:jc w:val="left"/>
            </w:pPr>
            <w:r>
              <w:rPr>
                <w:rFonts w:ascii="Times New Roman" w:hAnsi="Times New Roman"/>
                <w:sz w:val="20"/>
              </w:rPr>
              <w:t>Donated to political org</w:t>
            </w:r>
          </w:p>
        </w:tc>
        <w:tc>
          <w:tcPr>
            <w:tcW w:type="dxa" w:w="1872"/>
          </w:tcPr>
          <w:p>
            <w:pPr>
              <w:jc w:val="center"/>
            </w:pPr>
            <w:r>
              <w:rPr>
                <w:rFonts w:ascii="Times New Roman" w:hAnsi="Times New Roman"/>
                <w:sz w:val="20"/>
              </w:rPr>
              <w:t>9.9%</w:t>
            </w:r>
          </w:p>
        </w:tc>
        <w:tc>
          <w:tcPr>
            <w:tcW w:type="dxa" w:w="1872"/>
          </w:tcPr>
          <w:p>
            <w:pPr>
              <w:jc w:val="center"/>
            </w:pPr>
            <w:r>
              <w:rPr>
                <w:rFonts w:ascii="Times New Roman" w:hAnsi="Times New Roman"/>
                <w:sz w:val="20"/>
              </w:rPr>
              <w:t>17.1%</w:t>
            </w:r>
          </w:p>
        </w:tc>
        <w:tc>
          <w:tcPr>
            <w:tcW w:type="dxa" w:w="1872"/>
          </w:tcPr>
          <w:p>
            <w:pPr>
              <w:jc w:val="center"/>
            </w:pPr>
            <w:r>
              <w:rPr>
                <w:rFonts w:ascii="Times New Roman" w:hAnsi="Times New Roman"/>
                <w:sz w:val="20"/>
              </w:rPr>
              <w:t>6.5%</w:t>
            </w:r>
          </w:p>
        </w:tc>
        <w:tc>
          <w:tcPr>
            <w:tcW w:type="dxa" w:w="1872"/>
          </w:tcPr>
          <w:p>
            <w:pPr>
              <w:jc w:val="center"/>
            </w:pPr>
            <w:r>
              <w:rPr>
                <w:rFonts w:ascii="Times New Roman" w:hAnsi="Times New Roman"/>
                <w:sz w:val="20"/>
              </w:rPr>
              <w:t>+10.5</w:t>
            </w:r>
          </w:p>
        </w:tc>
      </w:tr>
    </w:tbl>
    <w:p>
      <w:pPr>
        <w:spacing w:line="480" w:lineRule="auto"/>
      </w:pPr>
      <w:r>
        <w:rPr>
          <w:rFonts w:ascii="Times New Roman" w:hAnsi="Times New Roman"/>
          <w:i/>
          <w:sz w:val="20"/>
        </w:rPr>
        <w:t xml:space="preserve">Note. </w:t>
      </w:r>
      <w:r>
        <w:rPr>
          <w:rFonts w:ascii="Times New Roman" w:hAnsi="Times New Roman"/>
          <w:sz w:val="20"/>
        </w:rPr>
        <w:t>Corrected coding: IPUMS binary variables coded 1 = No, 2 = Yes. pp = percentage points. All rates calculated among respondents with valid responses (excluding refused, don't know, and NIU).</w:t>
      </w:r>
    </w:p>
    <w:p/>
    <w:p>
      <w:pPr>
        <w:spacing w:before="240" w:line="480" w:lineRule="auto"/>
      </w:pPr>
      <w:r>
        <w:rPr>
          <w:rFonts w:ascii="Times New Roman" w:hAnsi="Times New Roman"/>
          <w:b/>
          <w:i/>
          <w:sz w:val="24"/>
        </w:rPr>
        <w:t>Table 3</w:t>
        <w:br/>
        <w:t>Rural-Urban Differential in Volunteering–Civic Engagement Association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20"/>
              </w:rPr>
              <w:t>Indicator</w:t>
            </w:r>
          </w:p>
        </w:tc>
        <w:tc>
          <w:tcPr>
            <w:tcW w:type="dxa" w:w="1337"/>
          </w:tcPr>
          <w:p>
            <w:pPr>
              <w:jc w:val="center"/>
            </w:pPr>
            <w:r>
              <w:rPr>
                <w:rFonts w:ascii="Times New Roman" w:hAnsi="Times New Roman"/>
                <w:b/>
                <w:sz w:val="20"/>
              </w:rPr>
              <w:t>Rural Vol.</w:t>
            </w:r>
          </w:p>
        </w:tc>
        <w:tc>
          <w:tcPr>
            <w:tcW w:type="dxa" w:w="1337"/>
          </w:tcPr>
          <w:p>
            <w:pPr>
              <w:jc w:val="center"/>
            </w:pPr>
            <w:r>
              <w:rPr>
                <w:rFonts w:ascii="Times New Roman" w:hAnsi="Times New Roman"/>
                <w:b/>
                <w:sz w:val="20"/>
              </w:rPr>
              <w:t>Rural Non-Vol.</w:t>
            </w:r>
          </w:p>
        </w:tc>
        <w:tc>
          <w:tcPr>
            <w:tcW w:type="dxa" w:w="1337"/>
          </w:tcPr>
          <w:p>
            <w:pPr>
              <w:jc w:val="center"/>
            </w:pPr>
            <w:r>
              <w:rPr>
                <w:rFonts w:ascii="Times New Roman" w:hAnsi="Times New Roman"/>
                <w:b/>
                <w:sz w:val="20"/>
              </w:rPr>
              <w:t>Rural Diff</w:t>
            </w:r>
          </w:p>
        </w:tc>
        <w:tc>
          <w:tcPr>
            <w:tcW w:type="dxa" w:w="1337"/>
          </w:tcPr>
          <w:p>
            <w:pPr>
              <w:jc w:val="center"/>
            </w:pPr>
            <w:r>
              <w:rPr>
                <w:rFonts w:ascii="Times New Roman" w:hAnsi="Times New Roman"/>
                <w:b/>
                <w:sz w:val="20"/>
              </w:rPr>
              <w:t>Urban Vol.</w:t>
            </w:r>
          </w:p>
        </w:tc>
        <w:tc>
          <w:tcPr>
            <w:tcW w:type="dxa" w:w="1337"/>
          </w:tcPr>
          <w:p>
            <w:pPr>
              <w:jc w:val="center"/>
            </w:pPr>
            <w:r>
              <w:rPr>
                <w:rFonts w:ascii="Times New Roman" w:hAnsi="Times New Roman"/>
                <w:b/>
                <w:sz w:val="20"/>
              </w:rPr>
              <w:t>Urban Non-Vol.</w:t>
            </w:r>
          </w:p>
        </w:tc>
        <w:tc>
          <w:tcPr>
            <w:tcW w:type="dxa" w:w="1337"/>
          </w:tcPr>
          <w:p>
            <w:pPr>
              <w:jc w:val="center"/>
            </w:pPr>
            <w:r>
              <w:rPr>
                <w:rFonts w:ascii="Times New Roman" w:hAnsi="Times New Roman"/>
                <w:b/>
                <w:sz w:val="20"/>
              </w:rPr>
              <w:t>Urban Diff</w:t>
            </w:r>
          </w:p>
        </w:tc>
      </w:tr>
      <w:tr>
        <w:tc>
          <w:tcPr>
            <w:tcW w:type="dxa" w:w="1337"/>
          </w:tcPr>
          <w:p>
            <w:pPr>
              <w:jc w:val="left"/>
            </w:pPr>
            <w:r>
              <w:rPr>
                <w:rFonts w:ascii="Times New Roman" w:hAnsi="Times New Roman"/>
                <w:sz w:val="20"/>
              </w:rPr>
              <w:t>Donated to charity</w:t>
            </w:r>
          </w:p>
        </w:tc>
        <w:tc>
          <w:tcPr>
            <w:tcW w:type="dxa" w:w="1337"/>
          </w:tcPr>
          <w:p>
            <w:pPr>
              <w:jc w:val="center"/>
            </w:pPr>
            <w:r>
              <w:rPr>
                <w:rFonts w:ascii="Times New Roman" w:hAnsi="Times New Roman"/>
                <w:sz w:val="20"/>
              </w:rPr>
              <w:t>80.7%</w:t>
            </w:r>
          </w:p>
        </w:tc>
        <w:tc>
          <w:tcPr>
            <w:tcW w:type="dxa" w:w="1337"/>
          </w:tcPr>
          <w:p>
            <w:pPr>
              <w:jc w:val="center"/>
            </w:pPr>
            <w:r>
              <w:rPr>
                <w:rFonts w:ascii="Times New Roman" w:hAnsi="Times New Roman"/>
                <w:sz w:val="20"/>
              </w:rPr>
              <w:t>40.0%</w:t>
            </w:r>
          </w:p>
        </w:tc>
        <w:tc>
          <w:tcPr>
            <w:tcW w:type="dxa" w:w="1337"/>
          </w:tcPr>
          <w:p>
            <w:pPr>
              <w:jc w:val="center"/>
            </w:pPr>
            <w:r>
              <w:rPr>
                <w:rFonts w:ascii="Times New Roman" w:hAnsi="Times New Roman"/>
                <w:sz w:val="20"/>
              </w:rPr>
              <w:t>+40.7</w:t>
            </w:r>
          </w:p>
        </w:tc>
        <w:tc>
          <w:tcPr>
            <w:tcW w:type="dxa" w:w="1337"/>
          </w:tcPr>
          <w:p>
            <w:pPr>
              <w:jc w:val="center"/>
            </w:pPr>
            <w:r>
              <w:rPr>
                <w:rFonts w:ascii="Times New Roman" w:hAnsi="Times New Roman"/>
                <w:sz w:val="20"/>
              </w:rPr>
              <w:t>82.4%</w:t>
            </w:r>
          </w:p>
        </w:tc>
        <w:tc>
          <w:tcPr>
            <w:tcW w:type="dxa" w:w="1337"/>
          </w:tcPr>
          <w:p>
            <w:pPr>
              <w:jc w:val="center"/>
            </w:pPr>
            <w:r>
              <w:rPr>
                <w:rFonts w:ascii="Times New Roman" w:hAnsi="Times New Roman"/>
                <w:sz w:val="20"/>
              </w:rPr>
              <w:t>43.5%</w:t>
            </w:r>
          </w:p>
        </w:tc>
        <w:tc>
          <w:tcPr>
            <w:tcW w:type="dxa" w:w="1337"/>
          </w:tcPr>
          <w:p>
            <w:pPr>
              <w:jc w:val="center"/>
            </w:pPr>
            <w:r>
              <w:rPr>
                <w:rFonts w:ascii="Times New Roman" w:hAnsi="Times New Roman"/>
                <w:sz w:val="20"/>
              </w:rPr>
              <w:t>+38.9</w:t>
            </w:r>
          </w:p>
        </w:tc>
      </w:tr>
      <w:tr>
        <w:tc>
          <w:tcPr>
            <w:tcW w:type="dxa" w:w="1337"/>
          </w:tcPr>
          <w:p>
            <w:pPr>
              <w:jc w:val="left"/>
            </w:pPr>
            <w:r>
              <w:rPr>
                <w:rFonts w:ascii="Times New Roman" w:hAnsi="Times New Roman"/>
                <w:sz w:val="20"/>
              </w:rPr>
              <w:t>Organization member</w:t>
            </w:r>
          </w:p>
        </w:tc>
        <w:tc>
          <w:tcPr>
            <w:tcW w:type="dxa" w:w="1337"/>
          </w:tcPr>
          <w:p>
            <w:pPr>
              <w:jc w:val="center"/>
            </w:pPr>
            <w:r>
              <w:rPr>
                <w:rFonts w:ascii="Times New Roman" w:hAnsi="Times New Roman"/>
                <w:sz w:val="20"/>
              </w:rPr>
              <w:t>64.9%</w:t>
            </w:r>
          </w:p>
        </w:tc>
        <w:tc>
          <w:tcPr>
            <w:tcW w:type="dxa" w:w="1337"/>
          </w:tcPr>
          <w:p>
            <w:pPr>
              <w:jc w:val="center"/>
            </w:pPr>
            <w:r>
              <w:rPr>
                <w:rFonts w:ascii="Times New Roman" w:hAnsi="Times New Roman"/>
                <w:sz w:val="20"/>
              </w:rPr>
              <w:t>13.3%</w:t>
            </w:r>
          </w:p>
        </w:tc>
        <w:tc>
          <w:tcPr>
            <w:tcW w:type="dxa" w:w="1337"/>
          </w:tcPr>
          <w:p>
            <w:pPr>
              <w:jc w:val="center"/>
            </w:pPr>
            <w:r>
              <w:rPr>
                <w:rFonts w:ascii="Times New Roman" w:hAnsi="Times New Roman"/>
                <w:sz w:val="20"/>
              </w:rPr>
              <w:t>+51.6</w:t>
            </w:r>
          </w:p>
        </w:tc>
        <w:tc>
          <w:tcPr>
            <w:tcW w:type="dxa" w:w="1337"/>
          </w:tcPr>
          <w:p>
            <w:pPr>
              <w:jc w:val="center"/>
            </w:pPr>
            <w:r>
              <w:rPr>
                <w:rFonts w:ascii="Times New Roman" w:hAnsi="Times New Roman"/>
                <w:sz w:val="20"/>
              </w:rPr>
              <w:t>62.7%</w:t>
            </w:r>
          </w:p>
        </w:tc>
        <w:tc>
          <w:tcPr>
            <w:tcW w:type="dxa" w:w="1337"/>
          </w:tcPr>
          <w:p>
            <w:pPr>
              <w:jc w:val="center"/>
            </w:pPr>
            <w:r>
              <w:rPr>
                <w:rFonts w:ascii="Times New Roman" w:hAnsi="Times New Roman"/>
                <w:sz w:val="20"/>
              </w:rPr>
              <w:t>13.2%</w:t>
            </w:r>
          </w:p>
        </w:tc>
        <w:tc>
          <w:tcPr>
            <w:tcW w:type="dxa" w:w="1337"/>
          </w:tcPr>
          <w:p>
            <w:pPr>
              <w:jc w:val="center"/>
            </w:pPr>
            <w:r>
              <w:rPr>
                <w:rFonts w:ascii="Times New Roman" w:hAnsi="Times New Roman"/>
                <w:sz w:val="20"/>
              </w:rPr>
              <w:t>+49.5</w:t>
            </w:r>
          </w:p>
        </w:tc>
      </w:tr>
      <w:tr>
        <w:tc>
          <w:tcPr>
            <w:tcW w:type="dxa" w:w="1337"/>
          </w:tcPr>
          <w:p>
            <w:pPr>
              <w:jc w:val="left"/>
            </w:pPr>
            <w:r>
              <w:rPr>
                <w:rFonts w:ascii="Times New Roman" w:hAnsi="Times New Roman"/>
                <w:sz w:val="20"/>
              </w:rPr>
              <w:t>Worked w/ neighbors</w:t>
            </w:r>
          </w:p>
        </w:tc>
        <w:tc>
          <w:tcPr>
            <w:tcW w:type="dxa" w:w="1337"/>
          </w:tcPr>
          <w:p>
            <w:pPr>
              <w:jc w:val="center"/>
            </w:pPr>
            <w:r>
              <w:rPr>
                <w:rFonts w:ascii="Times New Roman" w:hAnsi="Times New Roman"/>
                <w:sz w:val="20"/>
              </w:rPr>
              <w:t>45.5%</w:t>
            </w:r>
          </w:p>
        </w:tc>
        <w:tc>
          <w:tcPr>
            <w:tcW w:type="dxa" w:w="1337"/>
          </w:tcPr>
          <w:p>
            <w:pPr>
              <w:jc w:val="center"/>
            </w:pPr>
            <w:r>
              <w:rPr>
                <w:rFonts w:ascii="Times New Roman" w:hAnsi="Times New Roman"/>
                <w:sz w:val="20"/>
              </w:rPr>
              <w:t>13.1%</w:t>
            </w:r>
          </w:p>
        </w:tc>
        <w:tc>
          <w:tcPr>
            <w:tcW w:type="dxa" w:w="1337"/>
          </w:tcPr>
          <w:p>
            <w:pPr>
              <w:jc w:val="center"/>
            </w:pPr>
            <w:r>
              <w:rPr>
                <w:rFonts w:ascii="Times New Roman" w:hAnsi="Times New Roman"/>
                <w:sz w:val="20"/>
              </w:rPr>
              <w:t>+32.4</w:t>
            </w:r>
          </w:p>
        </w:tc>
        <w:tc>
          <w:tcPr>
            <w:tcW w:type="dxa" w:w="1337"/>
          </w:tcPr>
          <w:p>
            <w:pPr>
              <w:jc w:val="center"/>
            </w:pPr>
            <w:r>
              <w:rPr>
                <w:rFonts w:ascii="Times New Roman" w:hAnsi="Times New Roman"/>
                <w:sz w:val="20"/>
              </w:rPr>
              <w:t>41.9%</w:t>
            </w:r>
          </w:p>
        </w:tc>
        <w:tc>
          <w:tcPr>
            <w:tcW w:type="dxa" w:w="1337"/>
          </w:tcPr>
          <w:p>
            <w:pPr>
              <w:jc w:val="center"/>
            </w:pPr>
            <w:r>
              <w:rPr>
                <w:rFonts w:ascii="Times New Roman" w:hAnsi="Times New Roman"/>
                <w:sz w:val="20"/>
              </w:rPr>
              <w:t>12.5%</w:t>
            </w:r>
          </w:p>
        </w:tc>
        <w:tc>
          <w:tcPr>
            <w:tcW w:type="dxa" w:w="1337"/>
          </w:tcPr>
          <w:p>
            <w:pPr>
              <w:jc w:val="center"/>
            </w:pPr>
            <w:r>
              <w:rPr>
                <w:rFonts w:ascii="Times New Roman" w:hAnsi="Times New Roman"/>
                <w:sz w:val="20"/>
              </w:rPr>
              <w:t>+29.4</w:t>
            </w:r>
          </w:p>
        </w:tc>
      </w:tr>
      <w:tr>
        <w:tc>
          <w:tcPr>
            <w:tcW w:type="dxa" w:w="1337"/>
          </w:tcPr>
          <w:p>
            <w:pPr>
              <w:jc w:val="left"/>
            </w:pPr>
            <w:r>
              <w:rPr>
                <w:rFonts w:ascii="Times New Roman" w:hAnsi="Times New Roman"/>
                <w:sz w:val="20"/>
              </w:rPr>
              <w:t>Contacted official</w:t>
            </w:r>
          </w:p>
        </w:tc>
        <w:tc>
          <w:tcPr>
            <w:tcW w:type="dxa" w:w="1337"/>
          </w:tcPr>
          <w:p>
            <w:pPr>
              <w:jc w:val="center"/>
            </w:pPr>
            <w:r>
              <w:rPr>
                <w:rFonts w:ascii="Times New Roman" w:hAnsi="Times New Roman"/>
                <w:sz w:val="20"/>
              </w:rPr>
              <w:t>28.5%</w:t>
            </w:r>
          </w:p>
        </w:tc>
        <w:tc>
          <w:tcPr>
            <w:tcW w:type="dxa" w:w="1337"/>
          </w:tcPr>
          <w:p>
            <w:pPr>
              <w:jc w:val="center"/>
            </w:pPr>
            <w:r>
              <w:rPr>
                <w:rFonts w:ascii="Times New Roman" w:hAnsi="Times New Roman"/>
                <w:sz w:val="20"/>
              </w:rPr>
              <w:t>6.9%</w:t>
            </w:r>
          </w:p>
        </w:tc>
        <w:tc>
          <w:tcPr>
            <w:tcW w:type="dxa" w:w="1337"/>
          </w:tcPr>
          <w:p>
            <w:pPr>
              <w:jc w:val="center"/>
            </w:pPr>
            <w:r>
              <w:rPr>
                <w:rFonts w:ascii="Times New Roman" w:hAnsi="Times New Roman"/>
                <w:sz w:val="20"/>
              </w:rPr>
              <w:t>+21.6</w:t>
            </w:r>
          </w:p>
        </w:tc>
        <w:tc>
          <w:tcPr>
            <w:tcW w:type="dxa" w:w="1337"/>
          </w:tcPr>
          <w:p>
            <w:pPr>
              <w:jc w:val="center"/>
            </w:pPr>
            <w:r>
              <w:rPr>
                <w:rFonts w:ascii="Times New Roman" w:hAnsi="Times New Roman"/>
                <w:sz w:val="20"/>
              </w:rPr>
              <w:t>24.2%</w:t>
            </w:r>
          </w:p>
        </w:tc>
        <w:tc>
          <w:tcPr>
            <w:tcW w:type="dxa" w:w="1337"/>
          </w:tcPr>
          <w:p>
            <w:pPr>
              <w:jc w:val="center"/>
            </w:pPr>
            <w:r>
              <w:rPr>
                <w:rFonts w:ascii="Times New Roman" w:hAnsi="Times New Roman"/>
                <w:sz w:val="20"/>
              </w:rPr>
              <w:t>6.1%</w:t>
            </w:r>
          </w:p>
        </w:tc>
        <w:tc>
          <w:tcPr>
            <w:tcW w:type="dxa" w:w="1337"/>
          </w:tcPr>
          <w:p>
            <w:pPr>
              <w:jc w:val="center"/>
            </w:pPr>
            <w:r>
              <w:rPr>
                <w:rFonts w:ascii="Times New Roman" w:hAnsi="Times New Roman"/>
                <w:sz w:val="20"/>
              </w:rPr>
              <w:t>+18.2</w:t>
            </w:r>
          </w:p>
        </w:tc>
      </w:tr>
      <w:tr>
        <w:tc>
          <w:tcPr>
            <w:tcW w:type="dxa" w:w="1337"/>
          </w:tcPr>
          <w:p>
            <w:pPr>
              <w:jc w:val="left"/>
            </w:pPr>
            <w:r>
              <w:rPr>
                <w:rFonts w:ascii="Times New Roman" w:hAnsi="Times New Roman"/>
                <w:sz w:val="20"/>
              </w:rPr>
              <w:t>Attended meeting</w:t>
            </w:r>
          </w:p>
        </w:tc>
        <w:tc>
          <w:tcPr>
            <w:tcW w:type="dxa" w:w="1337"/>
          </w:tcPr>
          <w:p>
            <w:pPr>
              <w:jc w:val="center"/>
            </w:pPr>
            <w:r>
              <w:rPr>
                <w:rFonts w:ascii="Times New Roman" w:hAnsi="Times New Roman"/>
                <w:sz w:val="20"/>
              </w:rPr>
              <w:t>28.4%</w:t>
            </w:r>
          </w:p>
        </w:tc>
        <w:tc>
          <w:tcPr>
            <w:tcW w:type="dxa" w:w="1337"/>
          </w:tcPr>
          <w:p>
            <w:pPr>
              <w:jc w:val="center"/>
            </w:pPr>
            <w:r>
              <w:rPr>
                <w:rFonts w:ascii="Times New Roman" w:hAnsi="Times New Roman"/>
                <w:sz w:val="20"/>
              </w:rPr>
              <w:t>5.7%</w:t>
            </w:r>
          </w:p>
        </w:tc>
        <w:tc>
          <w:tcPr>
            <w:tcW w:type="dxa" w:w="1337"/>
          </w:tcPr>
          <w:p>
            <w:pPr>
              <w:jc w:val="center"/>
            </w:pPr>
            <w:r>
              <w:rPr>
                <w:rFonts w:ascii="Times New Roman" w:hAnsi="Times New Roman"/>
                <w:sz w:val="20"/>
              </w:rPr>
              <w:t>+22.7</w:t>
            </w:r>
          </w:p>
        </w:tc>
        <w:tc>
          <w:tcPr>
            <w:tcW w:type="dxa" w:w="1337"/>
          </w:tcPr>
          <w:p>
            <w:pPr>
              <w:jc w:val="center"/>
            </w:pPr>
            <w:r>
              <w:rPr>
                <w:rFonts w:ascii="Times New Roman" w:hAnsi="Times New Roman"/>
                <w:sz w:val="20"/>
              </w:rPr>
              <w:t>23.3%</w:t>
            </w:r>
          </w:p>
        </w:tc>
        <w:tc>
          <w:tcPr>
            <w:tcW w:type="dxa" w:w="1337"/>
          </w:tcPr>
          <w:p>
            <w:pPr>
              <w:jc w:val="center"/>
            </w:pPr>
            <w:r>
              <w:rPr>
                <w:rFonts w:ascii="Times New Roman" w:hAnsi="Times New Roman"/>
                <w:sz w:val="20"/>
              </w:rPr>
              <w:t>4.9%</w:t>
            </w:r>
          </w:p>
        </w:tc>
        <w:tc>
          <w:tcPr>
            <w:tcW w:type="dxa" w:w="1337"/>
          </w:tcPr>
          <w:p>
            <w:pPr>
              <w:jc w:val="center"/>
            </w:pPr>
            <w:r>
              <w:rPr>
                <w:rFonts w:ascii="Times New Roman" w:hAnsi="Times New Roman"/>
                <w:sz w:val="20"/>
              </w:rPr>
              <w:t>+18.4</w:t>
            </w:r>
          </w:p>
        </w:tc>
      </w:tr>
    </w:tbl>
    <w:p>
      <w:pPr>
        <w:spacing w:line="480" w:lineRule="auto"/>
      </w:pPr>
      <w:r>
        <w:rPr>
          <w:rFonts w:ascii="Times New Roman" w:hAnsi="Times New Roman"/>
          <w:i/>
          <w:sz w:val="20"/>
        </w:rPr>
        <w:t xml:space="preserve">Note. </w:t>
      </w:r>
      <w:r>
        <w:rPr>
          <w:rFonts w:ascii="Times New Roman" w:hAnsi="Times New Roman"/>
          <w:sz w:val="20"/>
        </w:rPr>
        <w:t>Differences reported in percentage points. Rural = non-metropolitan area (METRO = 1); Urban = metropolitan area (METRO = 2, 3, or 4).</w:t>
      </w:r>
    </w:p>
    <w:p/>
    <w:p>
      <w:pPr>
        <w:spacing w:before="240" w:after="240" w:line="480" w:lineRule="auto"/>
        <w:ind w:firstLine="720"/>
        <w:jc w:val="left"/>
      </w:pPr>
      <w:r>
        <w:rPr>
          <w:rFonts w:ascii="Times New Roman" w:hAnsi="Times New Roman"/>
          <w:b/>
          <w:i/>
          <w:sz w:val="24"/>
        </w:rPr>
        <w:t>Key Preliminary Observations</w:t>
      </w:r>
    </w:p>
    <w:p>
      <w:pPr>
        <w:spacing w:line="480" w:lineRule="auto" w:after="0"/>
        <w:ind w:firstLine="720"/>
      </w:pPr>
      <w:r>
        <w:rPr>
          <w:rFonts w:ascii="Times New Roman" w:hAnsi="Times New Roman"/>
          <w:sz w:val="24"/>
        </w:rPr>
        <w:t>Three notable patterns emerge from the preliminary analysis. First, the volunteering–civic engagement association is consistently stronger in rural areas than in urban areas across nearly all indicators. Rural volunteers show larger differences from rural non-volunteers (e.g., +51.6 pp for organization membership, +22.7 pp for meeting attendance) compared to the corresponding urban differences (+49.5 pp and +18.4 pp, respectively). This rural amplification effect aligns with the Community Capitals Framework prediction that volunteering serves as a more critical civic pathway in resource-constrained environments.</w:t>
      </w:r>
    </w:p>
    <w:p>
      <w:pPr>
        <w:spacing w:line="480" w:lineRule="auto" w:after="0"/>
        <w:ind w:firstLine="720"/>
      </w:pPr>
      <w:r>
        <w:rPr>
          <w:rFonts w:ascii="Times New Roman" w:hAnsi="Times New Roman"/>
          <w:sz w:val="24"/>
        </w:rPr>
        <w:t>Second, the 2021 wave shows a marked decline in volunteering rates (27.4%, down from 33–34% in 2017–2019), reflecting the impact of the COVID-19 pandemic on organized civic activities. This temporal variation provides a natural experiment-like context for examining how disruptions to volunteering infrastructure affect the broader civic engagement ecosystem.</w:t>
      </w:r>
    </w:p>
    <w:p>
      <w:pPr>
        <w:spacing w:line="480" w:lineRule="auto" w:after="0"/>
        <w:ind w:firstLine="720"/>
      </w:pPr>
      <w:r>
        <w:rPr>
          <w:rFonts w:ascii="Times New Roman" w:hAnsi="Times New Roman"/>
          <w:sz w:val="24"/>
        </w:rPr>
        <w:t>Third, the magnitude of the raw differences (10–50 percentage points) is striking, but likely confounded by self-selection: individuals with stronger civic dispositions are more likely both to volunteer and to engage civically. The Causal Forest methodology directly addresses this selection concern through its conditional independence framework.</w:t>
      </w:r>
    </w:p>
    <w:p>
      <w:r>
        <w:br w:type="page"/>
      </w:r>
    </w:p>
    <w:p>
      <w:pPr>
        <w:spacing w:before="240" w:after="240" w:line="480" w:lineRule="auto"/>
        <w:jc w:val="center"/>
      </w:pPr>
      <w:r>
        <w:rPr>
          <w:rFonts w:ascii="Times New Roman" w:hAnsi="Times New Roman"/>
          <w:b/>
          <w:sz w:val="24"/>
        </w:rPr>
        <w:t>Proposed Analytical Framework</w:t>
      </w:r>
    </w:p>
    <w:p>
      <w:pPr>
        <w:spacing w:line="480" w:lineRule="auto" w:after="0"/>
        <w:ind w:firstLine="720"/>
      </w:pPr>
      <w:r>
        <w:rPr>
          <w:rFonts w:ascii="Times New Roman" w:hAnsi="Times New Roman"/>
          <w:sz w:val="24"/>
        </w:rPr>
        <w:t>This study proposes a novel three-phase analytical framework that integrates person-centered classification, causal machine learning, and interpretable AI methods. Each phase builds upon the previous, creating a coherent analytical narrative that moves from description ("Who are they?") to causal inference ("What works for whom?") to explanation ("Why?").</w:t>
      </w:r>
    </w:p>
    <w:p>
      <w:pPr>
        <w:spacing w:before="240" w:line="480" w:lineRule="auto"/>
      </w:pPr>
      <w:r>
        <w:rPr>
          <w:rFonts w:ascii="Times New Roman" w:hAnsi="Times New Roman"/>
          <w:b/>
          <w:i/>
          <w:sz w:val="24"/>
        </w:rPr>
        <w:t>Table 4</w:t>
        <w:br/>
        <w:t>Three-Phase Analytical Framework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Phase</w:t>
            </w:r>
          </w:p>
        </w:tc>
        <w:tc>
          <w:tcPr>
            <w:tcW w:type="dxa" w:w="1872"/>
          </w:tcPr>
          <w:p>
            <w:pPr>
              <w:jc w:val="center"/>
            </w:pPr>
            <w:r>
              <w:rPr>
                <w:rFonts w:ascii="Times New Roman" w:hAnsi="Times New Roman"/>
                <w:b/>
                <w:sz w:val="20"/>
              </w:rPr>
              <w:t>Method</w:t>
            </w:r>
          </w:p>
        </w:tc>
        <w:tc>
          <w:tcPr>
            <w:tcW w:type="dxa" w:w="1872"/>
          </w:tcPr>
          <w:p>
            <w:pPr>
              <w:jc w:val="center"/>
            </w:pPr>
            <w:r>
              <w:rPr>
                <w:rFonts w:ascii="Times New Roman" w:hAnsi="Times New Roman"/>
                <w:b/>
                <w:sz w:val="20"/>
              </w:rPr>
              <w:t>Question</w:t>
            </w:r>
          </w:p>
        </w:tc>
        <w:tc>
          <w:tcPr>
            <w:tcW w:type="dxa" w:w="1872"/>
          </w:tcPr>
          <w:p>
            <w:pPr>
              <w:jc w:val="center"/>
            </w:pPr>
            <w:r>
              <w:rPr>
                <w:rFonts w:ascii="Times New Roman" w:hAnsi="Times New Roman"/>
                <w:b/>
                <w:sz w:val="20"/>
              </w:rPr>
              <w:t>Output</w:t>
            </w:r>
          </w:p>
        </w:tc>
        <w:tc>
          <w:tcPr>
            <w:tcW w:type="dxa" w:w="1872"/>
          </w:tcPr>
          <w:p>
            <w:pPr>
              <w:jc w:val="center"/>
            </w:pPr>
            <w:r>
              <w:rPr>
                <w:rFonts w:ascii="Times New Roman" w:hAnsi="Times New Roman"/>
                <w:b/>
                <w:sz w:val="20"/>
              </w:rPr>
              <w:t>Software</w:t>
            </w:r>
          </w:p>
        </w:tc>
      </w:tr>
      <w:tr>
        <w:tc>
          <w:tcPr>
            <w:tcW w:type="dxa" w:w="1872"/>
          </w:tcPr>
          <w:p>
            <w:pPr>
              <w:jc w:val="left"/>
            </w:pPr>
            <w:r>
              <w:rPr>
                <w:rFonts w:ascii="Times New Roman" w:hAnsi="Times New Roman"/>
                <w:sz w:val="20"/>
              </w:rPr>
              <w:t>Phase 1</w:t>
            </w:r>
          </w:p>
        </w:tc>
        <w:tc>
          <w:tcPr>
            <w:tcW w:type="dxa" w:w="1872"/>
          </w:tcPr>
          <w:p>
            <w:pPr>
              <w:jc w:val="center"/>
            </w:pPr>
            <w:r>
              <w:rPr>
                <w:rFonts w:ascii="Times New Roman" w:hAnsi="Times New Roman"/>
                <w:sz w:val="20"/>
              </w:rPr>
              <w:t>Latent Profile Analysis</w:t>
            </w:r>
          </w:p>
        </w:tc>
        <w:tc>
          <w:tcPr>
            <w:tcW w:type="dxa" w:w="1872"/>
          </w:tcPr>
          <w:p>
            <w:pPr>
              <w:jc w:val="center"/>
            </w:pPr>
            <w:r>
              <w:rPr>
                <w:rFonts w:ascii="Times New Roman" w:hAnsi="Times New Roman"/>
                <w:sz w:val="20"/>
              </w:rPr>
              <w:t>Who are they?</w:t>
            </w:r>
          </w:p>
        </w:tc>
        <w:tc>
          <w:tcPr>
            <w:tcW w:type="dxa" w:w="1872"/>
          </w:tcPr>
          <w:p>
            <w:pPr>
              <w:jc w:val="center"/>
            </w:pPr>
            <w:r>
              <w:rPr>
                <w:rFonts w:ascii="Times New Roman" w:hAnsi="Times New Roman"/>
                <w:sz w:val="20"/>
              </w:rPr>
              <w:t>Civic engagement typology (K profiles)</w:t>
            </w:r>
          </w:p>
        </w:tc>
        <w:tc>
          <w:tcPr>
            <w:tcW w:type="dxa" w:w="1872"/>
          </w:tcPr>
          <w:p>
            <w:pPr>
              <w:jc w:val="center"/>
            </w:pPr>
            <w:r>
              <w:rPr>
                <w:rFonts w:ascii="Times New Roman" w:hAnsi="Times New Roman"/>
                <w:sz w:val="20"/>
              </w:rPr>
              <w:t>R (tidyLPA)</w:t>
            </w:r>
          </w:p>
        </w:tc>
      </w:tr>
      <w:tr>
        <w:tc>
          <w:tcPr>
            <w:tcW w:type="dxa" w:w="1872"/>
          </w:tcPr>
          <w:p>
            <w:pPr>
              <w:jc w:val="left"/>
            </w:pPr>
            <w:r>
              <w:rPr>
                <w:rFonts w:ascii="Times New Roman" w:hAnsi="Times New Roman"/>
                <w:sz w:val="20"/>
              </w:rPr>
              <w:t>Phase 2</w:t>
            </w:r>
          </w:p>
        </w:tc>
        <w:tc>
          <w:tcPr>
            <w:tcW w:type="dxa" w:w="1872"/>
          </w:tcPr>
          <w:p>
            <w:pPr>
              <w:jc w:val="center"/>
            </w:pPr>
            <w:r>
              <w:rPr>
                <w:rFonts w:ascii="Times New Roman" w:hAnsi="Times New Roman"/>
                <w:sz w:val="20"/>
              </w:rPr>
              <w:t>Causal Forest (GRF)</w:t>
            </w:r>
          </w:p>
        </w:tc>
        <w:tc>
          <w:tcPr>
            <w:tcW w:type="dxa" w:w="1872"/>
          </w:tcPr>
          <w:p>
            <w:pPr>
              <w:jc w:val="center"/>
            </w:pPr>
            <w:r>
              <w:rPr>
                <w:rFonts w:ascii="Times New Roman" w:hAnsi="Times New Roman"/>
                <w:sz w:val="20"/>
              </w:rPr>
              <w:t>What works for whom?</w:t>
            </w:r>
          </w:p>
        </w:tc>
        <w:tc>
          <w:tcPr>
            <w:tcW w:type="dxa" w:w="1872"/>
          </w:tcPr>
          <w:p>
            <w:pPr>
              <w:jc w:val="center"/>
            </w:pPr>
            <w:r>
              <w:rPr>
                <w:rFonts w:ascii="Times New Roman" w:hAnsi="Times New Roman"/>
                <w:sz w:val="20"/>
              </w:rPr>
              <w:t>Individual-level CATE τ̂(xᵢ)</w:t>
            </w:r>
          </w:p>
        </w:tc>
        <w:tc>
          <w:tcPr>
            <w:tcW w:type="dxa" w:w="1872"/>
          </w:tcPr>
          <w:p>
            <w:pPr>
              <w:jc w:val="center"/>
            </w:pPr>
            <w:r>
              <w:rPr>
                <w:rFonts w:ascii="Times New Roman" w:hAnsi="Times New Roman"/>
                <w:sz w:val="20"/>
              </w:rPr>
              <w:t>R (grf)</w:t>
            </w:r>
          </w:p>
        </w:tc>
      </w:tr>
      <w:tr>
        <w:tc>
          <w:tcPr>
            <w:tcW w:type="dxa" w:w="1872"/>
          </w:tcPr>
          <w:p>
            <w:pPr>
              <w:jc w:val="left"/>
            </w:pPr>
            <w:r>
              <w:rPr>
                <w:rFonts w:ascii="Times New Roman" w:hAnsi="Times New Roman"/>
                <w:sz w:val="20"/>
              </w:rPr>
              <w:t>Phase 3</w:t>
            </w:r>
          </w:p>
        </w:tc>
        <w:tc>
          <w:tcPr>
            <w:tcW w:type="dxa" w:w="1872"/>
          </w:tcPr>
          <w:p>
            <w:pPr>
              <w:jc w:val="center"/>
            </w:pPr>
            <w:r>
              <w:rPr>
                <w:rFonts w:ascii="Times New Roman" w:hAnsi="Times New Roman"/>
                <w:sz w:val="20"/>
              </w:rPr>
              <w:t>SHAP Values</w:t>
            </w:r>
          </w:p>
        </w:tc>
        <w:tc>
          <w:tcPr>
            <w:tcW w:type="dxa" w:w="1872"/>
          </w:tcPr>
          <w:p>
            <w:pPr>
              <w:jc w:val="center"/>
            </w:pPr>
            <w:r>
              <w:rPr>
                <w:rFonts w:ascii="Times New Roman" w:hAnsi="Times New Roman"/>
                <w:sz w:val="20"/>
              </w:rPr>
              <w:t>Why?</w:t>
            </w:r>
          </w:p>
        </w:tc>
        <w:tc>
          <w:tcPr>
            <w:tcW w:type="dxa" w:w="1872"/>
          </w:tcPr>
          <w:p>
            <w:pPr>
              <w:jc w:val="center"/>
            </w:pPr>
            <w:r>
              <w:rPr>
                <w:rFonts w:ascii="Times New Roman" w:hAnsi="Times New Roman"/>
                <w:sz w:val="20"/>
              </w:rPr>
              <w:t>Feature-level effect decomposition</w:t>
            </w:r>
          </w:p>
        </w:tc>
        <w:tc>
          <w:tcPr>
            <w:tcW w:type="dxa" w:w="1872"/>
          </w:tcPr>
          <w:p>
            <w:pPr>
              <w:jc w:val="center"/>
            </w:pPr>
            <w:r>
              <w:rPr>
                <w:rFonts w:ascii="Times New Roman" w:hAnsi="Times New Roman"/>
                <w:sz w:val="20"/>
              </w:rPr>
              <w:t>Python (shap)</w:t>
            </w:r>
          </w:p>
        </w:tc>
      </w:tr>
    </w:tbl>
    <w:p>
      <w:pPr>
        <w:spacing w:line="480" w:lineRule="auto"/>
      </w:pPr>
      <w:r>
        <w:rPr>
          <w:rFonts w:ascii="Times New Roman" w:hAnsi="Times New Roman"/>
          <w:i/>
          <w:sz w:val="20"/>
        </w:rPr>
        <w:t xml:space="preserve">Note. </w:t>
      </w:r>
      <w:r>
        <w:rPr>
          <w:rFonts w:ascii="Times New Roman" w:hAnsi="Times New Roman"/>
          <w:sz w:val="20"/>
        </w:rPr>
        <w:t>CATE = Conditional Average Treatment Effect. GRF = Generalized Random Forest. SHAP = SHapley Additive exPlanations.</w:t>
      </w:r>
    </w:p>
    <w:p/>
    <w:p>
      <w:pPr>
        <w:spacing w:before="240" w:after="240" w:line="480" w:lineRule="auto"/>
        <w:jc w:val="left"/>
      </w:pPr>
      <w:r>
        <w:rPr>
          <w:rFonts w:ascii="Times New Roman" w:hAnsi="Times New Roman"/>
          <w:b/>
          <w:sz w:val="24"/>
        </w:rPr>
        <w:t>Phase 1: Latent Profile Analysis</w:t>
      </w:r>
    </w:p>
    <w:p>
      <w:pPr>
        <w:spacing w:line="480" w:lineRule="auto" w:after="0"/>
        <w:ind w:firstLine="720"/>
      </w:pPr>
      <w:r>
        <w:rPr>
          <w:rFonts w:ascii="Times New Roman" w:hAnsi="Times New Roman"/>
          <w:sz w:val="24"/>
        </w:rPr>
        <w:t>LPA will identify unobserved subpopulations of civic engagement patterns using five continuous indicators: (a) charitable donation behavior, (b) organizational membership count, (c) neighborhood collaboration frequency, (d) political participation composite (voting, contacting officials, attending meetings), and (e) social media civic activity. Models with 1 through 7 profiles will be compared using BIC, entropy (≥ 0.80), Bootstrap Likelihood Ratio Test, and minimum profile proportion (≥ 5%). Profile distribution across rural and urban areas will be tested via chi-square analysis.</w:t>
      </w:r>
    </w:p>
    <w:p>
      <w:pPr>
        <w:spacing w:before="240" w:after="240" w:line="480" w:lineRule="auto"/>
        <w:jc w:val="left"/>
      </w:pPr>
      <w:r>
        <w:rPr>
          <w:rFonts w:ascii="Times New Roman" w:hAnsi="Times New Roman"/>
          <w:b/>
          <w:sz w:val="24"/>
        </w:rPr>
        <w:t>Phase 2: Causal Forest</w:t>
      </w:r>
    </w:p>
    <w:p>
      <w:pPr>
        <w:spacing w:line="480" w:lineRule="auto" w:after="0"/>
        <w:ind w:firstLine="720"/>
      </w:pPr>
      <w:r>
        <w:rPr>
          <w:rFonts w:ascii="Times New Roman" w:hAnsi="Times New Roman"/>
          <w:sz w:val="24"/>
        </w:rPr>
        <w:t>The Causal Forest (Athey et al., 2019), a specialization of the Generalized Random Forest, estimates individualized Conditional Average Treatment Effects (CATEs): the causal effect of organized volunteering on civic engagement outcomes for each individual, conditional on their observed characteristics. Under the unconfoundedness assumption—that treatment assignment is independent of potential outcomes conditional on the rich covariate set available in the CPS-CEV—the CATE is identified. Honest estimation (sample splitting) ensures valid inference. Separate forests will be estimated for four outcome dimensions: political participation, charitable giving, community interaction, and organizational membership.</w:t>
      </w:r>
    </w:p>
    <w:p>
      <w:pPr>
        <w:spacing w:before="240" w:after="240" w:line="480" w:lineRule="auto"/>
        <w:jc w:val="left"/>
      </w:pPr>
      <w:r>
        <w:rPr>
          <w:rFonts w:ascii="Times New Roman" w:hAnsi="Times New Roman"/>
          <w:b/>
          <w:sz w:val="24"/>
        </w:rPr>
        <w:t>Phase 3: SHAP Value Decomposition</w:t>
      </w:r>
    </w:p>
    <w:p>
      <w:pPr>
        <w:spacing w:line="480" w:lineRule="auto" w:after="0"/>
        <w:ind w:firstLine="720"/>
      </w:pPr>
      <w:r>
        <w:rPr>
          <w:rFonts w:ascii="Times New Roman" w:hAnsi="Times New Roman"/>
          <w:sz w:val="24"/>
        </w:rPr>
        <w:t>SHAP values decompose each individual's estimated CATE into additive feature contributions, answering why the effect is larger or smaller for specific individuals. TreeSHAP provides computationally efficient, exact decomposition for tree-based models. Six visualization types are planned: summary plots (global feature importance), dependence plots (feature×effect relationships), force plots (individual-level waterfall decomposition), interaction plots, geographic heat maps, and profile-specific comparisons.</w:t>
      </w:r>
    </w:p>
    <w:p>
      <w:pPr>
        <w:spacing w:before="240" w:after="240" w:line="480" w:lineRule="auto"/>
        <w:jc w:val="left"/>
      </w:pPr>
      <w:r>
        <w:rPr>
          <w:rFonts w:ascii="Times New Roman" w:hAnsi="Times New Roman"/>
          <w:b/>
          <w:sz w:val="24"/>
        </w:rPr>
        <w:t>Robustness and Sensitivity</w:t>
      </w:r>
    </w:p>
    <w:p>
      <w:pPr>
        <w:spacing w:line="480" w:lineRule="auto" w:after="0"/>
        <w:ind w:firstLine="720"/>
      </w:pPr>
      <w:r>
        <w:rPr>
          <w:rFonts w:ascii="Times New Roman" w:hAnsi="Times New Roman"/>
          <w:sz w:val="24"/>
        </w:rPr>
        <w:t>To ensure the credibility of findings, five robustness checks are planned: (a) comparison with Bayesian Additive Regression Trees (BART) and Double Machine Learning (DML); (b) propensity score overlap assessment with trimming sensitivity analysis (thresholds from 0.01 to 0.20); (c) wave-specific analysis to assess temporal stability across the COVID-19 period; (d) Oster (2019) coefficient stability test for omitted variable sensitivity; and (e) alternative rural/urban definitions using USDA Rural-Urban Continuum Codes.</w:t>
      </w:r>
    </w:p>
    <w:p>
      <w:r>
        <w:br w:type="page"/>
      </w:r>
    </w:p>
    <w:p>
      <w:pPr>
        <w:spacing w:before="240" w:after="240" w:line="480" w:lineRule="auto"/>
        <w:jc w:val="center"/>
      </w:pPr>
      <w:r>
        <w:rPr>
          <w:rFonts w:ascii="Times New Roman" w:hAnsi="Times New Roman"/>
          <w:b/>
          <w:sz w:val="24"/>
        </w:rPr>
        <w:t>Theoretical Foundation</w:t>
      </w:r>
    </w:p>
    <w:p>
      <w:pPr>
        <w:spacing w:line="480" w:lineRule="auto" w:after="0"/>
        <w:ind w:firstLine="720"/>
      </w:pPr>
      <w:r>
        <w:rPr>
          <w:rFonts w:ascii="Times New Roman" w:hAnsi="Times New Roman"/>
          <w:sz w:val="24"/>
        </w:rPr>
        <w:t>This study integrates three complementary theoretical perspectives to explain why volunteering effects on civic engagement differ across populations and places.</w:t>
      </w:r>
    </w:p>
    <w:p>
      <w:pPr>
        <w:spacing w:before="240" w:after="240" w:line="480" w:lineRule="auto"/>
        <w:jc w:val="left"/>
      </w:pPr>
      <w:r>
        <w:rPr>
          <w:rFonts w:ascii="Times New Roman" w:hAnsi="Times New Roman"/>
          <w:b/>
          <w:sz w:val="24"/>
        </w:rPr>
        <w:t>Community Capitals Framework</w:t>
      </w:r>
    </w:p>
    <w:p>
      <w:pPr>
        <w:spacing w:line="480" w:lineRule="auto" w:after="0"/>
        <w:ind w:firstLine="720"/>
      </w:pPr>
      <w:r>
        <w:rPr>
          <w:rFonts w:ascii="Times New Roman" w:hAnsi="Times New Roman"/>
          <w:sz w:val="24"/>
        </w:rPr>
        <w:t>The Community Capitals Framework (Flora &amp; Flora, 2013) posits that communities possess seven interrelated forms of capital: natural, cultural, human, social, political, financial, and built capital. Volunteering mobilizes human capital (skills and knowledge), social capital (networks and trust), and political capital (efficacy and voice). Critically, the availability and convertibility of these capitals differ across rural and urban settings. In rural communities with fewer formal institutions, volunteering may serve as one of the few mechanisms for capital accumulation, suggesting that its civic returns should be proportionally greater. Our preliminary data support this prediction: the volunteering–civic engagement gap is consistently larger in rural areas.</w:t>
      </w:r>
    </w:p>
    <w:p>
      <w:pPr>
        <w:spacing w:before="240" w:after="240" w:line="480" w:lineRule="auto"/>
        <w:jc w:val="left"/>
      </w:pPr>
      <w:r>
        <w:rPr>
          <w:rFonts w:ascii="Times New Roman" w:hAnsi="Times New Roman"/>
          <w:b/>
          <w:sz w:val="24"/>
        </w:rPr>
        <w:t>Social Exchange Theory</w:t>
      </w:r>
    </w:p>
    <w:p>
      <w:pPr>
        <w:spacing w:line="480" w:lineRule="auto" w:after="0"/>
        <w:ind w:firstLine="720"/>
      </w:pPr>
      <w:r>
        <w:rPr>
          <w:rFonts w:ascii="Times New Roman" w:hAnsi="Times New Roman"/>
          <w:sz w:val="24"/>
        </w:rPr>
        <w:t>Social Exchange Theory (Blau, 1964) provides the micro-level mechanism. Individuals engage in civic activities when perceived benefits (social connections, personal growth, community recognition) exceed perceived costs (time, effort, opportunity costs). The cost-benefit calculus varies across civic engagement profiles: for "Disengaged" individuals, the marginal return from volunteering may be higher because they start from a lower baseline of civic capital. For "Civic All-Rounders," ceiling effects may limit additional gains. This theoretical prediction directly maps onto the Causal Forest's ability to estimate profile-specific treatment effects.</w:t>
      </w:r>
    </w:p>
    <w:p>
      <w:pPr>
        <w:spacing w:before="240" w:after="240" w:line="480" w:lineRule="auto"/>
        <w:jc w:val="left"/>
      </w:pPr>
      <w:r>
        <w:rPr>
          <w:rFonts w:ascii="Times New Roman" w:hAnsi="Times New Roman"/>
          <w:b/>
          <w:sz w:val="24"/>
        </w:rPr>
        <w:t>Ecological Systems Theory</w:t>
      </w:r>
    </w:p>
    <w:p>
      <w:pPr>
        <w:spacing w:line="480" w:lineRule="auto" w:after="0"/>
        <w:ind w:firstLine="720"/>
      </w:pPr>
      <w:r>
        <w:rPr>
          <w:rFonts w:ascii="Times New Roman" w:hAnsi="Times New Roman"/>
          <w:sz w:val="24"/>
        </w:rPr>
        <w:t>Ecological Systems Theory (Bronfenbrenner, 1979) provides the multi-level architecture. Individual civic behavior is nested within family, organizational, community, and policy contexts. Rural/urban residence represents a mesosystem-level moderator that shapes the pathways through which volunteering influences broader civic engagement. The three-phase analytical design maps onto this framework: Phase 1 (LPA) captures the multidimensional structure of civic capital accumulation at the individual level; Phase 2 (Causal Forest) estimates the causal returns to volunteering investment across ecological contexts; Phase 3 (SHAP) identifies the ecological factors that moderate these returns.</w:t>
      </w:r>
    </w:p>
    <w:p>
      <w:r>
        <w:br w:type="page"/>
      </w:r>
    </w:p>
    <w:p>
      <w:pPr>
        <w:spacing w:before="240" w:after="240" w:line="480" w:lineRule="auto"/>
        <w:jc w:val="center"/>
      </w:pPr>
      <w:r>
        <w:rPr>
          <w:rFonts w:ascii="Times New Roman" w:hAnsi="Times New Roman"/>
          <w:b/>
          <w:sz w:val="24"/>
        </w:rPr>
        <w:t>Expected Results and Contributions</w:t>
      </w:r>
    </w:p>
    <w:p>
      <w:pPr>
        <w:spacing w:before="240" w:after="240" w:line="480" w:lineRule="auto"/>
        <w:jc w:val="left"/>
      </w:pPr>
      <w:r>
        <w:rPr>
          <w:rFonts w:ascii="Times New Roman" w:hAnsi="Times New Roman"/>
          <w:b/>
          <w:sz w:val="24"/>
        </w:rPr>
        <w:t>Phase 1: Expected Civic Engagement Profiles</w:t>
      </w:r>
    </w:p>
    <w:p>
      <w:pPr>
        <w:spacing w:line="480" w:lineRule="auto" w:after="0"/>
        <w:ind w:firstLine="720"/>
      </w:pPr>
      <w:r>
        <w:rPr>
          <w:rFonts w:ascii="Times New Roman" w:hAnsi="Times New Roman"/>
          <w:sz w:val="24"/>
        </w:rPr>
        <w:t>Based on prior literature and preliminary descriptive analysis, we hypothesize five latent profiles, though the final number will be determined empirically through model comparison criteria.</w:t>
      </w:r>
    </w:p>
    <w:p>
      <w:pPr>
        <w:spacing w:before="240" w:line="480" w:lineRule="auto"/>
      </w:pPr>
      <w:r>
        <w:rPr>
          <w:rFonts w:ascii="Times New Roman" w:hAnsi="Times New Roman"/>
          <w:b/>
          <w:i/>
          <w:sz w:val="24"/>
        </w:rPr>
        <w:t>Table 5</w:t>
        <w:br/>
        <w:t>Hypothesized Civic Engagement Profiles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Profile</w:t>
            </w:r>
          </w:p>
        </w:tc>
        <w:tc>
          <w:tcPr>
            <w:tcW w:type="dxa" w:w="2340"/>
          </w:tcPr>
          <w:p>
            <w:pPr>
              <w:jc w:val="center"/>
            </w:pPr>
            <w:r>
              <w:rPr>
                <w:rFonts w:ascii="Times New Roman" w:hAnsi="Times New Roman"/>
                <w:b/>
                <w:sz w:val="20"/>
              </w:rPr>
              <w:t>Expected Prevalence</w:t>
            </w:r>
          </w:p>
        </w:tc>
        <w:tc>
          <w:tcPr>
            <w:tcW w:type="dxa" w:w="2340"/>
          </w:tcPr>
          <w:p>
            <w:pPr>
              <w:jc w:val="center"/>
            </w:pPr>
            <w:r>
              <w:rPr>
                <w:rFonts w:ascii="Times New Roman" w:hAnsi="Times New Roman"/>
                <w:b/>
                <w:sz w:val="20"/>
              </w:rPr>
              <w:t>Key Characteristics</w:t>
            </w:r>
          </w:p>
        </w:tc>
        <w:tc>
          <w:tcPr>
            <w:tcW w:type="dxa" w:w="2340"/>
          </w:tcPr>
          <w:p>
            <w:pPr>
              <w:jc w:val="center"/>
            </w:pPr>
            <w:r>
              <w:rPr>
                <w:rFonts w:ascii="Times New Roman" w:hAnsi="Times New Roman"/>
                <w:b/>
                <w:sz w:val="20"/>
              </w:rPr>
              <w:t>Rural/Urban</w:t>
            </w:r>
          </w:p>
        </w:tc>
      </w:tr>
      <w:tr>
        <w:tc>
          <w:tcPr>
            <w:tcW w:type="dxa" w:w="2340"/>
          </w:tcPr>
          <w:p>
            <w:pPr>
              <w:jc w:val="left"/>
            </w:pPr>
            <w:r>
              <w:rPr>
                <w:rFonts w:ascii="Times New Roman" w:hAnsi="Times New Roman"/>
                <w:sz w:val="20"/>
              </w:rPr>
              <w:t>Disengaged</w:t>
            </w:r>
          </w:p>
        </w:tc>
        <w:tc>
          <w:tcPr>
            <w:tcW w:type="dxa" w:w="2340"/>
          </w:tcPr>
          <w:p>
            <w:pPr>
              <w:jc w:val="center"/>
            </w:pPr>
            <w:r>
              <w:rPr>
                <w:rFonts w:ascii="Times New Roman" w:hAnsi="Times New Roman"/>
                <w:sz w:val="20"/>
              </w:rPr>
              <w:t>30–35%</w:t>
            </w:r>
          </w:p>
        </w:tc>
        <w:tc>
          <w:tcPr>
            <w:tcW w:type="dxa" w:w="2340"/>
          </w:tcPr>
          <w:p>
            <w:pPr>
              <w:jc w:val="center"/>
            </w:pPr>
            <w:r>
              <w:rPr>
                <w:rFonts w:ascii="Times New Roman" w:hAnsi="Times New Roman"/>
                <w:sz w:val="20"/>
              </w:rPr>
              <w:t>Low across all dimensions</w:t>
            </w:r>
          </w:p>
        </w:tc>
        <w:tc>
          <w:tcPr>
            <w:tcW w:type="dxa" w:w="2340"/>
          </w:tcPr>
          <w:p>
            <w:pPr>
              <w:jc w:val="center"/>
            </w:pPr>
            <w:r>
              <w:rPr>
                <w:rFonts w:ascii="Times New Roman" w:hAnsi="Times New Roman"/>
                <w:sz w:val="20"/>
              </w:rPr>
              <w:t>Slightly higher rural</w:t>
            </w:r>
          </w:p>
        </w:tc>
      </w:tr>
      <w:tr>
        <w:tc>
          <w:tcPr>
            <w:tcW w:type="dxa" w:w="2340"/>
          </w:tcPr>
          <w:p>
            <w:pPr>
              <w:jc w:val="left"/>
            </w:pPr>
            <w:r>
              <w:rPr>
                <w:rFonts w:ascii="Times New Roman" w:hAnsi="Times New Roman"/>
                <w:sz w:val="20"/>
              </w:rPr>
              <w:t>Passive Donors</w:t>
            </w:r>
          </w:p>
        </w:tc>
        <w:tc>
          <w:tcPr>
            <w:tcW w:type="dxa" w:w="2340"/>
          </w:tcPr>
          <w:p>
            <w:pPr>
              <w:jc w:val="center"/>
            </w:pPr>
            <w:r>
              <w:rPr>
                <w:rFonts w:ascii="Times New Roman" w:hAnsi="Times New Roman"/>
                <w:sz w:val="20"/>
              </w:rPr>
              <w:t>15–20%</w:t>
            </w:r>
          </w:p>
        </w:tc>
        <w:tc>
          <w:tcPr>
            <w:tcW w:type="dxa" w:w="2340"/>
          </w:tcPr>
          <w:p>
            <w:pPr>
              <w:jc w:val="center"/>
            </w:pPr>
            <w:r>
              <w:rPr>
                <w:rFonts w:ascii="Times New Roman" w:hAnsi="Times New Roman"/>
                <w:sz w:val="20"/>
              </w:rPr>
              <w:t>High giving, low active participation</w:t>
            </w:r>
          </w:p>
        </w:tc>
        <w:tc>
          <w:tcPr>
            <w:tcW w:type="dxa" w:w="2340"/>
          </w:tcPr>
          <w:p>
            <w:pPr>
              <w:jc w:val="center"/>
            </w:pPr>
            <w:r>
              <w:rPr>
                <w:rFonts w:ascii="Times New Roman" w:hAnsi="Times New Roman"/>
                <w:sz w:val="20"/>
              </w:rPr>
              <w:t>Higher urban</w:t>
            </w:r>
          </w:p>
        </w:tc>
      </w:tr>
      <w:tr>
        <w:tc>
          <w:tcPr>
            <w:tcW w:type="dxa" w:w="2340"/>
          </w:tcPr>
          <w:p>
            <w:pPr>
              <w:jc w:val="left"/>
            </w:pPr>
            <w:r>
              <w:rPr>
                <w:rFonts w:ascii="Times New Roman" w:hAnsi="Times New Roman"/>
                <w:sz w:val="20"/>
              </w:rPr>
              <w:t>Community Connectors</w:t>
            </w:r>
          </w:p>
        </w:tc>
        <w:tc>
          <w:tcPr>
            <w:tcW w:type="dxa" w:w="2340"/>
          </w:tcPr>
          <w:p>
            <w:pPr>
              <w:jc w:val="center"/>
            </w:pPr>
            <w:r>
              <w:rPr>
                <w:rFonts w:ascii="Times New Roman" w:hAnsi="Times New Roman"/>
                <w:sz w:val="20"/>
              </w:rPr>
              <w:t>15–20%</w:t>
            </w:r>
          </w:p>
        </w:tc>
        <w:tc>
          <w:tcPr>
            <w:tcW w:type="dxa" w:w="2340"/>
          </w:tcPr>
          <w:p>
            <w:pPr>
              <w:jc w:val="center"/>
            </w:pPr>
            <w:r>
              <w:rPr>
                <w:rFonts w:ascii="Times New Roman" w:hAnsi="Times New Roman"/>
                <w:sz w:val="20"/>
              </w:rPr>
              <w:t>High neighbor interaction, moderate volunteering</w:t>
            </w:r>
          </w:p>
        </w:tc>
        <w:tc>
          <w:tcPr>
            <w:tcW w:type="dxa" w:w="2340"/>
          </w:tcPr>
          <w:p>
            <w:pPr>
              <w:jc w:val="center"/>
            </w:pPr>
            <w:r>
              <w:rPr>
                <w:rFonts w:ascii="Times New Roman" w:hAnsi="Times New Roman"/>
                <w:sz w:val="20"/>
              </w:rPr>
              <w:t>Higher rural</w:t>
            </w:r>
          </w:p>
        </w:tc>
      </w:tr>
      <w:tr>
        <w:tc>
          <w:tcPr>
            <w:tcW w:type="dxa" w:w="2340"/>
          </w:tcPr>
          <w:p>
            <w:pPr>
              <w:jc w:val="left"/>
            </w:pPr>
            <w:r>
              <w:rPr>
                <w:rFonts w:ascii="Times New Roman" w:hAnsi="Times New Roman"/>
                <w:sz w:val="20"/>
              </w:rPr>
              <w:t>Active Volunteers</w:t>
            </w:r>
          </w:p>
        </w:tc>
        <w:tc>
          <w:tcPr>
            <w:tcW w:type="dxa" w:w="2340"/>
          </w:tcPr>
          <w:p>
            <w:pPr>
              <w:jc w:val="center"/>
            </w:pPr>
            <w:r>
              <w:rPr>
                <w:rFonts w:ascii="Times New Roman" w:hAnsi="Times New Roman"/>
                <w:sz w:val="20"/>
              </w:rPr>
              <w:t>15–20%</w:t>
            </w:r>
          </w:p>
        </w:tc>
        <w:tc>
          <w:tcPr>
            <w:tcW w:type="dxa" w:w="2340"/>
          </w:tcPr>
          <w:p>
            <w:pPr>
              <w:jc w:val="center"/>
            </w:pPr>
            <w:r>
              <w:rPr>
                <w:rFonts w:ascii="Times New Roman" w:hAnsi="Times New Roman"/>
                <w:sz w:val="20"/>
              </w:rPr>
              <w:t>High volunteering, moderate political</w:t>
            </w:r>
          </w:p>
        </w:tc>
        <w:tc>
          <w:tcPr>
            <w:tcW w:type="dxa" w:w="2340"/>
          </w:tcPr>
          <w:p>
            <w:pPr>
              <w:jc w:val="center"/>
            </w:pPr>
            <w:r>
              <w:rPr>
                <w:rFonts w:ascii="Times New Roman" w:hAnsi="Times New Roman"/>
                <w:sz w:val="20"/>
              </w:rPr>
              <w:t>Balanced</w:t>
            </w:r>
          </w:p>
        </w:tc>
      </w:tr>
      <w:tr>
        <w:tc>
          <w:tcPr>
            <w:tcW w:type="dxa" w:w="2340"/>
          </w:tcPr>
          <w:p>
            <w:pPr>
              <w:jc w:val="left"/>
            </w:pPr>
            <w:r>
              <w:rPr>
                <w:rFonts w:ascii="Times New Roman" w:hAnsi="Times New Roman"/>
                <w:sz w:val="20"/>
              </w:rPr>
              <w:t>Civic All-Rounders</w:t>
            </w:r>
          </w:p>
        </w:tc>
        <w:tc>
          <w:tcPr>
            <w:tcW w:type="dxa" w:w="2340"/>
          </w:tcPr>
          <w:p>
            <w:pPr>
              <w:jc w:val="center"/>
            </w:pPr>
            <w:r>
              <w:rPr>
                <w:rFonts w:ascii="Times New Roman" w:hAnsi="Times New Roman"/>
                <w:sz w:val="20"/>
              </w:rPr>
              <w:t>10–15%</w:t>
            </w:r>
          </w:p>
        </w:tc>
        <w:tc>
          <w:tcPr>
            <w:tcW w:type="dxa" w:w="2340"/>
          </w:tcPr>
          <w:p>
            <w:pPr>
              <w:jc w:val="center"/>
            </w:pPr>
            <w:r>
              <w:rPr>
                <w:rFonts w:ascii="Times New Roman" w:hAnsi="Times New Roman"/>
                <w:sz w:val="20"/>
              </w:rPr>
              <w:t>High across all dimensions</w:t>
            </w:r>
          </w:p>
        </w:tc>
        <w:tc>
          <w:tcPr>
            <w:tcW w:type="dxa" w:w="2340"/>
          </w:tcPr>
          <w:p>
            <w:pPr>
              <w:jc w:val="center"/>
            </w:pPr>
            <w:r>
              <w:rPr>
                <w:rFonts w:ascii="Times New Roman" w:hAnsi="Times New Roman"/>
                <w:sz w:val="20"/>
              </w:rPr>
              <w:t>Higher urban</w:t>
            </w:r>
          </w:p>
        </w:tc>
      </w:tr>
    </w:tbl>
    <w:p>
      <w:pPr>
        <w:spacing w:line="480" w:lineRule="auto"/>
      </w:pPr>
      <w:r>
        <w:rPr>
          <w:rFonts w:ascii="Times New Roman" w:hAnsi="Times New Roman"/>
          <w:i/>
          <w:sz w:val="20"/>
        </w:rPr>
        <w:t xml:space="preserve">Note. </w:t>
      </w:r>
      <w:r>
        <w:rPr>
          <w:rFonts w:ascii="Times New Roman" w:hAnsi="Times New Roman"/>
          <w:sz w:val="20"/>
        </w:rPr>
        <w:t>Profile labels and prevalence estimates are hypothesized; final classification will be determined by empirical model fit criteria.</w:t>
      </w:r>
    </w:p>
    <w:p/>
    <w:p>
      <w:pPr>
        <w:spacing w:before="240" w:after="240" w:line="480" w:lineRule="auto"/>
        <w:jc w:val="left"/>
      </w:pPr>
      <w:r>
        <w:rPr>
          <w:rFonts w:ascii="Times New Roman" w:hAnsi="Times New Roman"/>
          <w:b/>
          <w:sz w:val="24"/>
        </w:rPr>
        <w:t>Phase 2: Expected Heterogeneous Effects</w:t>
      </w:r>
    </w:p>
    <w:p>
      <w:pPr>
        <w:spacing w:line="480" w:lineRule="auto" w:after="0"/>
        <w:ind w:firstLine="720"/>
      </w:pPr>
      <w:r>
        <w:rPr>
          <w:rFonts w:ascii="Times New Roman" w:hAnsi="Times New Roman"/>
          <w:sz w:val="24"/>
        </w:rPr>
        <w:t>We expect the Causal Forest to reveal substantial heterogeneity in the causal effect of organized volunteering across profiles and geographic contexts. Specifically, we hypothesize: (a) Community Connectors in rural areas will show the largest marginal effects, because volunteering complements their existing informal civic networks with formal organizational skills; (b) Civic All-Rounders will show ceiling effects, as they are already at high levels of engagement; (c) Disengaged individuals will show modest but meaningful effects, as volunteering provides initial civic socialization; and (d) the rural–urban effect gap will be largest for political participation outcomes, where institutional pathway differences are most pronounced.</w:t>
      </w:r>
    </w:p>
    <w:p>
      <w:pPr>
        <w:spacing w:before="240" w:after="240" w:line="480" w:lineRule="auto"/>
        <w:jc w:val="left"/>
      </w:pPr>
      <w:r>
        <w:rPr>
          <w:rFonts w:ascii="Times New Roman" w:hAnsi="Times New Roman"/>
          <w:b/>
          <w:sz w:val="24"/>
        </w:rPr>
        <w:t>Phase 3: Expected Key Moderators</w:t>
      </w:r>
    </w:p>
    <w:p>
      <w:pPr>
        <w:spacing w:line="480" w:lineRule="auto" w:after="0"/>
        <w:ind w:firstLine="720"/>
      </w:pPr>
      <w:r>
        <w:rPr>
          <w:rFonts w:ascii="Times New Roman" w:hAnsi="Times New Roman"/>
          <w:sz w:val="24"/>
        </w:rPr>
        <w:t>SHAP analysis is expected to identify education level, community tenure (length of residence), homeownership, and age as the strongest moderators of volunteering effects. Education likely amplifies the civic return from volunteering by providing the cognitive and social resources needed to translate volunteer experiences into broader civic action. Homeownership and community tenure reflect rootedness—stake in the community that channels volunteering benefits into local civic participation.</w:t>
      </w:r>
    </w:p>
    <w:p>
      <w:pPr>
        <w:spacing w:before="240" w:after="240" w:line="480" w:lineRule="auto"/>
        <w:jc w:val="left"/>
      </w:pPr>
      <w:r>
        <w:rPr>
          <w:rFonts w:ascii="Times New Roman" w:hAnsi="Times New Roman"/>
          <w:b/>
          <w:sz w:val="24"/>
        </w:rPr>
        <w:t>Expected Contributions</w:t>
      </w:r>
    </w:p>
    <w:p>
      <w:pPr>
        <w:spacing w:line="480" w:lineRule="auto" w:after="0"/>
        <w:ind w:firstLine="720"/>
      </w:pPr>
      <w:r>
        <w:rPr>
          <w:rFonts w:ascii="Times New Roman" w:hAnsi="Times New Roman"/>
          <w:b/>
          <w:sz w:val="24"/>
        </w:rPr>
        <w:t xml:space="preserve">Methodological contribution (1st author justification). </w:t>
      </w:r>
      <w:r>
        <w:rPr>
          <w:rFonts w:ascii="Times New Roman" w:hAnsi="Times New Roman"/>
          <w:sz w:val="24"/>
        </w:rPr>
        <w:t>This study represents the first application of the LPA + Causal Forest + SHAP integrated framework in civic engagement research. It demonstrates how person-centered typological approaches can be combined with causal machine learning to produce actionable, individualized evidence about program effectiveness. The replicable analytical pipeline (all code deposited on GitHub) serves as a methodological template for other researchers in the nonprofit and voluntary sector.</w:t>
      </w:r>
    </w:p>
    <w:p>
      <w:pPr>
        <w:spacing w:line="480" w:lineRule="auto" w:after="0"/>
        <w:ind w:firstLine="720"/>
      </w:pPr>
      <w:r>
        <w:rPr>
          <w:rFonts w:ascii="Times New Roman" w:hAnsi="Times New Roman"/>
          <w:b/>
          <w:sz w:val="24"/>
        </w:rPr>
        <w:t xml:space="preserve">Substantive contribution. </w:t>
      </w:r>
      <w:r>
        <w:rPr>
          <w:rFonts w:ascii="Times New Roman" w:hAnsi="Times New Roman"/>
          <w:sz w:val="24"/>
        </w:rPr>
        <w:t>The study provides the first empirically derived civic engagement typology based on nationally representative data across multiple dimensions, and identifies the conditions under which organized volunteering most effectively promotes civic development. The rural-urban comparative analysis fills a critical gap in the volunteering literature.</w:t>
      </w:r>
    </w:p>
    <w:p>
      <w:pPr>
        <w:spacing w:line="480" w:lineRule="auto" w:after="0"/>
        <w:ind w:firstLine="720"/>
      </w:pPr>
      <w:r>
        <w:rPr>
          <w:rFonts w:ascii="Times New Roman" w:hAnsi="Times New Roman"/>
          <w:b/>
          <w:sz w:val="24"/>
        </w:rPr>
        <w:t xml:space="preserve">Practical contribution. </w:t>
      </w:r>
      <w:r>
        <w:rPr>
          <w:rFonts w:ascii="Times New Roman" w:hAnsi="Times New Roman"/>
          <w:sz w:val="24"/>
        </w:rPr>
        <w:t>Findings will offer actionable guidance for Extension educators and volunteer program administrators—particularly those serving rural communities—about targeting strategies that maximize program impact. Profile-specific recommendations and geographic targeting maps will support evidence-based program design.</w:t>
      </w:r>
    </w:p>
    <w:p>
      <w:pPr>
        <w:spacing w:before="240" w:after="240" w:line="480" w:lineRule="auto"/>
        <w:jc w:val="left"/>
      </w:pPr>
      <w:r>
        <w:rPr>
          <w:rFonts w:ascii="Times New Roman" w:hAnsi="Times New Roman"/>
          <w:b/>
          <w:sz w:val="24"/>
        </w:rPr>
        <w:t>Target Journal</w:t>
      </w:r>
    </w:p>
    <w:p>
      <w:pPr>
        <w:spacing w:before="240" w:line="480" w:lineRule="auto"/>
      </w:pPr>
      <w:r>
        <w:rPr>
          <w:rFonts w:ascii="Times New Roman" w:hAnsi="Times New Roman"/>
          <w:b/>
          <w:i/>
          <w:sz w:val="24"/>
        </w:rPr>
        <w:t>Table 6</w:t>
        <w:br/>
        <w:t>Target Journal Strategy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Priority</w:t>
            </w:r>
          </w:p>
        </w:tc>
        <w:tc>
          <w:tcPr>
            <w:tcW w:type="dxa" w:w="2340"/>
          </w:tcPr>
          <w:p>
            <w:pPr>
              <w:jc w:val="center"/>
            </w:pPr>
            <w:r>
              <w:rPr>
                <w:rFonts w:ascii="Times New Roman" w:hAnsi="Times New Roman"/>
                <w:b/>
                <w:sz w:val="20"/>
              </w:rPr>
              <w:t>Journal</w:t>
            </w:r>
          </w:p>
        </w:tc>
        <w:tc>
          <w:tcPr>
            <w:tcW w:type="dxa" w:w="2340"/>
          </w:tcPr>
          <w:p>
            <w:pPr>
              <w:jc w:val="center"/>
            </w:pPr>
            <w:r>
              <w:rPr>
                <w:rFonts w:ascii="Times New Roman" w:hAnsi="Times New Roman"/>
                <w:b/>
                <w:sz w:val="20"/>
              </w:rPr>
              <w:t>IF</w:t>
            </w:r>
          </w:p>
        </w:tc>
        <w:tc>
          <w:tcPr>
            <w:tcW w:type="dxa" w:w="2340"/>
          </w:tcPr>
          <w:p>
            <w:pPr>
              <w:jc w:val="center"/>
            </w:pPr>
            <w:r>
              <w:rPr>
                <w:rFonts w:ascii="Times New Roman" w:hAnsi="Times New Roman"/>
                <w:b/>
                <w:sz w:val="20"/>
              </w:rPr>
              <w:t>Rationale</w:t>
            </w:r>
          </w:p>
        </w:tc>
      </w:tr>
      <w:tr>
        <w:tc>
          <w:tcPr>
            <w:tcW w:type="dxa" w:w="2340"/>
          </w:tcPr>
          <w:p>
            <w:pPr>
              <w:jc w:val="left"/>
            </w:pPr>
            <w:r>
              <w:rPr>
                <w:rFonts w:ascii="Times New Roman" w:hAnsi="Times New Roman"/>
                <w:sz w:val="20"/>
              </w:rPr>
              <w:t>Primary</w:t>
            </w:r>
          </w:p>
        </w:tc>
        <w:tc>
          <w:tcPr>
            <w:tcW w:type="dxa" w:w="2340"/>
          </w:tcPr>
          <w:p>
            <w:pPr>
              <w:jc w:val="center"/>
            </w:pPr>
            <w:r>
              <w:rPr>
                <w:rFonts w:ascii="Times New Roman" w:hAnsi="Times New Roman"/>
                <w:sz w:val="20"/>
              </w:rPr>
              <w:t>Nonprofit and Voluntary Sector Quarterly</w:t>
            </w:r>
          </w:p>
        </w:tc>
        <w:tc>
          <w:tcPr>
            <w:tcW w:type="dxa" w:w="2340"/>
          </w:tcPr>
          <w:p>
            <w:pPr>
              <w:jc w:val="center"/>
            </w:pPr>
            <w:r>
              <w:rPr>
                <w:rFonts w:ascii="Times New Roman" w:hAnsi="Times New Roman"/>
                <w:sz w:val="20"/>
              </w:rPr>
              <w:t>3.8</w:t>
            </w:r>
          </w:p>
        </w:tc>
        <w:tc>
          <w:tcPr>
            <w:tcW w:type="dxa" w:w="2340"/>
          </w:tcPr>
          <w:p>
            <w:pPr>
              <w:jc w:val="center"/>
            </w:pPr>
            <w:r>
              <w:rPr>
                <w:rFonts w:ascii="Times New Roman" w:hAnsi="Times New Roman"/>
                <w:sz w:val="20"/>
              </w:rPr>
              <w:t>Top journal; welcomes methodological innovation</w:t>
            </w:r>
          </w:p>
        </w:tc>
      </w:tr>
      <w:tr>
        <w:tc>
          <w:tcPr>
            <w:tcW w:type="dxa" w:w="2340"/>
          </w:tcPr>
          <w:p>
            <w:pPr>
              <w:jc w:val="left"/>
            </w:pPr>
            <w:r>
              <w:rPr>
                <w:rFonts w:ascii="Times New Roman" w:hAnsi="Times New Roman"/>
                <w:sz w:val="20"/>
              </w:rPr>
              <w:t>Secondary</w:t>
            </w:r>
          </w:p>
        </w:tc>
        <w:tc>
          <w:tcPr>
            <w:tcW w:type="dxa" w:w="2340"/>
          </w:tcPr>
          <w:p>
            <w:pPr>
              <w:jc w:val="center"/>
            </w:pPr>
            <w:r>
              <w:rPr>
                <w:rFonts w:ascii="Times New Roman" w:hAnsi="Times New Roman"/>
                <w:sz w:val="20"/>
              </w:rPr>
              <w:t>Voluntas</w:t>
            </w:r>
          </w:p>
        </w:tc>
        <w:tc>
          <w:tcPr>
            <w:tcW w:type="dxa" w:w="2340"/>
          </w:tcPr>
          <w:p>
            <w:pPr>
              <w:jc w:val="center"/>
            </w:pPr>
            <w:r>
              <w:rPr>
                <w:rFonts w:ascii="Times New Roman" w:hAnsi="Times New Roman"/>
                <w:sz w:val="20"/>
              </w:rPr>
              <w:t>2.4</w:t>
            </w:r>
          </w:p>
        </w:tc>
        <w:tc>
          <w:tcPr>
            <w:tcW w:type="dxa" w:w="2340"/>
          </w:tcPr>
          <w:p>
            <w:pPr>
              <w:jc w:val="center"/>
            </w:pPr>
            <w:r>
              <w:rPr>
                <w:rFonts w:ascii="Times New Roman" w:hAnsi="Times New Roman"/>
                <w:sz w:val="20"/>
              </w:rPr>
              <w:t>International scope; interdisciplinary</w:t>
            </w:r>
          </w:p>
        </w:tc>
      </w:tr>
      <w:tr>
        <w:tc>
          <w:tcPr>
            <w:tcW w:type="dxa" w:w="2340"/>
          </w:tcPr>
          <w:p>
            <w:pPr>
              <w:jc w:val="left"/>
            </w:pPr>
            <w:r>
              <w:rPr>
                <w:rFonts w:ascii="Times New Roman" w:hAnsi="Times New Roman"/>
                <w:sz w:val="20"/>
              </w:rPr>
              <w:t>Tertiary</w:t>
            </w:r>
          </w:p>
        </w:tc>
        <w:tc>
          <w:tcPr>
            <w:tcW w:type="dxa" w:w="2340"/>
          </w:tcPr>
          <w:p>
            <w:pPr>
              <w:jc w:val="center"/>
            </w:pPr>
            <w:r>
              <w:rPr>
                <w:rFonts w:ascii="Times New Roman" w:hAnsi="Times New Roman"/>
                <w:sz w:val="20"/>
              </w:rPr>
              <w:t>Social Science Research</w:t>
            </w:r>
          </w:p>
        </w:tc>
        <w:tc>
          <w:tcPr>
            <w:tcW w:type="dxa" w:w="2340"/>
          </w:tcPr>
          <w:p>
            <w:pPr>
              <w:jc w:val="center"/>
            </w:pPr>
            <w:r>
              <w:rPr>
                <w:rFonts w:ascii="Times New Roman" w:hAnsi="Times New Roman"/>
                <w:sz w:val="20"/>
              </w:rPr>
              <w:t>2.9</w:t>
            </w:r>
          </w:p>
        </w:tc>
        <w:tc>
          <w:tcPr>
            <w:tcW w:type="dxa" w:w="2340"/>
          </w:tcPr>
          <w:p>
            <w:pPr>
              <w:jc w:val="center"/>
            </w:pPr>
            <w:r>
              <w:rPr>
                <w:rFonts w:ascii="Times New Roman" w:hAnsi="Times New Roman"/>
                <w:sz w:val="20"/>
              </w:rPr>
              <w:t>Methods-focused; broad audience</w:t>
            </w:r>
          </w:p>
        </w:tc>
      </w:tr>
    </w:tbl>
    <w:p/>
    <w:p>
      <w:r>
        <w:br w:type="page"/>
      </w:r>
    </w:p>
    <w:p>
      <w:pPr>
        <w:spacing w:before="240" w:after="240" w:line="480" w:lineRule="auto"/>
        <w:jc w:val="center"/>
      </w:pPr>
      <w:r>
        <w:rPr>
          <w:rFonts w:ascii="Times New Roman" w:hAnsi="Times New Roman"/>
          <w:b/>
          <w:sz w:val="24"/>
        </w:rPr>
        <w:t>Discussion Items for Meeting</w:t>
      </w:r>
    </w:p>
    <w:p>
      <w:pPr>
        <w:spacing w:line="480" w:lineRule="auto" w:after="0"/>
      </w:pPr>
      <w:r>
        <w:rPr>
          <w:rFonts w:ascii="Times New Roman" w:hAnsi="Times New Roman"/>
          <w:sz w:val="24"/>
        </w:rPr>
        <w:t>The following items are presented for collaborative discussion to finalize the analytical approach and manuscript strategy.</w:t>
      </w:r>
    </w:p>
    <w:p>
      <w:pPr>
        <w:spacing w:before="240" w:after="240" w:line="480" w:lineRule="auto"/>
        <w:jc w:val="left"/>
      </w:pPr>
      <w:r>
        <w:rPr>
          <w:rFonts w:ascii="Times New Roman" w:hAnsi="Times New Roman"/>
          <w:b/>
          <w:sz w:val="24"/>
        </w:rPr>
        <w:t>Authorship and Role Distribution</w:t>
      </w:r>
    </w:p>
    <w:p>
      <w:pPr>
        <w:spacing w:line="480" w:lineRule="auto" w:after="0"/>
        <w:ind w:firstLine="720"/>
      </w:pPr>
      <w:r>
        <w:rPr>
          <w:rFonts w:ascii="Times New Roman" w:hAnsi="Times New Roman"/>
          <w:sz w:val="24"/>
        </w:rPr>
        <w:t>Proposed authorship: Hosung You (1st author, methodological design, data analysis, manuscript writing) and Suzanna Windon (corresponding author, domain expertise, theoretical framing, practical implications). We welcome discussion on how to maximize each author's contribution.</w:t>
      </w:r>
    </w:p>
    <w:p>
      <w:pPr>
        <w:spacing w:before="240" w:after="240" w:line="480" w:lineRule="auto"/>
        <w:jc w:val="left"/>
      </w:pPr>
      <w:r>
        <w:rPr>
          <w:rFonts w:ascii="Times New Roman" w:hAnsi="Times New Roman"/>
          <w:b/>
          <w:sz w:val="24"/>
        </w:rPr>
        <w:t>Analytical Design Decisions</w:t>
      </w:r>
    </w:p>
    <w:p>
      <w:pPr>
        <w:spacing w:line="480" w:lineRule="auto"/>
        <w:ind w:left="720" w:hanging="360"/>
      </w:pPr>
      <w:r>
        <w:rPr>
          <w:rFonts w:ascii="Times New Roman" w:hAnsi="Times New Roman"/>
          <w:b/>
          <w:sz w:val="24"/>
        </w:rPr>
        <w:t xml:space="preserve">1. </w:t>
      </w:r>
      <w:r>
        <w:rPr>
          <w:rFonts w:ascii="Times New Roman" w:hAnsi="Times New Roman"/>
          <w:sz w:val="24"/>
        </w:rPr>
        <w:t>LPA indicator selection: Which civic engagement dimensions should define the profiles? Should we separate the LPA indicators from the Causal Forest outcome variables to avoid circularity?</w:t>
      </w:r>
    </w:p>
    <w:p>
      <w:pPr>
        <w:spacing w:line="480" w:lineRule="auto"/>
        <w:ind w:left="720" w:hanging="360"/>
      </w:pPr>
      <w:r>
        <w:rPr>
          <w:rFonts w:ascii="Times New Roman" w:hAnsi="Times New Roman"/>
          <w:b/>
          <w:sz w:val="24"/>
        </w:rPr>
        <w:t xml:space="preserve">2. </w:t>
      </w:r>
      <w:r>
        <w:rPr>
          <w:rFonts w:ascii="Times New Roman" w:hAnsi="Times New Roman"/>
          <w:sz w:val="24"/>
        </w:rPr>
        <w:t>Treatment definition: Should we compare organized volunteering (binary) or also examine volunteering intensity (frequency/hours) as a continuous treatment?</w:t>
      </w:r>
    </w:p>
    <w:p>
      <w:pPr>
        <w:spacing w:line="480" w:lineRule="auto"/>
        <w:ind w:left="720" w:hanging="360"/>
      </w:pPr>
      <w:r>
        <w:rPr>
          <w:rFonts w:ascii="Times New Roman" w:hAnsi="Times New Roman"/>
          <w:b/>
          <w:sz w:val="24"/>
        </w:rPr>
        <w:t xml:space="preserve">3. </w:t>
      </w:r>
      <w:r>
        <w:rPr>
          <w:rFonts w:ascii="Times New Roman" w:hAnsi="Times New Roman"/>
          <w:sz w:val="24"/>
        </w:rPr>
        <w:t>COVID-19 wave: Should we include the 2021 wave with appropriate controls, exclude it for sensitivity analysis, or use it as a natural experiment?</w:t>
      </w:r>
    </w:p>
    <w:p>
      <w:pPr>
        <w:spacing w:line="480" w:lineRule="auto"/>
        <w:ind w:left="720" w:hanging="360"/>
      </w:pPr>
      <w:r>
        <w:rPr>
          <w:rFonts w:ascii="Times New Roman" w:hAnsi="Times New Roman"/>
          <w:b/>
          <w:sz w:val="24"/>
        </w:rPr>
        <w:t xml:space="preserve">4. </w:t>
      </w:r>
      <w:r>
        <w:rPr>
          <w:rFonts w:ascii="Times New Roman" w:hAnsi="Times New Roman"/>
          <w:sz w:val="24"/>
        </w:rPr>
        <w:t>Causal identification: Given the cross-sectional design, how should we frame the unconfoundedness assumption in the manuscript? What additional robustness checks would strengthen the causal claim?</w:t>
      </w:r>
    </w:p>
    <w:p>
      <w:pPr>
        <w:spacing w:line="480" w:lineRule="auto"/>
        <w:ind w:left="720" w:hanging="360"/>
      </w:pPr>
      <w:r>
        <w:rPr>
          <w:rFonts w:ascii="Times New Roman" w:hAnsi="Times New Roman"/>
          <w:b/>
          <w:sz w:val="24"/>
        </w:rPr>
        <w:t xml:space="preserve">5. </w:t>
      </w:r>
      <w:r>
        <w:rPr>
          <w:rFonts w:ascii="Times New Roman" w:hAnsi="Times New Roman"/>
          <w:sz w:val="24"/>
        </w:rPr>
        <w:t>Survey weights: The data contain two weight variables (CESUPPWT and VLSUPPWT). We should confirm which weight to use for each analysis phase.</w:t>
      </w:r>
    </w:p>
    <w:p>
      <w:pPr>
        <w:spacing w:before="240" w:after="240" w:line="480" w:lineRule="auto"/>
        <w:jc w:val="left"/>
      </w:pPr>
      <w:r>
        <w:rPr>
          <w:rFonts w:ascii="Times New Roman" w:hAnsi="Times New Roman"/>
          <w:b/>
          <w:sz w:val="24"/>
        </w:rPr>
        <w:t>Timeline</w:t>
      </w:r>
    </w:p>
    <w:p>
      <w:pPr>
        <w:spacing w:before="240" w:line="480" w:lineRule="auto"/>
      </w:pPr>
      <w:r>
        <w:rPr>
          <w:rFonts w:ascii="Times New Roman" w:hAnsi="Times New Roman"/>
          <w:b/>
          <w:i/>
          <w:sz w:val="24"/>
        </w:rPr>
        <w:t>Table 7</w:t>
        <w:br/>
        <w:t>Proposed Timeline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Phase</w:t>
            </w:r>
          </w:p>
        </w:tc>
        <w:tc>
          <w:tcPr>
            <w:tcW w:type="dxa" w:w="2340"/>
          </w:tcPr>
          <w:p>
            <w:pPr>
              <w:jc w:val="center"/>
            </w:pPr>
            <w:r>
              <w:rPr>
                <w:rFonts w:ascii="Times New Roman" w:hAnsi="Times New Roman"/>
                <w:b/>
                <w:sz w:val="20"/>
              </w:rPr>
              <w:t>Task</w:t>
            </w:r>
          </w:p>
        </w:tc>
        <w:tc>
          <w:tcPr>
            <w:tcW w:type="dxa" w:w="2340"/>
          </w:tcPr>
          <w:p>
            <w:pPr>
              <w:jc w:val="center"/>
            </w:pPr>
            <w:r>
              <w:rPr>
                <w:rFonts w:ascii="Times New Roman" w:hAnsi="Times New Roman"/>
                <w:b/>
                <w:sz w:val="20"/>
              </w:rPr>
              <w:t>Duration</w:t>
            </w:r>
          </w:p>
        </w:tc>
        <w:tc>
          <w:tcPr>
            <w:tcW w:type="dxa" w:w="2340"/>
          </w:tcPr>
          <w:p>
            <w:pPr>
              <w:jc w:val="center"/>
            </w:pPr>
            <w:r>
              <w:rPr>
                <w:rFonts w:ascii="Times New Roman" w:hAnsi="Times New Roman"/>
                <w:b/>
                <w:sz w:val="20"/>
              </w:rPr>
              <w:t>Target</w:t>
            </w:r>
          </w:p>
        </w:tc>
      </w:tr>
      <w:tr>
        <w:tc>
          <w:tcPr>
            <w:tcW w:type="dxa" w:w="2340"/>
          </w:tcPr>
          <w:p>
            <w:pPr>
              <w:jc w:val="left"/>
            </w:pPr>
            <w:r>
              <w:rPr>
                <w:rFonts w:ascii="Times New Roman" w:hAnsi="Times New Roman"/>
                <w:sz w:val="20"/>
              </w:rPr>
              <w:t>1</w:t>
            </w:r>
          </w:p>
        </w:tc>
        <w:tc>
          <w:tcPr>
            <w:tcW w:type="dxa" w:w="2340"/>
          </w:tcPr>
          <w:p>
            <w:pPr>
              <w:jc w:val="center"/>
            </w:pPr>
            <w:r>
              <w:rPr>
                <w:rFonts w:ascii="Times New Roman" w:hAnsi="Times New Roman"/>
                <w:sz w:val="20"/>
              </w:rPr>
              <w:t>Data cleaning and LPA estimation</w:t>
            </w:r>
          </w:p>
        </w:tc>
        <w:tc>
          <w:tcPr>
            <w:tcW w:type="dxa" w:w="2340"/>
          </w:tcPr>
          <w:p>
            <w:pPr>
              <w:jc w:val="center"/>
            </w:pPr>
            <w:r>
              <w:rPr>
                <w:rFonts w:ascii="Times New Roman" w:hAnsi="Times New Roman"/>
                <w:sz w:val="20"/>
              </w:rPr>
              <w:t>3 weeks</w:t>
            </w:r>
          </w:p>
        </w:tc>
        <w:tc>
          <w:tcPr>
            <w:tcW w:type="dxa" w:w="2340"/>
          </w:tcPr>
          <w:p>
            <w:pPr>
              <w:jc w:val="center"/>
            </w:pPr>
            <w:r>
              <w:rPr>
                <w:rFonts w:ascii="Times New Roman" w:hAnsi="Times New Roman"/>
                <w:sz w:val="20"/>
              </w:rPr>
              <w:t>March 2026</w:t>
            </w:r>
          </w:p>
        </w:tc>
      </w:tr>
      <w:tr>
        <w:tc>
          <w:tcPr>
            <w:tcW w:type="dxa" w:w="2340"/>
          </w:tcPr>
          <w:p>
            <w:pPr>
              <w:jc w:val="left"/>
            </w:pPr>
            <w:r>
              <w:rPr>
                <w:rFonts w:ascii="Times New Roman" w:hAnsi="Times New Roman"/>
                <w:sz w:val="20"/>
              </w:rPr>
              <w:t>2</w:t>
            </w:r>
          </w:p>
        </w:tc>
        <w:tc>
          <w:tcPr>
            <w:tcW w:type="dxa" w:w="2340"/>
          </w:tcPr>
          <w:p>
            <w:pPr>
              <w:jc w:val="center"/>
            </w:pPr>
            <w:r>
              <w:rPr>
                <w:rFonts w:ascii="Times New Roman" w:hAnsi="Times New Roman"/>
                <w:sz w:val="20"/>
              </w:rPr>
              <w:t>Causal Forest estimation and diagnostics</w:t>
            </w:r>
          </w:p>
        </w:tc>
        <w:tc>
          <w:tcPr>
            <w:tcW w:type="dxa" w:w="2340"/>
          </w:tcPr>
          <w:p>
            <w:pPr>
              <w:jc w:val="center"/>
            </w:pPr>
            <w:r>
              <w:rPr>
                <w:rFonts w:ascii="Times New Roman" w:hAnsi="Times New Roman"/>
                <w:sz w:val="20"/>
              </w:rPr>
              <w:t>3 weeks</w:t>
            </w:r>
          </w:p>
        </w:tc>
        <w:tc>
          <w:tcPr>
            <w:tcW w:type="dxa" w:w="2340"/>
          </w:tcPr>
          <w:p>
            <w:pPr>
              <w:jc w:val="center"/>
            </w:pPr>
            <w:r>
              <w:rPr>
                <w:rFonts w:ascii="Times New Roman" w:hAnsi="Times New Roman"/>
                <w:sz w:val="20"/>
              </w:rPr>
              <w:t>April 2026</w:t>
            </w:r>
          </w:p>
        </w:tc>
      </w:tr>
      <w:tr>
        <w:tc>
          <w:tcPr>
            <w:tcW w:type="dxa" w:w="2340"/>
          </w:tcPr>
          <w:p>
            <w:pPr>
              <w:jc w:val="left"/>
            </w:pPr>
            <w:r>
              <w:rPr>
                <w:rFonts w:ascii="Times New Roman" w:hAnsi="Times New Roman"/>
                <w:sz w:val="20"/>
              </w:rPr>
              <w:t>3</w:t>
            </w:r>
          </w:p>
        </w:tc>
        <w:tc>
          <w:tcPr>
            <w:tcW w:type="dxa" w:w="2340"/>
          </w:tcPr>
          <w:p>
            <w:pPr>
              <w:jc w:val="center"/>
            </w:pPr>
            <w:r>
              <w:rPr>
                <w:rFonts w:ascii="Times New Roman" w:hAnsi="Times New Roman"/>
                <w:sz w:val="20"/>
              </w:rPr>
              <w:t>SHAP analysis and visualization</w:t>
            </w:r>
          </w:p>
        </w:tc>
        <w:tc>
          <w:tcPr>
            <w:tcW w:type="dxa" w:w="2340"/>
          </w:tcPr>
          <w:p>
            <w:pPr>
              <w:jc w:val="center"/>
            </w:pPr>
            <w:r>
              <w:rPr>
                <w:rFonts w:ascii="Times New Roman" w:hAnsi="Times New Roman"/>
                <w:sz w:val="20"/>
              </w:rPr>
              <w:t>2 weeks</w:t>
            </w:r>
          </w:p>
        </w:tc>
        <w:tc>
          <w:tcPr>
            <w:tcW w:type="dxa" w:w="2340"/>
          </w:tcPr>
          <w:p>
            <w:pPr>
              <w:jc w:val="center"/>
            </w:pPr>
            <w:r>
              <w:rPr>
                <w:rFonts w:ascii="Times New Roman" w:hAnsi="Times New Roman"/>
                <w:sz w:val="20"/>
              </w:rPr>
              <w:t>April 2026</w:t>
            </w:r>
          </w:p>
        </w:tc>
      </w:tr>
      <w:tr>
        <w:tc>
          <w:tcPr>
            <w:tcW w:type="dxa" w:w="2340"/>
          </w:tcPr>
          <w:p>
            <w:pPr>
              <w:jc w:val="left"/>
            </w:pPr>
            <w:r>
              <w:rPr>
                <w:rFonts w:ascii="Times New Roman" w:hAnsi="Times New Roman"/>
                <w:sz w:val="20"/>
              </w:rPr>
              <w:t>4</w:t>
            </w:r>
          </w:p>
        </w:tc>
        <w:tc>
          <w:tcPr>
            <w:tcW w:type="dxa" w:w="2340"/>
          </w:tcPr>
          <w:p>
            <w:pPr>
              <w:jc w:val="center"/>
            </w:pPr>
            <w:r>
              <w:rPr>
                <w:rFonts w:ascii="Times New Roman" w:hAnsi="Times New Roman"/>
                <w:sz w:val="20"/>
              </w:rPr>
              <w:t>Manuscript drafting</w:t>
            </w:r>
          </w:p>
        </w:tc>
        <w:tc>
          <w:tcPr>
            <w:tcW w:type="dxa" w:w="2340"/>
          </w:tcPr>
          <w:p>
            <w:pPr>
              <w:jc w:val="center"/>
            </w:pPr>
            <w:r>
              <w:rPr>
                <w:rFonts w:ascii="Times New Roman" w:hAnsi="Times New Roman"/>
                <w:sz w:val="20"/>
              </w:rPr>
              <w:t>4 weeks</w:t>
            </w:r>
          </w:p>
        </w:tc>
        <w:tc>
          <w:tcPr>
            <w:tcW w:type="dxa" w:w="2340"/>
          </w:tcPr>
          <w:p>
            <w:pPr>
              <w:jc w:val="center"/>
            </w:pPr>
            <w:r>
              <w:rPr>
                <w:rFonts w:ascii="Times New Roman" w:hAnsi="Times New Roman"/>
                <w:sz w:val="20"/>
              </w:rPr>
              <w:t>May–June 2026</w:t>
            </w:r>
          </w:p>
        </w:tc>
      </w:tr>
      <w:tr>
        <w:tc>
          <w:tcPr>
            <w:tcW w:type="dxa" w:w="2340"/>
          </w:tcPr>
          <w:p>
            <w:pPr>
              <w:jc w:val="left"/>
            </w:pPr>
            <w:r>
              <w:rPr>
                <w:rFonts w:ascii="Times New Roman" w:hAnsi="Times New Roman"/>
                <w:sz w:val="20"/>
              </w:rPr>
              <w:t>5</w:t>
            </w:r>
          </w:p>
        </w:tc>
        <w:tc>
          <w:tcPr>
            <w:tcW w:type="dxa" w:w="2340"/>
          </w:tcPr>
          <w:p>
            <w:pPr>
              <w:jc w:val="center"/>
            </w:pPr>
            <w:r>
              <w:rPr>
                <w:rFonts w:ascii="Times New Roman" w:hAnsi="Times New Roman"/>
                <w:sz w:val="20"/>
              </w:rPr>
              <w:t>Internal review and revision</w:t>
            </w:r>
          </w:p>
        </w:tc>
        <w:tc>
          <w:tcPr>
            <w:tcW w:type="dxa" w:w="2340"/>
          </w:tcPr>
          <w:p>
            <w:pPr>
              <w:jc w:val="center"/>
            </w:pPr>
            <w:r>
              <w:rPr>
                <w:rFonts w:ascii="Times New Roman" w:hAnsi="Times New Roman"/>
                <w:sz w:val="20"/>
              </w:rPr>
              <w:t>2 weeks</w:t>
            </w:r>
          </w:p>
        </w:tc>
        <w:tc>
          <w:tcPr>
            <w:tcW w:type="dxa" w:w="2340"/>
          </w:tcPr>
          <w:p>
            <w:pPr>
              <w:jc w:val="center"/>
            </w:pPr>
            <w:r>
              <w:rPr>
                <w:rFonts w:ascii="Times New Roman" w:hAnsi="Times New Roman"/>
                <w:sz w:val="20"/>
              </w:rPr>
              <w:t>June 2026</w:t>
            </w:r>
          </w:p>
        </w:tc>
      </w:tr>
      <w:tr>
        <w:tc>
          <w:tcPr>
            <w:tcW w:type="dxa" w:w="2340"/>
          </w:tcPr>
          <w:p>
            <w:pPr>
              <w:jc w:val="left"/>
            </w:pPr>
            <w:r>
              <w:rPr>
                <w:rFonts w:ascii="Times New Roman" w:hAnsi="Times New Roman"/>
                <w:sz w:val="20"/>
              </w:rPr>
              <w:t>6</w:t>
            </w:r>
          </w:p>
        </w:tc>
        <w:tc>
          <w:tcPr>
            <w:tcW w:type="dxa" w:w="2340"/>
          </w:tcPr>
          <w:p>
            <w:pPr>
              <w:jc w:val="center"/>
            </w:pPr>
            <w:r>
              <w:rPr>
                <w:rFonts w:ascii="Times New Roman" w:hAnsi="Times New Roman"/>
                <w:sz w:val="20"/>
              </w:rPr>
              <w:t>Journal submission</w:t>
            </w:r>
          </w:p>
        </w:tc>
        <w:tc>
          <w:tcPr>
            <w:tcW w:type="dxa" w:w="2340"/>
          </w:tcPr>
          <w:p>
            <w:pPr>
              <w:jc w:val="center"/>
            </w:pPr>
            <w:r>
              <w:rPr>
                <w:rFonts w:ascii="Times New Roman" w:hAnsi="Times New Roman"/>
                <w:sz w:val="20"/>
              </w:rPr>
              <w:t>1 week</w:t>
            </w:r>
          </w:p>
        </w:tc>
        <w:tc>
          <w:tcPr>
            <w:tcW w:type="dxa" w:w="2340"/>
          </w:tcPr>
          <w:p>
            <w:pPr>
              <w:jc w:val="center"/>
            </w:pPr>
            <w:r>
              <w:rPr>
                <w:rFonts w:ascii="Times New Roman" w:hAnsi="Times New Roman"/>
                <w:sz w:val="20"/>
              </w:rPr>
              <w:t>July 2026</w:t>
            </w:r>
          </w:p>
        </w:tc>
      </w:tr>
    </w:tbl>
    <w:p>
      <w:r>
        <w:br w:type="page"/>
      </w:r>
    </w:p>
    <w:p>
      <w:pPr>
        <w:spacing w:before="240" w:after="240" w:line="480" w:lineRule="auto"/>
        <w:jc w:val="center"/>
      </w:pPr>
      <w:r>
        <w:rPr>
          <w:rFonts w:ascii="Times New Roman" w:hAnsi="Times New Roman"/>
          <w:b/>
          <w:sz w:val="24"/>
        </w:rPr>
        <w:t>References</w:t>
      </w:r>
    </w:p>
    <w:p>
      <w:pPr>
        <w:spacing w:line="480" w:lineRule="auto"/>
        <w:ind w:left="720" w:hanging="720"/>
      </w:pPr>
      <w:r>
        <w:rPr>
          <w:rFonts w:ascii="Times New Roman" w:hAnsi="Times New Roman"/>
          <w:sz w:val="24"/>
        </w:rPr>
        <w:t>AmeriCorps. (2023). Volunteering and civic life in America. https://data.americorps.gov</w:t>
      </w:r>
    </w:p>
    <w:p>
      <w:pPr>
        <w:spacing w:line="480" w:lineRule="auto"/>
        <w:ind w:left="720" w:hanging="720"/>
      </w:pPr>
      <w:r>
        <w:rPr>
          <w:rFonts w:ascii="Times New Roman" w:hAnsi="Times New Roman"/>
          <w:sz w:val="24"/>
        </w:rPr>
        <w:t>Athey, S., Tibshirani, J., &amp; Wager, S. (2019). Generalized random forests. The Annals of Statistics, 47(2), 1148–1178. https://doi.org/10.1214/18-AOS1709</w:t>
      </w:r>
    </w:p>
    <w:p>
      <w:pPr>
        <w:spacing w:line="480" w:lineRule="auto"/>
        <w:ind w:left="720" w:hanging="720"/>
      </w:pPr>
      <w:r>
        <w:rPr>
          <w:rFonts w:ascii="Times New Roman" w:hAnsi="Times New Roman"/>
          <w:sz w:val="24"/>
        </w:rPr>
        <w:t>Blau, P. M. (1964). Exchange and power in social life. Wiley.</w:t>
      </w:r>
    </w:p>
    <w:p>
      <w:pPr>
        <w:spacing w:line="480" w:lineRule="auto"/>
        <w:ind w:left="720" w:hanging="720"/>
      </w:pPr>
      <w:r>
        <w:rPr>
          <w:rFonts w:ascii="Times New Roman" w:hAnsi="Times New Roman"/>
          <w:sz w:val="24"/>
        </w:rPr>
        <w:t>Bronfenbrenner, U. (1979). The ecology of human development: Experiments by nature and design. Harvard University Press.</w:t>
      </w:r>
    </w:p>
    <w:p>
      <w:pPr>
        <w:spacing w:line="480" w:lineRule="auto"/>
        <w:ind w:left="720" w:hanging="720"/>
      </w:pPr>
      <w:r>
        <w:rPr>
          <w:rFonts w:ascii="Times New Roman" w:hAnsi="Times New Roman"/>
          <w:sz w:val="24"/>
        </w:rPr>
        <w:t>Flora, C. B., &amp; Flora, J. L. (2013). Rural communities: Legacy and change (4th ed.). Westview Press.</w:t>
      </w:r>
    </w:p>
    <w:p>
      <w:pPr>
        <w:spacing w:line="480" w:lineRule="auto"/>
        <w:ind w:left="720" w:hanging="720"/>
      </w:pPr>
      <w:r>
        <w:rPr>
          <w:rFonts w:ascii="Times New Roman" w:hAnsi="Times New Roman"/>
          <w:sz w:val="24"/>
        </w:rPr>
        <w:t>Flood, S., King, M., Rodgers, R., Ruggles, S., Warren, J. R., Backman, D., Breton, E., Cooper, G., Richards, S., Van Riper, D., &amp; Williams, K. C. W. (2025). IPUMS CPS: Version 13.0 [dataset]. IPUMS. https://doi.org/10.18128/D030.V13.0</w:t>
      </w:r>
    </w:p>
    <w:p>
      <w:pPr>
        <w:spacing w:line="480" w:lineRule="auto"/>
        <w:ind w:left="720" w:hanging="720"/>
      </w:pPr>
      <w:r>
        <w:rPr>
          <w:rFonts w:ascii="Times New Roman" w:hAnsi="Times New Roman"/>
          <w:sz w:val="24"/>
        </w:rPr>
        <w:t>Lundberg, S. M., &amp; Lee, S. I. (2017). A unified approach to interpreting model predictions. In Advances in Neural Information Processing Systems (Vol. 30). Curran Associates.</w:t>
      </w:r>
    </w:p>
    <w:p>
      <w:pPr>
        <w:spacing w:line="480" w:lineRule="auto"/>
        <w:ind w:left="720" w:hanging="720"/>
      </w:pPr>
      <w:r>
        <w:rPr>
          <w:rFonts w:ascii="Times New Roman" w:hAnsi="Times New Roman"/>
          <w:sz w:val="24"/>
        </w:rPr>
        <w:t>Musick, M. A., &amp; Wilson, J. (2008). Volunteers: A social profile. Indiana University Press.</w:t>
      </w:r>
    </w:p>
    <w:p>
      <w:pPr>
        <w:spacing w:line="480" w:lineRule="auto"/>
        <w:ind w:left="720" w:hanging="720"/>
      </w:pPr>
      <w:r>
        <w:rPr>
          <w:rFonts w:ascii="Times New Roman" w:hAnsi="Times New Roman"/>
          <w:sz w:val="24"/>
        </w:rPr>
        <w:t>Oster, E. (2019). Unobservable selection and coefficient stability: Theory and evidence. Journal of Business &amp; Economic Statistics, 37(2), 187–204.</w:t>
      </w:r>
    </w:p>
    <w:p>
      <w:pPr>
        <w:spacing w:line="480" w:lineRule="auto"/>
        <w:ind w:left="720" w:hanging="720"/>
      </w:pPr>
      <w:r>
        <w:rPr>
          <w:rFonts w:ascii="Times New Roman" w:hAnsi="Times New Roman"/>
          <w:sz w:val="24"/>
        </w:rPr>
        <w:t>Putnam, R. D. (2000). Bowling alone: The collapse and revival of American community. Simon &amp; Schuster.</w:t>
      </w:r>
    </w:p>
    <w:p>
      <w:pPr>
        <w:spacing w:line="480" w:lineRule="auto"/>
        <w:ind w:left="720" w:hanging="720"/>
      </w:pPr>
      <w:r>
        <w:rPr>
          <w:rFonts w:ascii="Times New Roman" w:hAnsi="Times New Roman"/>
          <w:sz w:val="24"/>
        </w:rPr>
        <w:t>Vermunt, J. K., &amp; Magidson, J. (2002). Latent class cluster analysis. In J. Hagenaars &amp; A. McCutcheon (Eds.), Applied latent class analysis (pp. 89–106). Cambridge University Press.</w:t>
      </w:r>
    </w:p>
    <w:p>
      <w:pPr>
        <w:spacing w:line="480" w:lineRule="auto"/>
        <w:ind w:left="720" w:hanging="720"/>
      </w:pPr>
      <w:r>
        <w:rPr>
          <w:rFonts w:ascii="Times New Roman" w:hAnsi="Times New Roman"/>
          <w:sz w:val="24"/>
        </w:rPr>
        <w:t>Wilson, J. (2000). Volunteering. Annual Review of Sociology, 26(1), 215–240.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