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three complementary analytic methods, this study examines whether in-person socialization predicts volunteering differently across generational cohorts. Three findings emerge. First, a universal threshold: across all five generations, the transition from no socialization to even occasional contact produces the largest marginal gain in volunteering probability (8–10 percentage points), a pattern we term the "First Step Effect." Second, Generation Z exhibits a unique ceiling: beyond moderate socialization, volunteering probability plateaus—a pattern absent in all older cohorts. Third, these patterns are temporally stable,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and socialization ranks as the single most important predictor of volunteering for Gen Z—not for any older generation. These findings are consistent with a structural account of declining youth volunteering, rooted in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machine learning,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the loneliness epidemic, and particularly its effects on volunteering. This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erosion of social connection has continued—and accelerated among younger cohorts—with potential ramifications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initiatives—raising the possibility that the dominant recruitment strategies are failing to reach the cohorts most at risk of disengagement. The paradox is notable: the infrastructure for volunteering has expanded—with service-learning requirements in high schools, campus volunteer centers, and corporate social responsibility programs all proliferating—yet the actual rate of volunteering has declined, particularly among the youngest adults. If supply-side interventions were sufficient, rates should have stabilized or increased. They did not, suggesting that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is a precondition for civic recruitment, as both social capital theory (Putnam, 2000) and the civic voluntarism model (Verba et al., 1995) suggest, then generational declines in face-to-face socialization may represent a structural barrier to volunteering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urgent for the volunteering sector. Unlike voting, which requires a single act on a designated day, or charitable giving, which demands only a financial transaction, organized volunteering requires sustained investment of time and coordination with others—features that make it especially dependent on social networks and in-person contact (Cacioppo &amp; Cacioppo, 2014; Holt-Lunstad et al., 2010). The temporal demands of volunteering—showing up at a specific place, at a specific time, often repeatedly—create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facilitating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subgroups—a gap that has only widened as the social landscape has shifted beneath younger cohorts. This leaves a critical question unanswered: Is the decline in youth volunteering driven by changing values and attitudes, or by the erosion of the social connections that make volunteering possible in the first place?</w:t>
      </w:r>
    </w:p>
    <w:p>
      <w:pPr>
        <w:spacing w:before="0" w:after="0" w:lineRule="auto" w:line="480"/>
        <w:ind w:firstLine="720"/>
        <w:jc w:val="left"/>
      </w:pPr>
      <w:r>
        <w:rPr>
          <w:rFonts w:ascii="Times New Roman" w:hAnsi="Times New Roman" w:cs="Times New Roman"/>
          <w:b w:val="0"/>
          <w:i w:val="0"/>
          <w:sz w:val="24"/>
        </w:rPr>
        <w:t xml:space="preserve">The present study addresses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Three research questions guide the analysis, spanning variable-centered, person-centered, and predictive approaches (see Purpose and Research Questions). By bracketing the COVID-19 pandemic, the four-wave design distinguishes stable cohort effects from pandemic-specific disruptions—a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support—including the detection of nonlinear threshold effects within individual generational cohorts. The integrated approach—combining survey-weighted logistic regression, Latent Profile Analysis, and gradient boosting with TreeSHAP—extends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If socialization is a prerequisite rather than merely a correlate, then volunteer organizations targeting Generation Z must invest in creating social contact before—not alongside—recruitment appeals.</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The theoretical foundation for the relationship between social interaction and volunteering rests on social capital theory and the civic voluntarism model. Putnam (2000) defined social capital as the networks, norms, and trust that facilitate coordination and cooperation among individuals. In his framework, face-to-face social interaction is not merely a correlate of civic engagement but a generative mechanism: repeated contact builds the trust and reciprocity norms that lower the costs of collective action. Granovetter's (1973) weak ties theory extends this insight by arguing that peripheral social contacts—acquaintances encountered through occasional socialization—serve as bridges to new information and opportunities, including awareness of volunteer organizations and direct recruitment appeals. The mechanism is not merely informational but motivational: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The civic voluntarism model (CVM) identifies three categories of factors predicting civic participation: resources (time, money, civic skills), engagement (political interest, civic duty), and recruitment networks (Brady et al., 1995; Verba et al., 1995). The recruitment pathway is particularly relevant: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facilitate the emergence of norms and sanctions that encourage prosocial behavior, including volunteering. Beyerlein and Hipp (2006) demonstrated empirically that organizational membership mediates much of the socialization–volunteering pathway, suggesting that social contact facilitates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The theoretical expectation that social interaction facilitates civic engagement must be situated within evidence of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before—not as a consequence of—the COVID-19 pandemic. The result is a generation that came of age in an environment where social connection increasingly occurs through screens rather than in the shared physical spaces—Oldenburg's (1999) "third places"—that historically served as incubators for civic recruitment.</w:t>
      </w:r>
    </w:p>
    <w:p>
      <w:pPr>
        <w:spacing w:before="0" w:after="0" w:lineRule="auto" w:line="480"/>
        <w:ind w:firstLine="720"/>
        <w:jc w:val="left"/>
      </w:pPr>
      <w:r>
        <w:rPr>
          <w:rFonts w:ascii="Times New Roman" w:hAnsi="Times New Roman" w:cs="Times New Roman"/>
          <w:b w:val="0"/>
          <w:i w:val="0"/>
          <w:sz w:val="24"/>
        </w:rPr>
        <w:t>These shifts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particularly volunteering, among younger cohorts. If Dalton's "engaged citizenship" thesis were correct—if young people were simply channeling civic energy into new forms—aggregate civic participation should remain stable or rise even as traditional forms decline. It has not. The decline in formal volunteering among young adults has proceeded without a corresponding increase in measurable alternative engagement, suggesting that the issue may be less about shifting civic preferences and more about eroding civic infrastructure.</w:t>
      </w:r>
    </w:p>
    <w:p>
      <w:pPr>
        <w:spacing w:before="0" w:after="0" w:lineRule="auto" w:line="480"/>
        <w:ind w:firstLine="720"/>
        <w:jc w:val="left"/>
      </w:pPr>
      <w:r>
        <w:rPr>
          <w:rFonts w:ascii="Times New Roman" w:hAnsi="Times New Roman" w:cs="Times New Roman"/>
          <w:b w:val="0"/>
          <w:i w:val="0"/>
          <w:sz w:val="24"/>
        </w:rPr>
        <w:t>These theoretical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Generation Z is the focal cohort in this study because it occupies a unique position at the intersection of digital socialization and civic participation. Born after 1997, Gen Z is the first generation to have entered adulthood entirely within a digitally mediated social environment. By the time the oldest Gen Z members reached high school, smartphone ownership among American teenagers exceeded 70%, and social media use had become nearly universal (Pew Research Center, 2018). The implications for civic life are direct: the after-school hangouts, part-time jobs, religious youth groups, and community events that historically exposed young people to civic organizations and recruitment appeals have been partially displaced by digital interaction that occurs at home, alone, through a screen. Gen Z thus provides a critical test case for theories about whether online interaction can substitute for face-to-face socialization in generating civic participation. Descriptive data from the CPS-CEV consistently show that Gen Z reports the highest rates of minimal socialization (CESOCIALIZE = "Not at all"), suggesting that if social isolation affects volunteering, the effects should be most visible in this cohort. Gen Z also represents the future volunteer workforce; understanding the mechanisms that facilitate or inhibit their civic participation has direct implications for nonprofit management, volunteer recruitment, and community development practice.</w:t>
      </w:r>
    </w:p>
    <w:p>
      <w:pPr>
        <w:spacing w:before="0" w:after="0" w:lineRule="auto" w:line="480"/>
        <w:ind w:firstLine="720"/>
        <w:jc w:val="left"/>
      </w:pPr>
      <w:r>
        <w:rPr>
          <w:rFonts w:ascii="Times New Roman" w:hAnsi="Times New Roman" w:cs="Times New Roman"/>
          <w:b w:val="0"/>
          <w:i w:val="0"/>
          <w:sz w:val="24"/>
        </w:rPr>
        <w:t>Generation is operationalized as a moderating variable rather than merely a demographic control because generational membership captures shared formative experiences—including exposure to digital technology, economic conditions during the transition to adulthood, and the COVID-19 pandemic—that shape how individuals relate to civic institutions and social networks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The civic voluntarism model identifies education and employment as primary resource predictors of civic participation (Verba et al., 1995). Higher education develops civic skills, expands social networks, and cultivates norms of civic duty (Schlozman et al., 2012). Employment provides organizational skills, access to workplace-based recruitment, and the financial resources that reduce the opportunity cost of volunteering (Musick &amp; Wilson, 2008; Wilson, 2000). These resource pathways are well documented in the volunteering literature (Wilson, 2012).</w:t>
      </w:r>
    </w:p>
    <w:p>
      <w:pPr>
        <w:spacing w:before="0" w:after="0" w:lineRule="auto" w:line="480"/>
        <w:ind w:firstLine="720"/>
        <w:jc w:val="left"/>
      </w:pPr>
      <w:r>
        <w:rPr>
          <w:rFonts w:ascii="Times New Roman" w:hAnsi="Times New Roman" w:cs="Times New Roman"/>
          <w:b w:val="0"/>
          <w:i w:val="0"/>
          <w:sz w:val="24"/>
        </w:rPr>
        <w:t>However, whether these pathways operate with equal strength across generational cohorts has received limited attention. The resource model implicitly assumes that education and employment generate social contacts—through classrooms, campus organizations, and workplaces—that serve as recruitment channels. For generations that came of age in environments rich in face-to-face associational life, this assumption held: attending college exposed students to campus service organizations, and holding a job embedded workers in collegial networks where volunteer requests circulated informally. For Generation Z, these assumptions may be less reliable. If Gen Z's social isolation reflects a shift in how young adults form connections—with digital communication partially substituting for the campus and workplace encounters that older cohorts experienced—then the conventional resource model may overestimate the civic returns of education and employment for this cohort. The foundational social contacts through which resources are converted into civic action may simply be thinner.</w:t>
      </w:r>
    </w:p>
    <w:p>
      <w:pPr>
        <w:spacing w:before="0" w:after="0" w:lineRule="auto" w:line="480"/>
        <w:ind w:firstLine="720"/>
        <w:jc w:val="left"/>
      </w:pPr>
      <w:r>
        <w:rPr>
          <w:rFonts w:ascii="Times New Roman" w:hAnsi="Times New Roman" w:cs="Times New Roman"/>
          <w:b w:val="0"/>
          <w:i w:val="0"/>
          <w:sz w:val="24"/>
        </w:rPr>
        <w:t>We additionally examine civic use of social media as a potential moderating factor. Bennett and Segerberg (2012) theorized the emergence of "connective action"—individualized, digitally mediated civic participation that bypasses traditional organizational structures. The "digital compensation" hypothesis (Norris, 2002) suggests that online civic engagement could partially offset the volunteering deficit produced by social isolation, particularly for digitally native cohorts. If socially isolated individuals use social media for civic purposes (e.g., reading about community issues, sharing information about causes), this digital engagement might maintain awareness of volunteer opportunities and lower barriers to participation, even in the absence of face-to-face recruitment.</w:t>
      </w:r>
    </w:p>
    <w:p>
      <w:pPr>
        <w:spacing w:before="0" w:after="0" w:lineRule="auto" w:line="480"/>
        <w:jc w:val="left"/>
      </w:pPr>
      <w:r>
        <w:rPr>
          <w:rFonts w:ascii="Times New Roman" w:hAnsi="Times New Roman" w:cs="Times New Roman"/>
          <w:b/>
          <w:i w:val="0"/>
          <w:sz w:val="24"/>
        </w:rPr>
        <w:t>The Loneliness Epidemic and Civic Consequences</w:t>
      </w:r>
    </w:p>
    <w:p>
      <w:pPr>
        <w:spacing w:before="0" w:after="0" w:lineRule="auto" w:line="480"/>
        <w:ind w:firstLine="720"/>
        <w:jc w:val="left"/>
      </w:pPr>
      <w:r>
        <w:rPr>
          <w:rFonts w:ascii="Times New Roman" w:hAnsi="Times New Roman" w:cs="Times New Roman"/>
          <w:b w:val="0"/>
          <w:i w:val="0"/>
          <w:sz w:val="24"/>
        </w:rPr>
        <w:t>The Surgeon General's 2023 advisory situated social isolation within a public health framework, documenting associations between social disconnection and increased risk of heart disease, stroke, dementia, and premature mortality (Office of the Surgeon General, 2023). While the advisory focused primarily on health outcomes, it also noted that social isolation "undermines the social infrastructure on which democratic participation depends"—a claim that, to date, has received limited empirical testing in the volunteering context.</w:t>
      </w:r>
    </w:p>
    <w:p>
      <w:pPr>
        <w:spacing w:before="0" w:after="0" w:lineRule="auto" w:line="480"/>
        <w:ind w:firstLine="720"/>
        <w:jc w:val="left"/>
      </w:pPr>
      <w:r>
        <w:rPr>
          <w:rFonts w:ascii="Times New Roman" w:hAnsi="Times New Roman" w:cs="Times New Roman"/>
          <w:b w:val="0"/>
          <w:i w:val="0"/>
          <w:sz w:val="24"/>
        </w:rPr>
        <w:t>Cacioppo and Cacioppo (2014) provided a theoretical bridge between loneliness and civic withdrawal. Their evolutionary model argues that perceived social isolation triggers a cascade of psychological responses: hypervigilance to social threat leads to negative interpretations of ambiguous social cues, which reduces interpersonal trust, which in turn drives further withdrawal from social situations. The cycle is self-reinforcing—each withdrawal reduces the probability of the very encounters that could disconfirm the isolated individual's perception of social threat. In civic terms, this means that the most isolated individuals are the least likely to encounter the recruitment appeals that social capital theory identifies as the primary mechanism for volunteering initiation. This theoretical account predicts that the relationship between social isolation and civic disengagement should be nonlinear: even small reductions in isolation (moving from complete social disconnection to occasional contact) may break the cycle of withdrawal and produce disproportionately large gains in civic participation. This prediction forms the basis for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The purpose of this study is to examine the association between in-person socialization frequency and volunteering across generational cohorts using four waves of nationally representative data from the Current Population Survey Civic Engagement and Volunteering Supplement (2017, 2019, 2021, 2023). To move beyond the limitations of any single analytic approach, we employ an integrated design that combines variable-centered regression, person-centered profiling, and machine learning validation. By spanning four waves that bracket the COVID-19 pandemic, this design allows us to distinguish structural cohort effects from pandemic-specific disruptions.</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 while the machine learning component validates predictor importance without parametric assumptions.</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ind w:firstLine="720"/>
        <w:jc w:val="left"/>
      </w:pPr>
      <w:r>
        <w:rPr>
          <w:rFonts w:ascii="Times New Roman" w:hAnsi="Times New Roman" w:cs="Times New Roman"/>
          <w:b/>
          <w:i w:val="0"/>
          <w:sz w:val="24"/>
        </w:rPr>
        <w:t>Research Question 3</w:t>
      </w:r>
      <w:r>
        <w:rPr>
          <w:rFonts w:ascii="Times New Roman" w:hAnsi="Times New Roman" w:cs="Times New Roman"/>
          <w:b w:val="0"/>
          <w:i w:val="0"/>
          <w:sz w:val="24"/>
        </w:rPr>
        <w:t xml:space="preserve"> (Predictive Validation): Does machine learning-based variable importance confirm socialization as the dominant predictor of volunteering, and do nonlinear SHAP dependence patterns differ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H6.</w:t>
      </w:r>
      <w:r>
        <w:rPr>
          <w:rFonts w:ascii="Times New Roman" w:hAnsi="Times New Roman" w:cs="Times New Roman"/>
          <w:b w:val="0"/>
          <w:i w:val="0"/>
          <w:sz w:val="24"/>
        </w:rPr>
        <w:t xml:space="preserve"> In-person socialization will be the single most important predictor of volunteering in a gradient boosting model, even when compared against education, income, and age. - </w:t>
      </w:r>
      <w:r>
        <w:rPr>
          <w:rFonts w:ascii="Times New Roman" w:hAnsi="Times New Roman" w:cs="Times New Roman"/>
          <w:b w:val="0"/>
          <w:i/>
          <w:sz w:val="24"/>
        </w:rPr>
        <w:t>H7.</w:t>
      </w:r>
      <w:r>
        <w:rPr>
          <w:rFonts w:ascii="Times New Roman" w:hAnsi="Times New Roman" w:cs="Times New Roman"/>
          <w:b w:val="0"/>
          <w:i w:val="0"/>
          <w:sz w:val="24"/>
        </w:rPr>
        <w:t xml:space="preserve"> SHAP dependence plots will reveal a steeper marginal effect at low socialization levels (1→2 transition) that flattens at higher levels. We term this predicted threshold dynamic the "First Step Effect," capturing the hypothesis that initial social contact produces disproportionate civic returns.</w:t>
      </w:r>
    </w:p>
    <w:p>
      <w:pPr>
        <w:spacing w:before="0" w:after="0" w:lineRule="auto" w:line="480"/>
        <w:ind w:firstLine="720"/>
        <w:jc w:val="left"/>
      </w:pPr>
      <w:r>
        <w:rPr>
          <w:rFonts w:ascii="Times New Roman" w:hAnsi="Times New Roman" w:cs="Times New Roman"/>
          <w:b w:val="0"/>
          <w:i/>
          <w:sz w:val="24"/>
        </w:rPr>
        <w:t>Table 2.</w:t>
      </w:r>
      <w:r>
        <w:rPr>
          <w:rFonts w:ascii="Times New Roman" w:hAnsi="Times New Roman" w:cs="Times New Roman"/>
          <w:b w:val="0"/>
          <w:i w:val="0"/>
          <w:sz w:val="24"/>
        </w:rPr>
        <w:t xml:space="preserve"> Summary of Research Questions and Hypotheses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validation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w:t>
      </w:r>
    </w:p>
    <w:p>
      <w:pPr>
        <w:spacing w:before="0" w:after="0" w:lineRule="auto" w:line="480"/>
        <w:ind w:firstLine="720"/>
        <w:jc w:val="left"/>
      </w:pPr>
      <w:r>
        <w:rPr>
          <w:rFonts w:ascii="Times New Roman" w:hAnsi="Times New Roman" w:cs="Times New Roman"/>
          <w:b/>
          <w:i w:val="0"/>
          <w:sz w:val="24"/>
        </w:rPr>
        <w:t>Boycotting</w:t>
      </w:r>
      <w:r>
        <w:rPr>
          <w:rFonts w:ascii="Times New Roman" w:hAnsi="Times New Roman" w:cs="Times New Roman"/>
          <w:b w:val="0"/>
          <w:i w:val="0"/>
          <w:sz w:val="24"/>
        </w:rPr>
        <w:t xml:space="preserve"> (CEBOYCOTT): Whether the respondent boycotted a product for social or political reasons (binary). </w:t>
      </w:r>
      <w:r>
        <w:rPr>
          <w:rFonts w:ascii="Times New Roman" w:hAnsi="Times New Roman" w:cs="Times New Roman"/>
          <w:b/>
          <w:i w:val="0"/>
          <w:sz w:val="24"/>
        </w:rPr>
        <w:t>Contacting officials</w:t>
      </w:r>
      <w:r>
        <w:rPr>
          <w:rFonts w:ascii="Times New Roman" w:hAnsi="Times New Roman" w:cs="Times New Roman"/>
          <w:b w:val="0"/>
          <w:i w:val="0"/>
          <w:sz w:val="24"/>
        </w:rPr>
        <w:t xml:space="preserve"> (CEPUBOFF): Whether the respondent contacted a public official (binary). </w:t>
      </w:r>
      <w:r>
        <w:rPr>
          <w:rFonts w:ascii="Times New Roman" w:hAnsi="Times New Roman" w:cs="Times New Roman"/>
          <w:b/>
          <w:i w:val="0"/>
          <w:sz w:val="24"/>
        </w:rPr>
        <w:t>Political conversation</w:t>
      </w:r>
      <w:r>
        <w:rPr>
          <w:rFonts w:ascii="Times New Roman" w:hAnsi="Times New Roman" w:cs="Times New Roman"/>
          <w:b w:val="0"/>
          <w:i w:val="0"/>
          <w:sz w:val="24"/>
        </w:rPr>
        <w:t xml:space="preserve"> (CEPOLCONV): Frequency of discussing politics (ordinal, 1–6). </w:t>
      </w:r>
      <w:r>
        <w:rPr>
          <w:rFonts w:ascii="Times New Roman" w:hAnsi="Times New Roman" w:cs="Times New Roman"/>
          <w:b/>
          <w:i w:val="0"/>
          <w:sz w:val="24"/>
        </w:rPr>
        <w:t>In-person socialization</w:t>
      </w:r>
      <w:r>
        <w:rPr>
          <w:rFonts w:ascii="Times New Roman" w:hAnsi="Times New Roman" w:cs="Times New Roman"/>
          <w:b w:val="0"/>
          <w:i w:val="0"/>
          <w:sz w:val="24"/>
        </w:rPr>
        <w:t xml:space="preserve"> (CESOCIALIZE): Frequency of in-person social contact (ordinal, 1–6). </w:t>
      </w:r>
      <w:r>
        <w:rPr>
          <w:rFonts w:ascii="Times New Roman" w:hAnsi="Times New Roman" w:cs="Times New Roman"/>
          <w:b/>
          <w:i w:val="0"/>
          <w:sz w:val="24"/>
        </w:rPr>
        <w:t>Organizational membership</w:t>
      </w:r>
      <w:r>
        <w:rPr>
          <w:rFonts w:ascii="Times New Roman" w:hAnsi="Times New Roman" w:cs="Times New Roman"/>
          <w:b w:val="0"/>
          <w:i w:val="0"/>
          <w:sz w:val="24"/>
        </w:rPr>
        <w:t xml:space="preserve"> (VLMEMBERN): Number of organizations to which the respondent belongs (count; respondents reporting no membership via VLMEMBER were coded as 0). </w:t>
      </w:r>
      <w:r>
        <w:rPr>
          <w:rFonts w:ascii="Times New Roman" w:hAnsi="Times New Roman" w:cs="Times New Roman"/>
          <w:b/>
          <w:i w:val="0"/>
          <w:sz w:val="24"/>
        </w:rPr>
        <w:t>Charitable donation</w:t>
      </w:r>
      <w:r>
        <w:rPr>
          <w:rFonts w:ascii="Times New Roman" w:hAnsi="Times New Roman" w:cs="Times New Roman"/>
          <w:b w:val="0"/>
          <w:i w:val="0"/>
          <w:sz w:val="24"/>
        </w:rPr>
        <w:t xml:space="preserve"> (VLDONATE): Whether the respondent donated to a charitable or religious organization (binary).</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This set captures multiple dimensions of civic life—political action, social connection, institutional membership, and philanthropic behavior—enabling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three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from the pooled four-wave sample. LPA is a model-based clustering technique that identifies subgroups of individuals with similar patterns across multiple indicators (Collins &amp; Lanza, 2010; Muthén &amp; Muthén, 2000). We evaluate models with 2–7 profiles using varying variances and zero covariances (Vermunt &amp; Magidson, 2002), selecting the optimal number based on Bayesian Information Criterion (BIC), entropy, and Bootstrap Likelihood Ratio Test (BLRT). Given the large sample size (</w:t>
      </w:r>
      <w:r>
        <w:rPr>
          <w:rFonts w:ascii="Times New Roman" w:hAnsi="Times New Roman" w:cs="Times New Roman"/>
          <w:b w:val="0"/>
          <w:i/>
          <w:sz w:val="24"/>
        </w:rPr>
        <w:t>N</w:t>
      </w:r>
      <w:r>
        <w:rPr>
          <w:rFonts w:ascii="Times New Roman" w:hAnsi="Times New Roman" w:cs="Times New Roman"/>
          <w:b w:val="0"/>
          <w:i w:val="0"/>
          <w:sz w:val="24"/>
        </w:rPr>
        <w:t xml:space="preserve"> &gt; 200,000), initial model selection is conducted on a random subsample of 20,000 cases, with the selected model refit to the full sample.</w:t>
      </w:r>
    </w:p>
    <w:p>
      <w:pPr>
        <w:spacing w:before="0" w:after="0" w:lineRule="auto" w:line="480"/>
        <w:ind w:firstLine="720"/>
        <w:jc w:val="left"/>
      </w:pPr>
      <w:r>
        <w:rPr>
          <w:rFonts w:ascii="Times New Roman" w:hAnsi="Times New Roman" w:cs="Times New Roman"/>
          <w:b w:val="0"/>
          <w:i w:val="0"/>
          <w:sz w:val="24"/>
        </w:rPr>
        <w:t>After identifying profiles, we characterize each by its indicator means on the original scale, examine the generational distribution across profiles, compare volunteering rates by profile and generation, and assess whether profile distributions shifted between pre- and post-COVID periods.</w:t>
      </w:r>
    </w:p>
    <w:p>
      <w:pPr>
        <w:spacing w:before="0" w:after="0" w:lineRule="auto" w:line="480"/>
        <w:jc w:val="left"/>
      </w:pPr>
      <w:r>
        <w:rPr>
          <w:rFonts w:ascii="Times New Roman" w:hAnsi="Times New Roman" w:cs="Times New Roman"/>
          <w:b/>
          <w:i/>
          <w:sz w:val="24"/>
        </w:rPr>
        <w:t>Stage 3: Gradient Boosting with TreeSHAP (RQ3)</w:t>
      </w:r>
    </w:p>
    <w:p>
      <w:pPr>
        <w:spacing w:before="0" w:after="0" w:lineRule="auto" w:line="480"/>
        <w:ind w:firstLine="720"/>
        <w:jc w:val="left"/>
      </w:pPr>
      <w:r>
        <w:rPr>
          <w:rFonts w:ascii="Times New Roman" w:hAnsi="Times New Roman" w:cs="Times New Roman"/>
          <w:b w:val="0"/>
          <w:i w:val="0"/>
          <w:sz w:val="24"/>
        </w:rPr>
        <w:t>To address RQ3, we train an XGBoost gradient boosting classifier (Friedman, 2001) predicting volunteering from the same predictors used in the regression models, including post-COVID as a feature. This nonparametric approach makes no assumptions about functional form, automatically captures interactions, and provides a complementary test of predictor importance. Model performance is evaluated using AUC on a held-out test set (20% split).</w:t>
      </w:r>
    </w:p>
    <w:p>
      <w:pPr>
        <w:spacing w:before="0" w:after="0" w:lineRule="auto" w:line="480"/>
        <w:ind w:firstLine="720"/>
        <w:jc w:val="left"/>
      </w:pPr>
      <w:r>
        <w:rPr>
          <w:rFonts w:ascii="Times New Roman" w:hAnsi="Times New Roman" w:cs="Times New Roman"/>
          <w:b w:val="0"/>
          <w:i w:val="0"/>
          <w:sz w:val="24"/>
        </w:rPr>
        <w:t>Feature importance is decomposed using TreeSHAP (Lundberg &amp; Lee, 2017; Lundberg et al., 2020), which assigns each predictor a Shapley value representing its marginal contribution to each prediction. We report mean |SHAP| values for the full sample and by generation, and generate dependence plots for socialization that reveal threshold effects. This validates whether the patterns observed in the parametric regression—particularly the First Step Effect and generational variation—are also captured by a nonlinear model without imposed interaction structure.</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All regression analyses were conducted in R (version 4.4.x) using the `survey` package (Lumley, 2020) for design-based estimation and the `marginaleffects` package (Arel-Bundock, 2023) for AME computation. LPA was estimated using the `mclust` package (Scrucca et al., 2016). XGBoost models were trained in Python (version 3.11) using the `xgboost` library (Chen &amp; Guestrin, 2016) with learning rate = 0.05, max depth = 6, 500 boosting rounds, and L2 regularization (lambda = 1.0). The train/test split was stratified by the outcome variable (80/20). SHAP values were computed using the `shap` library (Lundberg et al., 2020).</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Three sets of robustness analyses tested the sensitivity of the regression findings. First, we compared the observed categorical AMEs to predictions from a smooth log-linear specification to confirm that the First Step Effect reflects a genuine threshold rather than an artifact of scale concavity. Second, we added organizational membership (VLMEMBERN) as a covariate to assess the extent to which the socialization pathway operates through institutional embeddedness. Third, we included a nonlinear age control (age-squared)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The analytic sample comprised 201,168 respondents pooled across four CPS-CEV waves (2017, 2019, 2021, 2023),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Boomers—a rate that was stable across all four waves (range: 44.6–47.8%), indicating that Gen Z's social disconnection preceded the COVID-19 pandemic and was independent of it. The generational contrast is not merely statistical: nearly half of the youngest adult cohort in a nationally representative sample reports that their face-to-face social contact amounts to no more than a few encounters per year—a level of isolation that, for older generations, characterizes fewer than one in five respondents.</w:t>
      </w:r>
    </w:p>
    <w:p>
      <w:pPr>
        <w:spacing w:before="240" w:after="80" w:lineRule="auto" w:line="480"/>
        <w:jc w:val="left"/>
      </w:pPr>
      <w:r>
        <w:rPr>
          <w:rFonts w:ascii="Times New Roman" w:hAnsi="Times New Roman" w:cs="Times New Roman"/>
          <w:b/>
          <w:i/>
          <w:sz w:val="24"/>
        </w:rPr>
        <w:t>Table 1</w:t>
      </w:r>
      <w:r>
        <w:rPr>
          <w:rFonts w:ascii="Times New Roman" w:hAnsi="Times New Roman" w:cs="Times New Roman"/>
          <w:b w:val="0"/>
          <w:i/>
          <w:sz w:val="24"/>
        </w:rPr>
        <w:br/>
        <w:t>Sample Characteristics by Generational Cohort (CPS-CEV 2017–2023, N = 201,168)</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Rule="auto" w:line="240"/>
              <w:jc w:val="center"/>
            </w:pPr>
            <w:r/>
            <w:r>
              <w:rPr>
                <w:rFonts w:ascii="Times New Roman" w:hAnsi="Times New Roman" w:cs="Times New Roman"/>
                <w:b/>
                <w:i w:val="0"/>
                <w:sz w:val="20"/>
              </w:rPr>
              <w:t>Generation</w:t>
            </w:r>
          </w:p>
        </w:tc>
        <w:tc>
          <w:tcPr>
            <w:tcW w:type="dxa" w:w="1170"/>
          </w:tcPr>
          <w:p>
            <w:pPr>
              <w:spacing w:before="0" w:after="0" w:lineRule="auto" w:line="240"/>
              <w:jc w:val="center"/>
            </w:pPr>
            <w:r/>
            <w:r>
              <w:rPr>
                <w:rFonts w:ascii="Times New Roman" w:hAnsi="Times New Roman" w:cs="Times New Roman"/>
                <w:b/>
                <w:i w:val="0"/>
                <w:sz w:val="20"/>
              </w:rPr>
              <w:t>N</w:t>
            </w:r>
          </w:p>
        </w:tc>
        <w:tc>
          <w:tcPr>
            <w:tcW w:type="dxa" w:w="1170"/>
          </w:tcPr>
          <w:p>
            <w:pPr>
              <w:spacing w:before="0" w:after="0" w:lineRule="auto" w:line="240"/>
              <w:jc w:val="center"/>
            </w:pPr>
            <w:r/>
            <w:r>
              <w:rPr>
                <w:rFonts w:ascii="Times New Roman" w:hAnsi="Times New Roman" w:cs="Times New Roman"/>
                <w:b/>
                <w:i w:val="0"/>
                <w:sz w:val="20"/>
              </w:rPr>
              <w:t>Age (M)</w:t>
            </w:r>
          </w:p>
        </w:tc>
        <w:tc>
          <w:tcPr>
            <w:tcW w:type="dxa" w:w="1170"/>
          </w:tcPr>
          <w:p>
            <w:pPr>
              <w:spacing w:before="0" w:after="0" w:lineRule="auto" w:line="240"/>
              <w:jc w:val="center"/>
            </w:pPr>
            <w:r/>
            <w:r>
              <w:rPr>
                <w:rFonts w:ascii="Times New Roman" w:hAnsi="Times New Roman" w:cs="Times New Roman"/>
                <w:b/>
                <w:i w:val="0"/>
                <w:sz w:val="20"/>
              </w:rPr>
              <w:t>Female (%)</w:t>
            </w:r>
          </w:p>
        </w:tc>
        <w:tc>
          <w:tcPr>
            <w:tcW w:type="dxa" w:w="1170"/>
          </w:tcPr>
          <w:p>
            <w:pPr>
              <w:spacing w:before="0" w:after="0" w:lineRule="auto" w:line="240"/>
              <w:jc w:val="center"/>
            </w:pPr>
            <w:r/>
            <w:r>
              <w:rPr>
                <w:rFonts w:ascii="Times New Roman" w:hAnsi="Times New Roman" w:cs="Times New Roman"/>
                <w:b/>
                <w:i w:val="0"/>
                <w:sz w:val="20"/>
              </w:rPr>
              <w:t>BA+ (%)</w:t>
            </w:r>
          </w:p>
        </w:tc>
        <w:tc>
          <w:tcPr>
            <w:tcW w:type="dxa" w:w="1170"/>
          </w:tcPr>
          <w:p>
            <w:pPr>
              <w:spacing w:before="0" w:after="0" w:lineRule="auto" w:line="240"/>
              <w:jc w:val="center"/>
            </w:pPr>
            <w:r/>
            <w:r>
              <w:rPr>
                <w:rFonts w:ascii="Times New Roman" w:hAnsi="Times New Roman" w:cs="Times New Roman"/>
                <w:b/>
                <w:i w:val="0"/>
                <w:sz w:val="20"/>
              </w:rPr>
              <w:t>Vol. Rate (%)</w:t>
            </w:r>
          </w:p>
        </w:tc>
        <w:tc>
          <w:tcPr>
            <w:tcW w:type="dxa" w:w="1170"/>
          </w:tcPr>
          <w:p>
            <w:pPr>
              <w:spacing w:before="0" w:after="0" w:lineRule="auto" w:line="240"/>
              <w:jc w:val="center"/>
            </w:pPr>
            <w:r/>
            <w:r>
              <w:rPr>
                <w:rFonts w:ascii="Times New Roman" w:hAnsi="Times New Roman" w:cs="Times New Roman"/>
                <w:b/>
                <w:i w:val="0"/>
                <w:sz w:val="20"/>
              </w:rPr>
              <w:t>Soc. (M)</w:t>
            </w:r>
          </w:p>
        </w:tc>
        <w:tc>
          <w:tcPr>
            <w:tcW w:type="dxa" w:w="1170"/>
          </w:tcPr>
          <w:p>
            <w:pPr>
              <w:spacing w:before="0" w:after="0" w:lineRule="auto" w:line="240"/>
              <w:jc w:val="center"/>
            </w:pPr>
            <w:r/>
            <w:r>
              <w:rPr>
                <w:rFonts w:ascii="Times New Roman" w:hAnsi="Times New Roman" w:cs="Times New Roman"/>
                <w:b/>
                <w:i w:val="0"/>
                <w:sz w:val="20"/>
              </w:rPr>
              <w:t>Min. Soc. (%)</w:t>
            </w:r>
          </w:p>
        </w:tc>
      </w:tr>
      <w:tr>
        <w:tc>
          <w:tcPr>
            <w:tcW w:type="dxa" w:w="1170"/>
          </w:tcPr>
          <w:p>
            <w:pPr>
              <w:spacing w:before="0" w:after="0" w:lineRule="auto" w:line="240"/>
              <w:jc w:val="left"/>
            </w:pPr>
            <w:r/>
            <w:r>
              <w:rPr>
                <w:rFonts w:ascii="Times New Roman" w:hAnsi="Times New Roman" w:cs="Times New Roman"/>
                <w:b w:val="0"/>
                <w:i w:val="0"/>
                <w:sz w:val="20"/>
              </w:rPr>
              <w:t>Gen Z</w:t>
            </w:r>
          </w:p>
        </w:tc>
        <w:tc>
          <w:tcPr>
            <w:tcW w:type="dxa" w:w="1170"/>
          </w:tcPr>
          <w:p>
            <w:pPr>
              <w:spacing w:before="0" w:after="0" w:lineRule="auto" w:line="240"/>
              <w:jc w:val="center"/>
            </w:pPr>
            <w:r/>
            <w:r>
              <w:rPr>
                <w:rFonts w:ascii="Times New Roman" w:hAnsi="Times New Roman" w:cs="Times New Roman"/>
                <w:b w:val="0"/>
                <w:i w:val="0"/>
                <w:sz w:val="20"/>
              </w:rPr>
              <w:t>11,038</w:t>
            </w:r>
          </w:p>
        </w:tc>
        <w:tc>
          <w:tcPr>
            <w:tcW w:type="dxa" w:w="1170"/>
          </w:tcPr>
          <w:p>
            <w:pPr>
              <w:spacing w:before="0" w:after="0" w:lineRule="auto" w:line="240"/>
              <w:jc w:val="center"/>
            </w:pPr>
            <w:r/>
            <w:r>
              <w:rPr>
                <w:rFonts w:ascii="Times New Roman" w:hAnsi="Times New Roman" w:cs="Times New Roman"/>
                <w:b w:val="0"/>
                <w:i w:val="0"/>
                <w:sz w:val="20"/>
              </w:rPr>
              <w:t>21.1</w:t>
            </w:r>
          </w:p>
        </w:tc>
        <w:tc>
          <w:tcPr>
            <w:tcW w:type="dxa" w:w="1170"/>
          </w:tcPr>
          <w:p>
            <w:pPr>
              <w:spacing w:before="0" w:after="0" w:lineRule="auto" w:line="240"/>
              <w:jc w:val="center"/>
            </w:pPr>
            <w:r/>
            <w:r>
              <w:rPr>
                <w:rFonts w:ascii="Times New Roman" w:hAnsi="Times New Roman" w:cs="Times New Roman"/>
                <w:b w:val="0"/>
                <w:i w:val="0"/>
                <w:sz w:val="20"/>
              </w:rPr>
              <w:t>49.9</w:t>
            </w:r>
          </w:p>
        </w:tc>
        <w:tc>
          <w:tcPr>
            <w:tcW w:type="dxa" w:w="1170"/>
          </w:tcPr>
          <w:p>
            <w:pPr>
              <w:spacing w:before="0" w:after="0" w:lineRule="auto" w:line="240"/>
              <w:jc w:val="center"/>
            </w:pPr>
            <w:r/>
            <w:r>
              <w:rPr>
                <w:rFonts w:ascii="Times New Roman" w:hAnsi="Times New Roman" w:cs="Times New Roman"/>
                <w:b w:val="0"/>
                <w:i w:val="0"/>
                <w:sz w:val="20"/>
              </w:rPr>
              <w:t>14.3</w:t>
            </w:r>
          </w:p>
        </w:tc>
        <w:tc>
          <w:tcPr>
            <w:tcW w:type="dxa" w:w="1170"/>
          </w:tcPr>
          <w:p>
            <w:pPr>
              <w:spacing w:before="0" w:after="0" w:lineRule="auto" w:line="240"/>
              <w:jc w:val="center"/>
            </w:pPr>
            <w:r/>
            <w:r>
              <w:rPr>
                <w:rFonts w:ascii="Times New Roman" w:hAnsi="Times New Roman" w:cs="Times New Roman"/>
                <w:b w:val="0"/>
                <w:i w:val="0"/>
                <w:sz w:val="20"/>
              </w:rPr>
              <w:t>23.9</w:t>
            </w:r>
          </w:p>
        </w:tc>
        <w:tc>
          <w:tcPr>
            <w:tcW w:type="dxa" w:w="1170"/>
          </w:tcPr>
          <w:p>
            <w:pPr>
              <w:spacing w:before="0" w:after="0" w:lineRule="auto" w:line="240"/>
              <w:jc w:val="center"/>
            </w:pPr>
            <w:r/>
            <w:r>
              <w:rPr>
                <w:rFonts w:ascii="Times New Roman" w:hAnsi="Times New Roman" w:cs="Times New Roman"/>
                <w:b w:val="0"/>
                <w:i w:val="0"/>
                <w:sz w:val="20"/>
              </w:rPr>
              <w:t>3.30</w:t>
            </w:r>
          </w:p>
        </w:tc>
        <w:tc>
          <w:tcPr>
            <w:tcW w:type="dxa" w:w="1170"/>
          </w:tcPr>
          <w:p>
            <w:pPr>
              <w:spacing w:before="0" w:after="0" w:lineRule="auto" w:line="240"/>
              <w:jc w:val="center"/>
            </w:pPr>
            <w:r/>
            <w:r>
              <w:rPr>
                <w:rFonts w:ascii="Times New Roman" w:hAnsi="Times New Roman" w:cs="Times New Roman"/>
                <w:b w:val="0"/>
                <w:i w:val="0"/>
                <w:sz w:val="20"/>
              </w:rPr>
              <w:t>46.3</w:t>
            </w:r>
          </w:p>
        </w:tc>
      </w:tr>
      <w:tr>
        <w:tc>
          <w:tcPr>
            <w:tcW w:type="dxa" w:w="1170"/>
          </w:tcPr>
          <w:p>
            <w:pPr>
              <w:spacing w:before="0" w:after="0" w:lineRule="auto" w:line="240"/>
              <w:jc w:val="left"/>
            </w:pPr>
            <w:r/>
            <w:r>
              <w:rPr>
                <w:rFonts w:ascii="Times New Roman" w:hAnsi="Times New Roman" w:cs="Times New Roman"/>
                <w:b w:val="0"/>
                <w:i w:val="0"/>
                <w:sz w:val="20"/>
              </w:rPr>
              <w:t>Millennial</w:t>
            </w:r>
          </w:p>
        </w:tc>
        <w:tc>
          <w:tcPr>
            <w:tcW w:type="dxa" w:w="1170"/>
          </w:tcPr>
          <w:p>
            <w:pPr>
              <w:spacing w:before="0" w:after="0" w:lineRule="auto" w:line="240"/>
              <w:jc w:val="center"/>
            </w:pPr>
            <w:r/>
            <w:r>
              <w:rPr>
                <w:rFonts w:ascii="Times New Roman" w:hAnsi="Times New Roman" w:cs="Times New Roman"/>
                <w:b w:val="0"/>
                <w:i w:val="0"/>
                <w:sz w:val="20"/>
              </w:rPr>
              <w:t>50,325</w:t>
            </w:r>
          </w:p>
        </w:tc>
        <w:tc>
          <w:tcPr>
            <w:tcW w:type="dxa" w:w="1170"/>
          </w:tcPr>
          <w:p>
            <w:pPr>
              <w:spacing w:before="0" w:after="0" w:lineRule="auto" w:line="240"/>
              <w:jc w:val="center"/>
            </w:pPr>
            <w:r/>
            <w:r>
              <w:rPr>
                <w:rFonts w:ascii="Times New Roman" w:hAnsi="Times New Roman" w:cs="Times New Roman"/>
                <w:b w:val="0"/>
                <w:i w:val="0"/>
                <w:sz w:val="20"/>
              </w:rPr>
              <w:t>31.7</w:t>
            </w:r>
          </w:p>
        </w:tc>
        <w:tc>
          <w:tcPr>
            <w:tcW w:type="dxa" w:w="1170"/>
          </w:tcPr>
          <w:p>
            <w:pPr>
              <w:spacing w:before="0" w:after="0" w:lineRule="auto" w:line="240"/>
              <w:jc w:val="center"/>
            </w:pPr>
            <w:r/>
            <w:r>
              <w:rPr>
                <w:rFonts w:ascii="Times New Roman" w:hAnsi="Times New Roman" w:cs="Times New Roman"/>
                <w:b w:val="0"/>
                <w:i w:val="0"/>
                <w:sz w:val="20"/>
              </w:rPr>
              <w:t>52.3</w:t>
            </w:r>
          </w:p>
        </w:tc>
        <w:tc>
          <w:tcPr>
            <w:tcW w:type="dxa" w:w="1170"/>
          </w:tcPr>
          <w:p>
            <w:pPr>
              <w:spacing w:before="0" w:after="0" w:lineRule="auto" w:line="240"/>
              <w:jc w:val="center"/>
            </w:pPr>
            <w:r/>
            <w:r>
              <w:rPr>
                <w:rFonts w:ascii="Times New Roman" w:hAnsi="Times New Roman" w:cs="Times New Roman"/>
                <w:b w:val="0"/>
                <w:i w:val="0"/>
                <w:sz w:val="20"/>
              </w:rPr>
              <w:t>43.5</w:t>
            </w:r>
          </w:p>
        </w:tc>
        <w:tc>
          <w:tcPr>
            <w:tcW w:type="dxa" w:w="1170"/>
          </w:tcPr>
          <w:p>
            <w:pPr>
              <w:spacing w:before="0" w:after="0" w:lineRule="auto" w:line="240"/>
              <w:jc w:val="center"/>
            </w:pPr>
            <w:r/>
            <w:r>
              <w:rPr>
                <w:rFonts w:ascii="Times New Roman" w:hAnsi="Times New Roman" w:cs="Times New Roman"/>
                <w:b w:val="0"/>
                <w:i w:val="0"/>
                <w:sz w:val="20"/>
              </w:rPr>
              <w:t>31.8</w:t>
            </w:r>
          </w:p>
        </w:tc>
        <w:tc>
          <w:tcPr>
            <w:tcW w:type="dxa" w:w="1170"/>
          </w:tcPr>
          <w:p>
            <w:pPr>
              <w:spacing w:before="0" w:after="0" w:lineRule="auto" w:line="240"/>
              <w:jc w:val="center"/>
            </w:pPr>
            <w:r/>
            <w:r>
              <w:rPr>
                <w:rFonts w:ascii="Times New Roman" w:hAnsi="Times New Roman" w:cs="Times New Roman"/>
                <w:b w:val="0"/>
                <w:i w:val="0"/>
                <w:sz w:val="20"/>
              </w:rPr>
              <w:t>3.62</w:t>
            </w:r>
          </w:p>
        </w:tc>
        <w:tc>
          <w:tcPr>
            <w:tcW w:type="dxa" w:w="1170"/>
          </w:tcPr>
          <w:p>
            <w:pPr>
              <w:spacing w:before="0" w:after="0" w:lineRule="auto" w:line="240"/>
              <w:jc w:val="center"/>
            </w:pPr>
            <w:r/>
            <w:r>
              <w:rPr>
                <w:rFonts w:ascii="Times New Roman" w:hAnsi="Times New Roman" w:cs="Times New Roman"/>
                <w:b w:val="0"/>
                <w:i w:val="0"/>
                <w:sz w:val="20"/>
              </w:rPr>
              <w:t>31.3</w:t>
            </w:r>
          </w:p>
        </w:tc>
      </w:tr>
      <w:tr>
        <w:tc>
          <w:tcPr>
            <w:tcW w:type="dxa" w:w="1170"/>
          </w:tcPr>
          <w:p>
            <w:pPr>
              <w:spacing w:before="0" w:after="0" w:lineRule="auto" w:line="240"/>
              <w:jc w:val="left"/>
            </w:pPr>
            <w:r/>
            <w:r>
              <w:rPr>
                <w:rFonts w:ascii="Times New Roman" w:hAnsi="Times New Roman" w:cs="Times New Roman"/>
                <w:b w:val="0"/>
                <w:i w:val="0"/>
                <w:sz w:val="20"/>
              </w:rPr>
              <w:t>Gen X</w:t>
            </w:r>
          </w:p>
        </w:tc>
        <w:tc>
          <w:tcPr>
            <w:tcW w:type="dxa" w:w="1170"/>
          </w:tcPr>
          <w:p>
            <w:pPr>
              <w:spacing w:before="0" w:after="0" w:lineRule="auto" w:line="240"/>
              <w:jc w:val="center"/>
            </w:pPr>
            <w:r/>
            <w:r>
              <w:rPr>
                <w:rFonts w:ascii="Times New Roman" w:hAnsi="Times New Roman" w:cs="Times New Roman"/>
                <w:b w:val="0"/>
                <w:i w:val="0"/>
                <w:sz w:val="20"/>
              </w:rPr>
              <w:t>48,042</w:t>
            </w:r>
          </w:p>
        </w:tc>
        <w:tc>
          <w:tcPr>
            <w:tcW w:type="dxa" w:w="1170"/>
          </w:tcPr>
          <w:p>
            <w:pPr>
              <w:spacing w:before="0" w:after="0" w:lineRule="auto" w:line="240"/>
              <w:jc w:val="center"/>
            </w:pPr>
            <w:r/>
            <w:r>
              <w:rPr>
                <w:rFonts w:ascii="Times New Roman" w:hAnsi="Times New Roman" w:cs="Times New Roman"/>
                <w:b w:val="0"/>
                <w:i w:val="0"/>
                <w:sz w:val="20"/>
              </w:rPr>
              <w:t>47.2</w:t>
            </w:r>
          </w:p>
        </w:tc>
        <w:tc>
          <w:tcPr>
            <w:tcW w:type="dxa" w:w="1170"/>
          </w:tcPr>
          <w:p>
            <w:pPr>
              <w:spacing w:before="0" w:after="0" w:lineRule="auto" w:line="240"/>
              <w:jc w:val="center"/>
            </w:pPr>
            <w:r/>
            <w:r>
              <w:rPr>
                <w:rFonts w:ascii="Times New Roman" w:hAnsi="Times New Roman" w:cs="Times New Roman"/>
                <w:b w:val="0"/>
                <w:i w:val="0"/>
                <w:sz w:val="20"/>
              </w:rPr>
              <w:t>51.9</w:t>
            </w:r>
          </w:p>
        </w:tc>
        <w:tc>
          <w:tcPr>
            <w:tcW w:type="dxa" w:w="1170"/>
          </w:tcPr>
          <w:p>
            <w:pPr>
              <w:spacing w:before="0" w:after="0" w:lineRule="auto" w:line="240"/>
              <w:jc w:val="center"/>
            </w:pPr>
            <w:r/>
            <w:r>
              <w:rPr>
                <w:rFonts w:ascii="Times New Roman" w:hAnsi="Times New Roman" w:cs="Times New Roman"/>
                <w:b w:val="0"/>
                <w:i w:val="0"/>
                <w:sz w:val="20"/>
              </w:rPr>
              <w:t>40.7</w:t>
            </w:r>
          </w:p>
        </w:tc>
        <w:tc>
          <w:tcPr>
            <w:tcW w:type="dxa" w:w="1170"/>
          </w:tcPr>
          <w:p>
            <w:pPr>
              <w:spacing w:before="0" w:after="0" w:lineRule="auto" w:line="240"/>
              <w:jc w:val="center"/>
            </w:pPr>
            <w:r/>
            <w:r>
              <w:rPr>
                <w:rFonts w:ascii="Times New Roman" w:hAnsi="Times New Roman" w:cs="Times New Roman"/>
                <w:b w:val="0"/>
                <w:i w:val="0"/>
                <w:sz w:val="20"/>
              </w:rPr>
              <w:t>36.8</w:t>
            </w:r>
          </w:p>
        </w:tc>
        <w:tc>
          <w:tcPr>
            <w:tcW w:type="dxa" w:w="1170"/>
          </w:tcPr>
          <w:p>
            <w:pPr>
              <w:spacing w:before="0" w:after="0" w:lineRule="auto" w:line="240"/>
              <w:jc w:val="center"/>
            </w:pPr>
            <w:r/>
            <w:r>
              <w:rPr>
                <w:rFonts w:ascii="Times New Roman" w:hAnsi="Times New Roman" w:cs="Times New Roman"/>
                <w:b w:val="0"/>
                <w:i w:val="0"/>
                <w:sz w:val="20"/>
              </w:rPr>
              <w:t>3.94</w:t>
            </w:r>
          </w:p>
        </w:tc>
        <w:tc>
          <w:tcPr>
            <w:tcW w:type="dxa" w:w="1170"/>
          </w:tcPr>
          <w:p>
            <w:pPr>
              <w:spacing w:before="0" w:after="0" w:lineRule="auto" w:line="240"/>
              <w:jc w:val="center"/>
            </w:pPr>
            <w:r/>
            <w:r>
              <w:rPr>
                <w:rFonts w:ascii="Times New Roman" w:hAnsi="Times New Roman" w:cs="Times New Roman"/>
                <w:b w:val="0"/>
                <w:i w:val="0"/>
                <w:sz w:val="20"/>
              </w:rPr>
              <w:t>23.4</w:t>
            </w:r>
          </w:p>
        </w:tc>
      </w:tr>
      <w:tr>
        <w:tc>
          <w:tcPr>
            <w:tcW w:type="dxa" w:w="1170"/>
          </w:tcPr>
          <w:p>
            <w:pPr>
              <w:spacing w:before="0" w:after="0" w:lineRule="auto" w:line="240"/>
              <w:jc w:val="left"/>
            </w:pPr>
            <w:r/>
            <w:r>
              <w:rPr>
                <w:rFonts w:ascii="Times New Roman" w:hAnsi="Times New Roman" w:cs="Times New Roman"/>
                <w:b w:val="0"/>
                <w:i w:val="0"/>
                <w:sz w:val="20"/>
              </w:rPr>
              <w:t>Boomer</w:t>
            </w:r>
          </w:p>
        </w:tc>
        <w:tc>
          <w:tcPr>
            <w:tcW w:type="dxa" w:w="1170"/>
          </w:tcPr>
          <w:p>
            <w:pPr>
              <w:spacing w:before="0" w:after="0" w:lineRule="auto" w:line="240"/>
              <w:jc w:val="center"/>
            </w:pPr>
            <w:r/>
            <w:r>
              <w:rPr>
                <w:rFonts w:ascii="Times New Roman" w:hAnsi="Times New Roman" w:cs="Times New Roman"/>
                <w:b w:val="0"/>
                <w:i w:val="0"/>
                <w:sz w:val="20"/>
              </w:rPr>
              <w:t>68,065</w:t>
            </w:r>
          </w:p>
        </w:tc>
        <w:tc>
          <w:tcPr>
            <w:tcW w:type="dxa" w:w="1170"/>
          </w:tcPr>
          <w:p>
            <w:pPr>
              <w:spacing w:before="0" w:after="0" w:lineRule="auto" w:line="240"/>
              <w:jc w:val="center"/>
            </w:pPr>
            <w:r/>
            <w:r>
              <w:rPr>
                <w:rFonts w:ascii="Times New Roman" w:hAnsi="Times New Roman" w:cs="Times New Roman"/>
                <w:b w:val="0"/>
                <w:i w:val="0"/>
                <w:sz w:val="20"/>
              </w:rPr>
              <w:t>64.5</w:t>
            </w:r>
          </w:p>
        </w:tc>
        <w:tc>
          <w:tcPr>
            <w:tcW w:type="dxa" w:w="1170"/>
          </w:tcPr>
          <w:p>
            <w:pPr>
              <w:spacing w:before="0" w:after="0" w:lineRule="auto" w:line="240"/>
              <w:jc w:val="center"/>
            </w:pPr>
            <w:r/>
            <w:r>
              <w:rPr>
                <w:rFonts w:ascii="Times New Roman" w:hAnsi="Times New Roman" w:cs="Times New Roman"/>
                <w:b w:val="0"/>
                <w:i w:val="0"/>
                <w:sz w:val="20"/>
              </w:rPr>
              <w:t>53.6</w:t>
            </w:r>
          </w:p>
        </w:tc>
        <w:tc>
          <w:tcPr>
            <w:tcW w:type="dxa" w:w="1170"/>
          </w:tcPr>
          <w:p>
            <w:pPr>
              <w:spacing w:before="0" w:after="0" w:lineRule="auto" w:line="240"/>
              <w:jc w:val="center"/>
            </w:pPr>
            <w:r/>
            <w:r>
              <w:rPr>
                <w:rFonts w:ascii="Times New Roman" w:hAnsi="Times New Roman" w:cs="Times New Roman"/>
                <w:b w:val="0"/>
                <w:i w:val="0"/>
                <w:sz w:val="20"/>
              </w:rPr>
              <w:t>34.2</w:t>
            </w:r>
          </w:p>
        </w:tc>
        <w:tc>
          <w:tcPr>
            <w:tcW w:type="dxa" w:w="1170"/>
          </w:tcPr>
          <w:p>
            <w:pPr>
              <w:spacing w:before="0" w:after="0" w:lineRule="auto" w:line="240"/>
              <w:jc w:val="center"/>
            </w:pPr>
            <w:r/>
            <w:r>
              <w:rPr>
                <w:rFonts w:ascii="Times New Roman" w:hAnsi="Times New Roman" w:cs="Times New Roman"/>
                <w:b w:val="0"/>
                <w:i w:val="0"/>
                <w:sz w:val="20"/>
              </w:rPr>
              <w:t>32.2</w:t>
            </w:r>
          </w:p>
        </w:tc>
        <w:tc>
          <w:tcPr>
            <w:tcW w:type="dxa" w:w="1170"/>
          </w:tcPr>
          <w:p>
            <w:pPr>
              <w:spacing w:before="0" w:after="0" w:lineRule="auto" w:line="240"/>
              <w:jc w:val="center"/>
            </w:pPr>
            <w:r/>
            <w:r>
              <w:rPr>
                <w:rFonts w:ascii="Times New Roman" w:hAnsi="Times New Roman" w:cs="Times New Roman"/>
                <w:b w:val="0"/>
                <w:i w:val="0"/>
                <w:sz w:val="20"/>
              </w:rPr>
              <w:t>4.16</w:t>
            </w:r>
          </w:p>
        </w:tc>
        <w:tc>
          <w:tcPr>
            <w:tcW w:type="dxa" w:w="1170"/>
          </w:tcPr>
          <w:p>
            <w:pPr>
              <w:spacing w:before="0" w:after="0" w:lineRule="auto" w:line="240"/>
              <w:jc w:val="center"/>
            </w:pPr>
            <w:r/>
            <w:r>
              <w:rPr>
                <w:rFonts w:ascii="Times New Roman" w:hAnsi="Times New Roman" w:cs="Times New Roman"/>
                <w:b w:val="0"/>
                <w:i w:val="0"/>
                <w:sz w:val="20"/>
              </w:rPr>
              <w:t>19.0</w:t>
            </w:r>
          </w:p>
        </w:tc>
      </w:tr>
      <w:tr>
        <w:tc>
          <w:tcPr>
            <w:tcW w:type="dxa" w:w="1170"/>
          </w:tcPr>
          <w:p>
            <w:pPr>
              <w:spacing w:before="0" w:after="0" w:lineRule="auto" w:line="240"/>
              <w:jc w:val="left"/>
            </w:pPr>
            <w:r/>
            <w:r>
              <w:rPr>
                <w:rFonts w:ascii="Times New Roman" w:hAnsi="Times New Roman" w:cs="Times New Roman"/>
                <w:b w:val="0"/>
                <w:i w:val="0"/>
                <w:sz w:val="20"/>
              </w:rPr>
              <w:t>Silent</w:t>
            </w:r>
          </w:p>
        </w:tc>
        <w:tc>
          <w:tcPr>
            <w:tcW w:type="dxa" w:w="1170"/>
          </w:tcPr>
          <w:p>
            <w:pPr>
              <w:spacing w:before="0" w:after="0" w:lineRule="auto" w:line="240"/>
              <w:jc w:val="center"/>
            </w:pPr>
            <w:r/>
            <w:r>
              <w:rPr>
                <w:rFonts w:ascii="Times New Roman" w:hAnsi="Times New Roman" w:cs="Times New Roman"/>
                <w:b w:val="0"/>
                <w:i w:val="0"/>
                <w:sz w:val="20"/>
              </w:rPr>
              <w:t>23,698</w:t>
            </w:r>
          </w:p>
        </w:tc>
        <w:tc>
          <w:tcPr>
            <w:tcW w:type="dxa" w:w="1170"/>
          </w:tcPr>
          <w:p>
            <w:pPr>
              <w:spacing w:before="0" w:after="0" w:lineRule="auto" w:line="240"/>
              <w:jc w:val="center"/>
            </w:pPr>
            <w:r/>
            <w:r>
              <w:rPr>
                <w:rFonts w:ascii="Times New Roman" w:hAnsi="Times New Roman" w:cs="Times New Roman"/>
                <w:b w:val="0"/>
                <w:i w:val="0"/>
                <w:sz w:val="20"/>
              </w:rPr>
              <w:t>79.5</w:t>
            </w:r>
          </w:p>
        </w:tc>
        <w:tc>
          <w:tcPr>
            <w:tcW w:type="dxa" w:w="1170"/>
          </w:tcPr>
          <w:p>
            <w:pPr>
              <w:spacing w:before="0" w:after="0" w:lineRule="auto" w:line="240"/>
              <w:jc w:val="center"/>
            </w:pPr>
            <w:r/>
            <w:r>
              <w:rPr>
                <w:rFonts w:ascii="Times New Roman" w:hAnsi="Times New Roman" w:cs="Times New Roman"/>
                <w:b w:val="0"/>
                <w:i w:val="0"/>
                <w:sz w:val="20"/>
              </w:rPr>
              <w:t>57.1</w:t>
            </w:r>
          </w:p>
        </w:tc>
        <w:tc>
          <w:tcPr>
            <w:tcW w:type="dxa" w:w="1170"/>
          </w:tcPr>
          <w:p>
            <w:pPr>
              <w:spacing w:before="0" w:after="0" w:lineRule="auto" w:line="240"/>
              <w:jc w:val="center"/>
            </w:pPr>
            <w:r/>
            <w:r>
              <w:rPr>
                <w:rFonts w:ascii="Times New Roman" w:hAnsi="Times New Roman" w:cs="Times New Roman"/>
                <w:b w:val="0"/>
                <w:i w:val="0"/>
                <w:sz w:val="20"/>
              </w:rPr>
              <w:t>29.0</w:t>
            </w:r>
          </w:p>
        </w:tc>
        <w:tc>
          <w:tcPr>
            <w:tcW w:type="dxa" w:w="1170"/>
          </w:tcPr>
          <w:p>
            <w:pPr>
              <w:spacing w:before="0" w:after="0" w:lineRule="auto" w:line="240"/>
              <w:jc w:val="center"/>
            </w:pPr>
            <w:r/>
            <w:r>
              <w:rPr>
                <w:rFonts w:ascii="Times New Roman" w:hAnsi="Times New Roman" w:cs="Times New Roman"/>
                <w:b w:val="0"/>
                <w:i w:val="0"/>
                <w:sz w:val="20"/>
              </w:rPr>
              <w:t>25.9</w:t>
            </w:r>
          </w:p>
        </w:tc>
        <w:tc>
          <w:tcPr>
            <w:tcW w:type="dxa" w:w="1170"/>
          </w:tcPr>
          <w:p>
            <w:pPr>
              <w:spacing w:before="0" w:after="0" w:lineRule="auto" w:line="240"/>
              <w:jc w:val="center"/>
            </w:pPr>
            <w:r/>
            <w:r>
              <w:rPr>
                <w:rFonts w:ascii="Times New Roman" w:hAnsi="Times New Roman" w:cs="Times New Roman"/>
                <w:b w:val="0"/>
                <w:i w:val="0"/>
                <w:sz w:val="20"/>
              </w:rPr>
              <w:t>4.36</w:t>
            </w:r>
          </w:p>
        </w:tc>
        <w:tc>
          <w:tcPr>
            <w:tcW w:type="dxa" w:w="1170"/>
          </w:tcPr>
          <w:p>
            <w:pPr>
              <w:spacing w:before="0" w:after="0" w:lineRule="auto" w:line="240"/>
              <w:jc w:val="center"/>
            </w:pPr>
            <w:r/>
            <w:r>
              <w:rPr>
                <w:rFonts w:ascii="Times New Roman" w:hAnsi="Times New Roman" w:cs="Times New Roman"/>
                <w:b w:val="0"/>
                <w:i w:val="0"/>
                <w:sz w:val="20"/>
              </w:rPr>
              <w:t>19.5</w:t>
            </w:r>
          </w:p>
        </w:tc>
      </w:tr>
    </w:tbl>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Figure 1 displays the predicted probabilities. Two patterns stand out.</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pred_prob_soc_gen.png"/>
                    <pic:cNvPicPr/>
                  </pic:nvPicPr>
                  <pic:blipFill>
                    <a:blip r:embed="rId9"/>
                    <a:stretch>
                      <a:fillRect/>
                    </a:stretch>
                  </pic:blipFill>
                  <pic:spPr>
                    <a:xfrm>
                      <a:off x="0" y="0"/>
                      <a:ext cx="5029200" cy="33528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Predicted probability of volunteering by in-person socialization frequency and generation, from survey-weighted logistic regression (Model 1). Shaded bands represent 95% confidence intervals. The steep initial rise illustrates the First Step Effect; Gen Z's flattening beyond moderate socialization illustrates the generational plateau.</w:t>
      </w:r>
    </w:p>
    <w:p>
      <w:pPr>
        <w:spacing w:before="0" w:after="0" w:lineRule="auto" w:line="480"/>
        <w:ind w:firstLine="720"/>
        <w:jc w:val="left"/>
      </w:pPr>
      <w:r>
        <w:rPr>
          <w:rFonts w:ascii="Times New Roman" w:hAnsi="Times New Roman" w:cs="Times New Roman"/>
          <w:b w:val="0"/>
          <w:i w:val="0"/>
          <w:sz w:val="24"/>
        </w:rPr>
        <w:t>The first is a universal threshold. For every generation, the transition from no socialization to minimal socialization (a few times per year) produced the single largest marginal gain in volunteering probability (Table 2). This "First Step" effect ranged from 7.3 percentage points for the Silent Generation to 10.3 points for Gen X, with Gen Z at 8.1 points (95% CI [5.0, 11.2])—comparable in magnitude to the education gradient (BA+ vs. no BA). Subsequent transitions yielded progressively smaller gains, following a concave dose–response pattern: the move from isolation to minimal contact is worth roughly as much, in terms of volunteering probability,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embeddedness—but a substantial independent association remained.</w:t>
      </w:r>
    </w:p>
    <w:p>
      <w:pPr>
        <w:spacing w:before="240" w:after="80" w:lineRule="auto" w:line="480"/>
        <w:jc w:val="left"/>
      </w:pPr>
      <w:r>
        <w:rPr>
          <w:rFonts w:ascii="Times New Roman" w:hAnsi="Times New Roman" w:cs="Times New Roman"/>
          <w:b/>
          <w:i/>
          <w:sz w:val="24"/>
        </w:rPr>
        <w:t>Table 2</w:t>
      </w:r>
      <w:r>
        <w:rPr>
          <w:rFonts w:ascii="Times New Roman" w:hAnsi="Times New Roman" w:cs="Times New Roman"/>
          <w:b w:val="0"/>
          <w:i/>
          <w:sz w:val="24"/>
        </w:rPr>
        <w:br/>
        <w:t>First Step Effect: Average Marginal Effects for the Transition From No Socialization to Minimal Socialization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Rule="auto" w:line="240"/>
              <w:jc w:val="center"/>
            </w:pPr>
            <w:r/>
            <w:r>
              <w:rPr>
                <w:rFonts w:ascii="Times New Roman" w:hAnsi="Times New Roman" w:cs="Times New Roman"/>
                <w:b/>
                <w:i w:val="0"/>
                <w:sz w:val="20"/>
              </w:rPr>
              <w:t>Generation</w:t>
            </w:r>
          </w:p>
        </w:tc>
        <w:tc>
          <w:tcPr>
            <w:tcW w:type="dxa" w:w="1872"/>
          </w:tcPr>
          <w:p>
            <w:pPr>
              <w:spacing w:before="0" w:after="0" w:lineRule="auto" w:line="240"/>
              <w:jc w:val="center"/>
            </w:pPr>
            <w:r/>
            <w:r>
              <w:rPr>
                <w:rFonts w:ascii="Times New Roman" w:hAnsi="Times New Roman" w:cs="Times New Roman"/>
                <w:b/>
                <w:i w:val="0"/>
                <w:sz w:val="20"/>
              </w:rPr>
              <w:t>AME (pp)</w:t>
            </w:r>
          </w:p>
        </w:tc>
        <w:tc>
          <w:tcPr>
            <w:tcW w:type="dxa" w:w="1872"/>
          </w:tcPr>
          <w:p>
            <w:pPr>
              <w:spacing w:before="0" w:after="0" w:lineRule="auto" w:line="240"/>
              <w:jc w:val="center"/>
            </w:pPr>
            <w:r/>
            <w:r>
              <w:rPr>
                <w:rFonts w:ascii="Times New Roman" w:hAnsi="Times New Roman" w:cs="Times New Roman"/>
                <w:b/>
                <w:i w:val="0"/>
                <w:sz w:val="20"/>
              </w:rPr>
              <w:t>95% CI Lower</w:t>
            </w:r>
          </w:p>
        </w:tc>
        <w:tc>
          <w:tcPr>
            <w:tcW w:type="dxa" w:w="1872"/>
          </w:tcPr>
          <w:p>
            <w:pPr>
              <w:spacing w:before="0" w:after="0" w:lineRule="auto" w:line="240"/>
              <w:jc w:val="center"/>
            </w:pPr>
            <w:r/>
            <w:r>
              <w:rPr>
                <w:rFonts w:ascii="Times New Roman" w:hAnsi="Times New Roman" w:cs="Times New Roman"/>
                <w:b/>
                <w:i w:val="0"/>
                <w:sz w:val="20"/>
              </w:rPr>
              <w:t>95% CI Upper</w:t>
            </w:r>
          </w:p>
        </w:tc>
        <w:tc>
          <w:tcPr>
            <w:tcW w:type="dxa" w:w="1872"/>
          </w:tcPr>
          <w:p>
            <w:pPr>
              <w:spacing w:before="0" w:after="0" w:lineRule="auto" w:line="240"/>
              <w:jc w:val="center"/>
            </w:pPr>
            <w:r/>
            <w:r>
              <w:rPr>
                <w:rFonts w:ascii="Times New Roman" w:hAnsi="Times New Roman" w:cs="Times New Roman"/>
                <w:b/>
                <w:i w:val="0"/>
                <w:sz w:val="20"/>
              </w:rPr>
              <w:t>p</w:t>
            </w:r>
          </w:p>
        </w:tc>
      </w:tr>
      <w:tr>
        <w:tc>
          <w:tcPr>
            <w:tcW w:type="dxa" w:w="1872"/>
          </w:tcPr>
          <w:p>
            <w:pPr>
              <w:spacing w:before="0" w:after="0" w:lineRule="auto" w:line="240"/>
              <w:jc w:val="left"/>
            </w:pPr>
            <w:r/>
            <w:r>
              <w:rPr>
                <w:rFonts w:ascii="Times New Roman" w:hAnsi="Times New Roman" w:cs="Times New Roman"/>
                <w:b w:val="0"/>
                <w:i w:val="0"/>
                <w:sz w:val="20"/>
              </w:rPr>
              <w:t>Gen Z</w:t>
            </w:r>
          </w:p>
        </w:tc>
        <w:tc>
          <w:tcPr>
            <w:tcW w:type="dxa" w:w="1872"/>
          </w:tcPr>
          <w:p>
            <w:pPr>
              <w:spacing w:before="0" w:after="0" w:lineRule="auto" w:line="240"/>
              <w:jc w:val="center"/>
            </w:pPr>
            <w:r/>
            <w:r>
              <w:rPr>
                <w:rFonts w:ascii="Times New Roman" w:hAnsi="Times New Roman" w:cs="Times New Roman"/>
                <w:b w:val="0"/>
                <w:i w:val="0"/>
                <w:sz w:val="20"/>
              </w:rPr>
              <w:t>8.1</w:t>
            </w:r>
          </w:p>
        </w:tc>
        <w:tc>
          <w:tcPr>
            <w:tcW w:type="dxa" w:w="1872"/>
          </w:tcPr>
          <w:p>
            <w:pPr>
              <w:spacing w:before="0" w:after="0" w:lineRule="auto" w:line="240"/>
              <w:jc w:val="center"/>
            </w:pPr>
            <w:r/>
            <w:r>
              <w:rPr>
                <w:rFonts w:ascii="Times New Roman" w:hAnsi="Times New Roman" w:cs="Times New Roman"/>
                <w:b w:val="0"/>
                <w:i w:val="0"/>
                <w:sz w:val="20"/>
              </w:rPr>
              <w:t>5.0</w:t>
            </w:r>
          </w:p>
        </w:tc>
        <w:tc>
          <w:tcPr>
            <w:tcW w:type="dxa" w:w="1872"/>
          </w:tcPr>
          <w:p>
            <w:pPr>
              <w:spacing w:before="0" w:after="0" w:lineRule="auto" w:line="240"/>
              <w:jc w:val="center"/>
            </w:pPr>
            <w:r/>
            <w:r>
              <w:rPr>
                <w:rFonts w:ascii="Times New Roman" w:hAnsi="Times New Roman" w:cs="Times New Roman"/>
                <w:b w:val="0"/>
                <w:i w:val="0"/>
                <w:sz w:val="20"/>
              </w:rPr>
              <w:t>11.2</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Millennial</w:t>
            </w:r>
          </w:p>
        </w:tc>
        <w:tc>
          <w:tcPr>
            <w:tcW w:type="dxa" w:w="1872"/>
          </w:tcPr>
          <w:p>
            <w:pPr>
              <w:spacing w:before="0" w:after="0" w:lineRule="auto" w:line="240"/>
              <w:jc w:val="center"/>
            </w:pPr>
            <w:r/>
            <w:r>
              <w:rPr>
                <w:rFonts w:ascii="Times New Roman" w:hAnsi="Times New Roman" w:cs="Times New Roman"/>
                <w:b w:val="0"/>
                <w:i w:val="0"/>
                <w:sz w:val="20"/>
              </w:rPr>
              <w:t>8.0</w:t>
            </w:r>
          </w:p>
        </w:tc>
        <w:tc>
          <w:tcPr>
            <w:tcW w:type="dxa" w:w="1872"/>
          </w:tcPr>
          <w:p>
            <w:pPr>
              <w:spacing w:before="0" w:after="0" w:lineRule="auto" w:line="240"/>
              <w:jc w:val="center"/>
            </w:pPr>
            <w:r/>
            <w:r>
              <w:rPr>
                <w:rFonts w:ascii="Times New Roman" w:hAnsi="Times New Roman" w:cs="Times New Roman"/>
                <w:b w:val="0"/>
                <w:i w:val="0"/>
                <w:sz w:val="20"/>
              </w:rPr>
              <w:t>6.5</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Gen X</w:t>
            </w:r>
          </w:p>
        </w:tc>
        <w:tc>
          <w:tcPr>
            <w:tcW w:type="dxa" w:w="1872"/>
          </w:tcPr>
          <w:p>
            <w:pPr>
              <w:spacing w:before="0" w:after="0" w:lineRule="auto" w:line="240"/>
              <w:jc w:val="center"/>
            </w:pPr>
            <w:r/>
            <w:r>
              <w:rPr>
                <w:rFonts w:ascii="Times New Roman" w:hAnsi="Times New Roman" w:cs="Times New Roman"/>
                <w:b w:val="0"/>
                <w:i w:val="0"/>
                <w:sz w:val="20"/>
              </w:rPr>
              <w:t>10.3</w:t>
            </w:r>
          </w:p>
        </w:tc>
        <w:tc>
          <w:tcPr>
            <w:tcW w:type="dxa" w:w="1872"/>
          </w:tcPr>
          <w:p>
            <w:pPr>
              <w:spacing w:before="0" w:after="0" w:lineRule="auto" w:line="240"/>
              <w:jc w:val="center"/>
            </w:pPr>
            <w:r/>
            <w:r>
              <w:rPr>
                <w:rFonts w:ascii="Times New Roman" w:hAnsi="Times New Roman" w:cs="Times New Roman"/>
                <w:b w:val="0"/>
                <w:i w:val="0"/>
                <w:sz w:val="20"/>
              </w:rPr>
              <w:t>8.6</w:t>
            </w:r>
          </w:p>
        </w:tc>
        <w:tc>
          <w:tcPr>
            <w:tcW w:type="dxa" w:w="1872"/>
          </w:tcPr>
          <w:p>
            <w:pPr>
              <w:spacing w:before="0" w:after="0" w:lineRule="auto" w:line="240"/>
              <w:jc w:val="center"/>
            </w:pPr>
            <w:r/>
            <w:r>
              <w:rPr>
                <w:rFonts w:ascii="Times New Roman" w:hAnsi="Times New Roman" w:cs="Times New Roman"/>
                <w:b w:val="0"/>
                <w:i w:val="0"/>
                <w:sz w:val="20"/>
              </w:rPr>
              <w:t>12.0</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Boomer</w:t>
            </w:r>
          </w:p>
        </w:tc>
        <w:tc>
          <w:tcPr>
            <w:tcW w:type="dxa" w:w="1872"/>
          </w:tcPr>
          <w:p>
            <w:pPr>
              <w:spacing w:before="0" w:after="0" w:lineRule="auto" w:line="240"/>
              <w:jc w:val="center"/>
            </w:pPr>
            <w:r/>
            <w:r>
              <w:rPr>
                <w:rFonts w:ascii="Times New Roman" w:hAnsi="Times New Roman" w:cs="Times New Roman"/>
                <w:b w:val="0"/>
                <w:i w:val="0"/>
                <w:sz w:val="20"/>
              </w:rPr>
              <w:t>8.8</w:t>
            </w:r>
          </w:p>
        </w:tc>
        <w:tc>
          <w:tcPr>
            <w:tcW w:type="dxa" w:w="1872"/>
          </w:tcPr>
          <w:p>
            <w:pPr>
              <w:spacing w:before="0" w:after="0" w:lineRule="auto" w:line="240"/>
              <w:jc w:val="center"/>
            </w:pPr>
            <w:r/>
            <w:r>
              <w:rPr>
                <w:rFonts w:ascii="Times New Roman" w:hAnsi="Times New Roman" w:cs="Times New Roman"/>
                <w:b w:val="0"/>
                <w:i w:val="0"/>
                <w:sz w:val="20"/>
              </w:rPr>
              <w:t>7.4</w:t>
            </w:r>
          </w:p>
        </w:tc>
        <w:tc>
          <w:tcPr>
            <w:tcW w:type="dxa" w:w="1872"/>
          </w:tcPr>
          <w:p>
            <w:pPr>
              <w:spacing w:before="0" w:after="0" w:lineRule="auto" w:line="240"/>
              <w:jc w:val="center"/>
            </w:pPr>
            <w:r/>
            <w:r>
              <w:rPr>
                <w:rFonts w:ascii="Times New Roman" w:hAnsi="Times New Roman" w:cs="Times New Roman"/>
                <w:b w:val="0"/>
                <w:i w:val="0"/>
                <w:sz w:val="20"/>
              </w:rPr>
              <w:t>10.1</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Silent</w:t>
            </w:r>
          </w:p>
        </w:tc>
        <w:tc>
          <w:tcPr>
            <w:tcW w:type="dxa" w:w="1872"/>
          </w:tcPr>
          <w:p>
            <w:pPr>
              <w:spacing w:before="0" w:after="0" w:lineRule="auto" w:line="240"/>
              <w:jc w:val="center"/>
            </w:pPr>
            <w:r/>
            <w:r>
              <w:rPr>
                <w:rFonts w:ascii="Times New Roman" w:hAnsi="Times New Roman" w:cs="Times New Roman"/>
                <w:b w:val="0"/>
                <w:i w:val="0"/>
                <w:sz w:val="20"/>
              </w:rPr>
              <w:t>7.3</w:t>
            </w:r>
          </w:p>
        </w:tc>
        <w:tc>
          <w:tcPr>
            <w:tcW w:type="dxa" w:w="1872"/>
          </w:tcPr>
          <w:p>
            <w:pPr>
              <w:spacing w:before="0" w:after="0" w:lineRule="auto" w:line="240"/>
              <w:jc w:val="center"/>
            </w:pPr>
            <w:r/>
            <w:r>
              <w:rPr>
                <w:rFonts w:ascii="Times New Roman" w:hAnsi="Times New Roman" w:cs="Times New Roman"/>
                <w:b w:val="0"/>
                <w:i w:val="0"/>
                <w:sz w:val="20"/>
              </w:rPr>
              <w:t>5.2</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bl>
    <w:p>
      <w:pPr>
        <w:spacing w:before="80" w:after="240" w:lineRule="auto" w:line="480"/>
      </w:pPr>
    </w:p>
    <w:p>
      <w:pPr>
        <w:spacing w:before="0" w:after="0" w:lineRule="auto" w:line="480"/>
        <w:ind w:firstLine="720"/>
        <w:jc w:val="left"/>
      </w:pPr>
      <w:r>
        <w:rPr>
          <w:rFonts w:ascii="Times New Roman" w:hAnsi="Times New Roman" w:cs="Times New Roman"/>
          <w:b w:val="0"/>
          <w:i w:val="0"/>
          <w:sz w:val="24"/>
        </w:rPr>
        <w:t>The second pattern is unique to Gen Z: a plateau. Gen Z's predicted volunteering probability rose sharply from 27.3% at no socialization to 48.4% at a few times per month, then flatlined—reaching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suggesting that low volunteering rates among Gen Z do not reflect weaker civic motivation. The plateau instead suggests that for Gen Z, additional face-to-face contact beyond a moderate threshold is not associated with additional civic recruitment, possibly because the social contexts in which high-frequency Gen Z socialization occurs are decoupled from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finding is theoretically informative: it indicates that digital civic engagement does not compensate for the absence of face-to-face socialization, and it does so uniformly across generations—offering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The temporal stability test was among the most consequential.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above—including the Gen Z plateau—were present before the pandemic and unchanged afterward. The pre-COVID First Step AME for Gen Z (10.7 points, 95% CI [5.8, 15.6]) was comparable to the full-sample estimate, and the overall relationship structure was preserved across periods. This rules out the interpretation that declining youth volunteering is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Person-centered analysis tested whether the regression findings hold when individuals are classified by their full pattern of civic behavior rather than by individual predictors. LPA identified six distinct profiles (Table 3; Figure 2).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80" w:lineRule="auto" w:line="480"/>
        <w:jc w:val="left"/>
      </w:pPr>
      <w:r>
        <w:rPr>
          <w:rFonts w:ascii="Times New Roman" w:hAnsi="Times New Roman" w:cs="Times New Roman"/>
          <w:b/>
          <w:i/>
          <w:sz w:val="24"/>
        </w:rPr>
        <w:t>Table 3</w:t>
      </w:r>
      <w:r>
        <w:rPr>
          <w:rFonts w:ascii="Times New Roman" w:hAnsi="Times New Roman" w:cs="Times New Roman"/>
          <w:b w:val="0"/>
          <w:i/>
          <w:sz w:val="24"/>
        </w:rPr>
        <w:br/>
        <w:t>Latent Profile Characteristics: Indicator Means and Volunteering Rates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Rule="auto" w:line="240"/>
              <w:jc w:val="center"/>
            </w:pPr>
            <w:r/>
            <w:r>
              <w:rPr>
                <w:rFonts w:ascii="Times New Roman" w:hAnsi="Times New Roman" w:cs="Times New Roman"/>
                <w:b/>
                <w:i w:val="0"/>
                <w:sz w:val="20"/>
              </w:rPr>
              <w:t>Profile</w:t>
            </w:r>
          </w:p>
        </w:tc>
        <w:tc>
          <w:tcPr>
            <w:tcW w:type="dxa" w:w="1040"/>
          </w:tcPr>
          <w:p>
            <w:pPr>
              <w:spacing w:before="0" w:after="0" w:lineRule="auto" w:line="240"/>
              <w:jc w:val="center"/>
            </w:pPr>
            <w:r/>
            <w:r>
              <w:rPr>
                <w:rFonts w:ascii="Times New Roman" w:hAnsi="Times New Roman" w:cs="Times New Roman"/>
                <w:b/>
                <w:i w:val="0"/>
                <w:sz w:val="20"/>
              </w:rPr>
              <w:t>% Sample</w:t>
            </w:r>
          </w:p>
        </w:tc>
        <w:tc>
          <w:tcPr>
            <w:tcW w:type="dxa" w:w="1040"/>
          </w:tcPr>
          <w:p>
            <w:pPr>
              <w:spacing w:before="0" w:after="0" w:lineRule="auto" w:line="240"/>
              <w:jc w:val="center"/>
            </w:pPr>
            <w:r/>
            <w:r>
              <w:rPr>
                <w:rFonts w:ascii="Times New Roman" w:hAnsi="Times New Roman" w:cs="Times New Roman"/>
                <w:b/>
                <w:i w:val="0"/>
                <w:sz w:val="20"/>
              </w:rPr>
              <w:t>Boycott (%)</w:t>
            </w:r>
          </w:p>
        </w:tc>
        <w:tc>
          <w:tcPr>
            <w:tcW w:type="dxa" w:w="1040"/>
          </w:tcPr>
          <w:p>
            <w:pPr>
              <w:spacing w:before="0" w:after="0" w:lineRule="auto" w:line="240"/>
              <w:jc w:val="center"/>
            </w:pPr>
            <w:r/>
            <w:r>
              <w:rPr>
                <w:rFonts w:ascii="Times New Roman" w:hAnsi="Times New Roman" w:cs="Times New Roman"/>
                <w:b/>
                <w:i w:val="0"/>
                <w:sz w:val="20"/>
              </w:rPr>
              <w:t>Contact Off. (%)</w:t>
            </w:r>
          </w:p>
        </w:tc>
        <w:tc>
          <w:tcPr>
            <w:tcW w:type="dxa" w:w="1040"/>
          </w:tcPr>
          <w:p>
            <w:pPr>
              <w:spacing w:before="0" w:after="0" w:lineRule="auto" w:line="240"/>
              <w:jc w:val="center"/>
            </w:pPr>
            <w:r/>
            <w:r>
              <w:rPr>
                <w:rFonts w:ascii="Times New Roman" w:hAnsi="Times New Roman" w:cs="Times New Roman"/>
                <w:b/>
                <w:i w:val="0"/>
                <w:sz w:val="20"/>
              </w:rPr>
              <w:t>Pol. Conv. (M)</w:t>
            </w:r>
          </w:p>
        </w:tc>
        <w:tc>
          <w:tcPr>
            <w:tcW w:type="dxa" w:w="1040"/>
          </w:tcPr>
          <w:p>
            <w:pPr>
              <w:spacing w:before="0" w:after="0" w:lineRule="auto" w:line="240"/>
              <w:jc w:val="center"/>
            </w:pPr>
            <w:r/>
            <w:r>
              <w:rPr>
                <w:rFonts w:ascii="Times New Roman" w:hAnsi="Times New Roman" w:cs="Times New Roman"/>
                <w:b/>
                <w:i w:val="0"/>
                <w:sz w:val="20"/>
              </w:rPr>
              <w:t>Socialize (M)</w:t>
            </w:r>
          </w:p>
        </w:tc>
        <w:tc>
          <w:tcPr>
            <w:tcW w:type="dxa" w:w="1040"/>
          </w:tcPr>
          <w:p>
            <w:pPr>
              <w:spacing w:before="0" w:after="0" w:lineRule="auto" w:line="240"/>
              <w:jc w:val="center"/>
            </w:pPr>
            <w:r/>
            <w:r>
              <w:rPr>
                <w:rFonts w:ascii="Times New Roman" w:hAnsi="Times New Roman" w:cs="Times New Roman"/>
                <w:b/>
                <w:i w:val="0"/>
                <w:sz w:val="20"/>
              </w:rPr>
              <w:t>Org. Memb. (M)</w:t>
            </w:r>
          </w:p>
        </w:tc>
        <w:tc>
          <w:tcPr>
            <w:tcW w:type="dxa" w:w="1040"/>
          </w:tcPr>
          <w:p>
            <w:pPr>
              <w:spacing w:before="0" w:after="0" w:lineRule="auto" w:line="240"/>
              <w:jc w:val="center"/>
            </w:pPr>
            <w:r/>
            <w:r>
              <w:rPr>
                <w:rFonts w:ascii="Times New Roman" w:hAnsi="Times New Roman" w:cs="Times New Roman"/>
                <w:b/>
                <w:i w:val="0"/>
                <w:sz w:val="20"/>
              </w:rPr>
              <w:t>Donated (%)</w:t>
            </w:r>
          </w:p>
        </w:tc>
        <w:tc>
          <w:tcPr>
            <w:tcW w:type="dxa" w:w="1040"/>
          </w:tcPr>
          <w:p>
            <w:pPr>
              <w:spacing w:before="0" w:after="0" w:lineRule="auto" w:line="240"/>
              <w:jc w:val="center"/>
            </w:pPr>
            <w:r/>
            <w:r>
              <w:rPr>
                <w:rFonts w:ascii="Times New Roman" w:hAnsi="Times New Roman" w:cs="Times New Roman"/>
                <w:b/>
                <w:i w:val="0"/>
                <w:sz w:val="20"/>
              </w:rPr>
              <w:t>Vol. Rate (%)</w:t>
            </w:r>
          </w:p>
        </w:tc>
      </w:tr>
      <w:tr>
        <w:tc>
          <w:tcPr>
            <w:tcW w:type="dxa" w:w="1040"/>
          </w:tcPr>
          <w:p>
            <w:pPr>
              <w:spacing w:before="0" w:after="0" w:lineRule="auto" w:line="240"/>
              <w:jc w:val="left"/>
            </w:pPr>
            <w:r/>
            <w:r>
              <w:rPr>
                <w:rFonts w:ascii="Times New Roman" w:hAnsi="Times New Roman" w:cs="Times New Roman"/>
                <w:b w:val="0"/>
                <w:i w:val="0"/>
                <w:sz w:val="20"/>
              </w:rPr>
              <w:t>Isolated Disengaged</w:t>
            </w:r>
          </w:p>
        </w:tc>
        <w:tc>
          <w:tcPr>
            <w:tcW w:type="dxa" w:w="1040"/>
          </w:tcPr>
          <w:p>
            <w:pPr>
              <w:spacing w:before="0" w:after="0" w:lineRule="auto" w:line="240"/>
              <w:jc w:val="center"/>
            </w:pPr>
            <w:r/>
            <w:r>
              <w:rPr>
                <w:rFonts w:ascii="Times New Roman" w:hAnsi="Times New Roman" w:cs="Times New Roman"/>
                <w:b w:val="0"/>
                <w:i w:val="0"/>
                <w:sz w:val="20"/>
              </w:rPr>
              <w:t>19.0</w:t>
            </w:r>
          </w:p>
        </w:tc>
        <w:tc>
          <w:tcPr>
            <w:tcW w:type="dxa" w:w="1040"/>
          </w:tcPr>
          <w:p>
            <w:pPr>
              <w:spacing w:before="0" w:after="0" w:lineRule="auto" w:line="240"/>
              <w:jc w:val="center"/>
            </w:pPr>
            <w:r/>
            <w:r>
              <w:rPr>
                <w:rFonts w:ascii="Times New Roman" w:hAnsi="Times New Roman" w:cs="Times New Roman"/>
                <w:b w:val="0"/>
                <w:i w:val="0"/>
                <w:sz w:val="20"/>
              </w:rPr>
              <w:t>1.4</w:t>
            </w:r>
          </w:p>
        </w:tc>
        <w:tc>
          <w:tcPr>
            <w:tcW w:type="dxa" w:w="1040"/>
          </w:tcPr>
          <w:p>
            <w:pPr>
              <w:spacing w:before="0" w:after="0" w:lineRule="auto" w:line="240"/>
              <w:jc w:val="center"/>
            </w:pPr>
            <w:r/>
            <w:r>
              <w:rPr>
                <w:rFonts w:ascii="Times New Roman" w:hAnsi="Times New Roman" w:cs="Times New Roman"/>
                <w:b w:val="0"/>
                <w:i w:val="0"/>
                <w:sz w:val="20"/>
              </w:rPr>
              <w:t>0.7</w:t>
            </w:r>
          </w:p>
        </w:tc>
        <w:tc>
          <w:tcPr>
            <w:tcW w:type="dxa" w:w="1040"/>
          </w:tcPr>
          <w:p>
            <w:pPr>
              <w:spacing w:before="0" w:after="0" w:lineRule="auto" w:line="240"/>
              <w:jc w:val="center"/>
            </w:pPr>
            <w:r/>
            <w:r>
              <w:rPr>
                <w:rFonts w:ascii="Times New Roman" w:hAnsi="Times New Roman" w:cs="Times New Roman"/>
                <w:b w:val="0"/>
                <w:i w:val="0"/>
                <w:sz w:val="20"/>
              </w:rPr>
              <w:t>1.31</w:t>
            </w:r>
          </w:p>
        </w:tc>
        <w:tc>
          <w:tcPr>
            <w:tcW w:type="dxa" w:w="1040"/>
          </w:tcPr>
          <w:p>
            <w:pPr>
              <w:spacing w:before="0" w:after="0" w:lineRule="auto" w:line="240"/>
              <w:jc w:val="center"/>
            </w:pPr>
            <w:r/>
            <w:r>
              <w:rPr>
                <w:rFonts w:ascii="Times New Roman" w:hAnsi="Times New Roman" w:cs="Times New Roman"/>
                <w:b w:val="0"/>
                <w:i w:val="0"/>
                <w:sz w:val="20"/>
              </w:rPr>
              <w:t>1.34</w:t>
            </w:r>
          </w:p>
        </w:tc>
        <w:tc>
          <w:tcPr>
            <w:tcW w:type="dxa" w:w="1040"/>
          </w:tcPr>
          <w:p>
            <w:pPr>
              <w:spacing w:before="0" w:after="0" w:lineRule="auto" w:line="240"/>
              <w:jc w:val="center"/>
            </w:pPr>
            <w:r/>
            <w:r>
              <w:rPr>
                <w:rFonts w:ascii="Times New Roman" w:hAnsi="Times New Roman" w:cs="Times New Roman"/>
                <w:b w:val="0"/>
                <w:i w:val="0"/>
                <w:sz w:val="20"/>
              </w:rPr>
              <w:t>0.08</w:t>
            </w:r>
          </w:p>
        </w:tc>
        <w:tc>
          <w:tcPr>
            <w:tcW w:type="dxa" w:w="1040"/>
          </w:tcPr>
          <w:p>
            <w:pPr>
              <w:spacing w:before="0" w:after="0" w:lineRule="auto" w:line="240"/>
              <w:jc w:val="center"/>
            </w:pPr>
            <w:r/>
            <w:r>
              <w:rPr>
                <w:rFonts w:ascii="Times New Roman" w:hAnsi="Times New Roman" w:cs="Times New Roman"/>
                <w:b w:val="0"/>
                <w:i w:val="0"/>
                <w:sz w:val="20"/>
              </w:rPr>
              <w:t>15.0</w:t>
            </w:r>
          </w:p>
        </w:tc>
        <w:tc>
          <w:tcPr>
            <w:tcW w:type="dxa" w:w="1040"/>
          </w:tcPr>
          <w:p>
            <w:pPr>
              <w:spacing w:before="0" w:after="0" w:lineRule="auto" w:line="240"/>
              <w:jc w:val="center"/>
            </w:pPr>
            <w:r/>
            <w:r>
              <w:rPr>
                <w:rFonts w:ascii="Times New Roman" w:hAnsi="Times New Roman" w:cs="Times New Roman"/>
                <w:b w:val="0"/>
                <w:i w:val="0"/>
                <w:sz w:val="20"/>
              </w:rPr>
              <w:t>9.0</w:t>
            </w:r>
          </w:p>
        </w:tc>
      </w:tr>
      <w:tr>
        <w:tc>
          <w:tcPr>
            <w:tcW w:type="dxa" w:w="1040"/>
          </w:tcPr>
          <w:p>
            <w:pPr>
              <w:spacing w:before="0" w:after="0" w:lineRule="auto" w:line="240"/>
              <w:jc w:val="left"/>
            </w:pPr>
            <w:r/>
            <w:r>
              <w:rPr>
                <w:rFonts w:ascii="Times New Roman" w:hAnsi="Times New Roman" w:cs="Times New Roman"/>
                <w:b w:val="0"/>
                <w:i w:val="0"/>
                <w:sz w:val="20"/>
              </w:rPr>
              <w:t>Politically Aware Isolated</w:t>
            </w:r>
          </w:p>
        </w:tc>
        <w:tc>
          <w:tcPr>
            <w:tcW w:type="dxa" w:w="1040"/>
          </w:tcPr>
          <w:p>
            <w:pPr>
              <w:spacing w:before="0" w:after="0" w:lineRule="auto" w:line="240"/>
              <w:jc w:val="center"/>
            </w:pPr>
            <w:r/>
            <w:r>
              <w:rPr>
                <w:rFonts w:ascii="Times New Roman" w:hAnsi="Times New Roman" w:cs="Times New Roman"/>
                <w:b w:val="0"/>
                <w:i w:val="0"/>
                <w:sz w:val="20"/>
              </w:rPr>
              <w:t>7.1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1.2</w:t>
            </w:r>
          </w:p>
        </w:tc>
        <w:tc>
          <w:tcPr>
            <w:tcW w:type="dxa" w:w="1040"/>
          </w:tcPr>
          <w:p>
            <w:pPr>
              <w:spacing w:before="0" w:after="0" w:lineRule="auto" w:line="240"/>
              <w:jc w:val="center"/>
            </w:pPr>
            <w:r/>
            <w:r>
              <w:rPr>
                <w:rFonts w:ascii="Times New Roman" w:hAnsi="Times New Roman" w:cs="Times New Roman"/>
                <w:b w:val="0"/>
                <w:i w:val="0"/>
                <w:sz w:val="20"/>
              </w:rPr>
              <w:t>4.91</w:t>
            </w:r>
          </w:p>
        </w:tc>
        <w:tc>
          <w:tcPr>
            <w:tcW w:type="dxa" w:w="1040"/>
          </w:tcPr>
          <w:p>
            <w:pPr>
              <w:spacing w:before="0" w:after="0" w:lineRule="auto" w:line="240"/>
              <w:jc w:val="center"/>
            </w:pPr>
            <w:r/>
            <w:r>
              <w:rPr>
                <w:rFonts w:ascii="Times New Roman" w:hAnsi="Times New Roman" w:cs="Times New Roman"/>
                <w:b w:val="0"/>
                <w:i w:val="0"/>
                <w:sz w:val="20"/>
              </w:rPr>
              <w:t>1.51</w:t>
            </w:r>
          </w:p>
        </w:tc>
        <w:tc>
          <w:tcPr>
            <w:tcW w:type="dxa" w:w="1040"/>
          </w:tcPr>
          <w:p>
            <w:pPr>
              <w:spacing w:before="0" w:after="0" w:lineRule="auto" w:line="240"/>
              <w:jc w:val="center"/>
            </w:pPr>
            <w:r/>
            <w:r>
              <w:rPr>
                <w:rFonts w:ascii="Times New Roman" w:hAnsi="Times New Roman" w:cs="Times New Roman"/>
                <w:b w:val="0"/>
                <w:i w:val="0"/>
                <w:sz w:val="20"/>
              </w:rPr>
              <w:t>0.15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11.7</w:t>
            </w:r>
          </w:p>
        </w:tc>
      </w:tr>
      <w:tr>
        <w:tc>
          <w:tcPr>
            <w:tcW w:type="dxa" w:w="1040"/>
          </w:tcPr>
          <w:p>
            <w:pPr>
              <w:spacing w:before="0" w:after="0" w:lineRule="auto" w:line="240"/>
              <w:jc w:val="left"/>
            </w:pPr>
            <w:r/>
            <w:r>
              <w:rPr>
                <w:rFonts w:ascii="Times New Roman" w:hAnsi="Times New Roman" w:cs="Times New Roman"/>
                <w:b w:val="0"/>
                <w:i w:val="0"/>
                <w:sz w:val="20"/>
              </w:rPr>
              <w:t>Socially Active Non-Donors</w:t>
            </w:r>
          </w:p>
        </w:tc>
        <w:tc>
          <w:tcPr>
            <w:tcW w:type="dxa" w:w="1040"/>
          </w:tcPr>
          <w:p>
            <w:pPr>
              <w:spacing w:before="0" w:after="0" w:lineRule="auto" w:line="240"/>
              <w:jc w:val="center"/>
            </w:pPr>
            <w:r/>
            <w:r>
              <w:rPr>
                <w:rFonts w:ascii="Times New Roman" w:hAnsi="Times New Roman" w:cs="Times New Roman"/>
                <w:b w:val="0"/>
                <w:i w:val="0"/>
                <w:sz w:val="20"/>
              </w:rPr>
              <w:t>17.5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0.6</w:t>
            </w:r>
          </w:p>
        </w:tc>
        <w:tc>
          <w:tcPr>
            <w:tcW w:type="dxa" w:w="1040"/>
          </w:tcPr>
          <w:p>
            <w:pPr>
              <w:spacing w:before="0" w:after="0" w:lineRule="auto" w:line="240"/>
              <w:jc w:val="center"/>
            </w:pPr>
            <w:r/>
            <w:r>
              <w:rPr>
                <w:rFonts w:ascii="Times New Roman" w:hAnsi="Times New Roman" w:cs="Times New Roman"/>
                <w:b w:val="0"/>
                <w:i w:val="0"/>
                <w:sz w:val="20"/>
              </w:rPr>
              <w:t>3.15</w:t>
            </w:r>
          </w:p>
        </w:tc>
        <w:tc>
          <w:tcPr>
            <w:tcW w:type="dxa" w:w="1040"/>
          </w:tcPr>
          <w:p>
            <w:pPr>
              <w:spacing w:before="0" w:after="0" w:lineRule="auto" w:line="240"/>
              <w:jc w:val="center"/>
            </w:pPr>
            <w:r/>
            <w:r>
              <w:rPr>
                <w:rFonts w:ascii="Times New Roman" w:hAnsi="Times New Roman" w:cs="Times New Roman"/>
                <w:b w:val="0"/>
                <w:i w:val="0"/>
                <w:sz w:val="20"/>
              </w:rPr>
              <w:t>4.70</w:t>
            </w:r>
          </w:p>
        </w:tc>
        <w:tc>
          <w:tcPr>
            <w:tcW w:type="dxa" w:w="1040"/>
          </w:tcPr>
          <w:p>
            <w:pPr>
              <w:spacing w:before="0" w:after="0" w:lineRule="auto" w:line="240"/>
              <w:jc w:val="center"/>
            </w:pPr>
            <w:r/>
            <w:r>
              <w:rPr>
                <w:rFonts w:ascii="Times New Roman" w:hAnsi="Times New Roman" w:cs="Times New Roman"/>
                <w:b w:val="0"/>
                <w:i w:val="0"/>
                <w:sz w:val="20"/>
              </w:rPr>
              <w:t>0.17</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14.6</w:t>
            </w:r>
          </w:p>
        </w:tc>
      </w:tr>
      <w:tr>
        <w:tc>
          <w:tcPr>
            <w:tcW w:type="dxa" w:w="1040"/>
          </w:tcPr>
          <w:p>
            <w:pPr>
              <w:spacing w:before="0" w:after="0" w:lineRule="auto" w:line="240"/>
              <w:jc w:val="left"/>
            </w:pPr>
            <w:r/>
            <w:r>
              <w:rPr>
                <w:rFonts w:ascii="Times New Roman" w:hAnsi="Times New Roman" w:cs="Times New Roman"/>
                <w:b w:val="0"/>
                <w:i w:val="0"/>
                <w:sz w:val="20"/>
              </w:rPr>
              <w:t>Mainstream Donors</w:t>
            </w:r>
          </w:p>
        </w:tc>
        <w:tc>
          <w:tcPr>
            <w:tcW w:type="dxa" w:w="1040"/>
          </w:tcPr>
          <w:p>
            <w:pPr>
              <w:spacing w:before="0" w:after="0" w:lineRule="auto" w:line="240"/>
              <w:jc w:val="center"/>
            </w:pPr>
            <w:r/>
            <w:r>
              <w:rPr>
                <w:rFonts w:ascii="Times New Roman" w:hAnsi="Times New Roman" w:cs="Times New Roman"/>
                <w:b w:val="0"/>
                <w:i w:val="0"/>
                <w:sz w:val="20"/>
              </w:rPr>
              <w:t>33.1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3.60</w:t>
            </w:r>
          </w:p>
        </w:tc>
        <w:tc>
          <w:tcPr>
            <w:tcW w:type="dxa" w:w="1040"/>
          </w:tcPr>
          <w:p>
            <w:pPr>
              <w:spacing w:before="0" w:after="0" w:lineRule="auto" w:line="240"/>
              <w:jc w:val="center"/>
            </w:pPr>
            <w:r/>
            <w:r>
              <w:rPr>
                <w:rFonts w:ascii="Times New Roman" w:hAnsi="Times New Roman" w:cs="Times New Roman"/>
                <w:b w:val="0"/>
                <w:i w:val="0"/>
                <w:sz w:val="20"/>
              </w:rPr>
              <w:t>3.77</w:t>
            </w:r>
          </w:p>
        </w:tc>
        <w:tc>
          <w:tcPr>
            <w:tcW w:type="dxa" w:w="1040"/>
          </w:tcPr>
          <w:p>
            <w:pPr>
              <w:spacing w:before="0" w:after="0" w:lineRule="auto" w:line="240"/>
              <w:jc w:val="center"/>
            </w:pPr>
            <w:r/>
            <w:r>
              <w:rPr>
                <w:rFonts w:ascii="Times New Roman" w:hAnsi="Times New Roman" w:cs="Times New Roman"/>
                <w:b w:val="0"/>
                <w:i w:val="0"/>
                <w:sz w:val="20"/>
              </w:rPr>
              <w:t>0.71</w:t>
            </w:r>
          </w:p>
        </w:tc>
        <w:tc>
          <w:tcPr>
            <w:tcW w:type="dxa" w:w="1040"/>
          </w:tcPr>
          <w:p>
            <w:pPr>
              <w:spacing w:before="0" w:after="0" w:lineRule="auto" w:line="240"/>
              <w:jc w:val="center"/>
            </w:pPr>
            <w:r/>
            <w:r>
              <w:rPr>
                <w:rFonts w:ascii="Times New Roman" w:hAnsi="Times New Roman" w:cs="Times New Roman"/>
                <w:b w:val="0"/>
                <w:i w:val="0"/>
                <w:sz w:val="20"/>
              </w:rPr>
              <w:t>99.9</w:t>
            </w:r>
          </w:p>
        </w:tc>
        <w:tc>
          <w:tcPr>
            <w:tcW w:type="dxa" w:w="1040"/>
          </w:tcPr>
          <w:p>
            <w:pPr>
              <w:spacing w:before="0" w:after="0" w:lineRule="auto" w:line="240"/>
              <w:jc w:val="center"/>
            </w:pPr>
            <w:r/>
            <w:r>
              <w:rPr>
                <w:rFonts w:ascii="Times New Roman" w:hAnsi="Times New Roman" w:cs="Times New Roman"/>
                <w:b w:val="0"/>
                <w:i w:val="0"/>
                <w:sz w:val="20"/>
              </w:rPr>
              <w:t>41.4</w:t>
            </w:r>
          </w:p>
        </w:tc>
      </w:tr>
      <w:tr>
        <w:tc>
          <w:tcPr>
            <w:tcW w:type="dxa" w:w="1040"/>
          </w:tcPr>
          <w:p>
            <w:pPr>
              <w:spacing w:before="0" w:after="0" w:lineRule="auto" w:line="240"/>
              <w:jc w:val="left"/>
            </w:pPr>
            <w:r/>
            <w:r>
              <w:rPr>
                <w:rFonts w:ascii="Times New Roman" w:hAnsi="Times New Roman" w:cs="Times New Roman"/>
                <w:b w:val="0"/>
                <w:i w:val="0"/>
                <w:sz w:val="20"/>
              </w:rPr>
              <w:t>Activist Boycotters</w:t>
            </w:r>
          </w:p>
        </w:tc>
        <w:tc>
          <w:tcPr>
            <w:tcW w:type="dxa" w:w="1040"/>
          </w:tcPr>
          <w:p>
            <w:pPr>
              <w:spacing w:before="0" w:after="0" w:lineRule="auto" w:line="240"/>
              <w:jc w:val="center"/>
            </w:pPr>
            <w:r/>
            <w:r>
              <w:rPr>
                <w:rFonts w:ascii="Times New Roman" w:hAnsi="Times New Roman" w:cs="Times New Roman"/>
                <w:b w:val="0"/>
                <w:i w:val="0"/>
                <w:sz w:val="20"/>
              </w:rPr>
              <w:t>11.3</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4.28</w:t>
            </w:r>
          </w:p>
        </w:tc>
        <w:tc>
          <w:tcPr>
            <w:tcW w:type="dxa" w:w="1040"/>
          </w:tcPr>
          <w:p>
            <w:pPr>
              <w:spacing w:before="0" w:after="0" w:lineRule="auto" w:line="240"/>
              <w:jc w:val="center"/>
            </w:pPr>
            <w:r/>
            <w:r>
              <w:rPr>
                <w:rFonts w:ascii="Times New Roman" w:hAnsi="Times New Roman" w:cs="Times New Roman"/>
                <w:b w:val="0"/>
                <w:i w:val="0"/>
                <w:sz w:val="20"/>
              </w:rPr>
              <w:t>3.57</w:t>
            </w:r>
          </w:p>
        </w:tc>
        <w:tc>
          <w:tcPr>
            <w:tcW w:type="dxa" w:w="1040"/>
          </w:tcPr>
          <w:p>
            <w:pPr>
              <w:spacing w:before="0" w:after="0" w:lineRule="auto" w:line="240"/>
              <w:jc w:val="center"/>
            </w:pPr>
            <w:r/>
            <w:r>
              <w:rPr>
                <w:rFonts w:ascii="Times New Roman" w:hAnsi="Times New Roman" w:cs="Times New Roman"/>
                <w:b w:val="0"/>
                <w:i w:val="0"/>
                <w:sz w:val="20"/>
              </w:rPr>
              <w:t>1.03</w:t>
            </w:r>
          </w:p>
        </w:tc>
        <w:tc>
          <w:tcPr>
            <w:tcW w:type="dxa" w:w="1040"/>
          </w:tcPr>
          <w:p>
            <w:pPr>
              <w:spacing w:before="0" w:after="0" w:lineRule="auto" w:line="240"/>
              <w:jc w:val="center"/>
            </w:pPr>
            <w:r/>
            <w:r>
              <w:rPr>
                <w:rFonts w:ascii="Times New Roman" w:hAnsi="Times New Roman" w:cs="Times New Roman"/>
                <w:b w:val="0"/>
                <w:i w:val="0"/>
                <w:sz w:val="20"/>
              </w:rPr>
              <w:t>78.0</w:t>
            </w:r>
          </w:p>
        </w:tc>
        <w:tc>
          <w:tcPr>
            <w:tcW w:type="dxa" w:w="1040"/>
          </w:tcPr>
          <w:p>
            <w:pPr>
              <w:spacing w:before="0" w:after="0" w:lineRule="auto" w:line="240"/>
              <w:jc w:val="center"/>
            </w:pPr>
            <w:r/>
            <w:r>
              <w:rPr>
                <w:rFonts w:ascii="Times New Roman" w:hAnsi="Times New Roman" w:cs="Times New Roman"/>
                <w:b w:val="0"/>
                <w:i w:val="0"/>
                <w:sz w:val="20"/>
              </w:rPr>
              <w:t>46.9</w:t>
            </w:r>
          </w:p>
        </w:tc>
      </w:tr>
      <w:tr>
        <w:tc>
          <w:tcPr>
            <w:tcW w:type="dxa" w:w="1040"/>
          </w:tcPr>
          <w:p>
            <w:pPr>
              <w:spacing w:before="0" w:after="0" w:lineRule="auto" w:line="240"/>
              <w:jc w:val="left"/>
            </w:pPr>
            <w:r/>
            <w:r>
              <w:rPr>
                <w:rFonts w:ascii="Times New Roman" w:hAnsi="Times New Roman" w:cs="Times New Roman"/>
                <w:b w:val="0"/>
                <w:i w:val="0"/>
                <w:sz w:val="20"/>
              </w:rPr>
              <w:t>Fully Engaged</w:t>
            </w:r>
          </w:p>
        </w:tc>
        <w:tc>
          <w:tcPr>
            <w:tcW w:type="dxa" w:w="1040"/>
          </w:tcPr>
          <w:p>
            <w:pPr>
              <w:spacing w:before="0" w:after="0" w:lineRule="auto" w:line="240"/>
              <w:jc w:val="center"/>
            </w:pPr>
            <w:r/>
            <w:r>
              <w:rPr>
                <w:rFonts w:ascii="Times New Roman" w:hAnsi="Times New Roman" w:cs="Times New Roman"/>
                <w:b w:val="0"/>
                <w:i w:val="0"/>
                <w:sz w:val="20"/>
              </w:rPr>
              <w:t>12.0</w:t>
            </w:r>
          </w:p>
        </w:tc>
        <w:tc>
          <w:tcPr>
            <w:tcW w:type="dxa" w:w="1040"/>
          </w:tcPr>
          <w:p>
            <w:pPr>
              <w:spacing w:before="0" w:after="0" w:lineRule="auto" w:line="240"/>
              <w:jc w:val="center"/>
            </w:pPr>
            <w:r/>
            <w:r>
              <w:rPr>
                <w:rFonts w:ascii="Times New Roman" w:hAnsi="Times New Roman" w:cs="Times New Roman"/>
                <w:b w:val="0"/>
                <w:i w:val="0"/>
                <w:sz w:val="20"/>
              </w:rPr>
              <w:t>49.7</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4.59</w:t>
            </w:r>
          </w:p>
        </w:tc>
        <w:tc>
          <w:tcPr>
            <w:tcW w:type="dxa" w:w="1040"/>
          </w:tcPr>
          <w:p>
            <w:pPr>
              <w:spacing w:before="0" w:after="0" w:lineRule="auto" w:line="240"/>
              <w:jc w:val="center"/>
            </w:pPr>
            <w:r/>
            <w:r>
              <w:rPr>
                <w:rFonts w:ascii="Times New Roman" w:hAnsi="Times New Roman" w:cs="Times New Roman"/>
                <w:b w:val="0"/>
                <w:i w:val="0"/>
                <w:sz w:val="20"/>
              </w:rPr>
              <w:t>4.04</w:t>
            </w:r>
          </w:p>
        </w:tc>
        <w:tc>
          <w:tcPr>
            <w:tcW w:type="dxa" w:w="1040"/>
          </w:tcPr>
          <w:p>
            <w:pPr>
              <w:spacing w:before="0" w:after="0" w:lineRule="auto" w:line="240"/>
              <w:jc w:val="center"/>
            </w:pPr>
            <w:r/>
            <w:r>
              <w:rPr>
                <w:rFonts w:ascii="Times New Roman" w:hAnsi="Times New Roman" w:cs="Times New Roman"/>
                <w:b w:val="0"/>
                <w:i w:val="0"/>
                <w:sz w:val="20"/>
              </w:rPr>
              <w:t>1.81</w:t>
            </w:r>
          </w:p>
        </w:tc>
        <w:tc>
          <w:tcPr>
            <w:tcW w:type="dxa" w:w="1040"/>
          </w:tcPr>
          <w:p>
            <w:pPr>
              <w:spacing w:before="0" w:after="0" w:lineRule="auto" w:line="240"/>
              <w:jc w:val="center"/>
            </w:pPr>
            <w:r/>
            <w:r>
              <w:rPr>
                <w:rFonts w:ascii="Times New Roman" w:hAnsi="Times New Roman" w:cs="Times New Roman"/>
                <w:b w:val="0"/>
                <w:i w:val="0"/>
                <w:sz w:val="20"/>
              </w:rPr>
              <w:t>86.6</w:t>
            </w:r>
          </w:p>
        </w:tc>
        <w:tc>
          <w:tcPr>
            <w:tcW w:type="dxa" w:w="1040"/>
          </w:tcPr>
          <w:p>
            <w:pPr>
              <w:spacing w:before="0" w:after="0" w:lineRule="auto" w:line="240"/>
              <w:jc w:val="center"/>
            </w:pPr>
            <w:r/>
            <w:r>
              <w:rPr>
                <w:rFonts w:ascii="Times New Roman" w:hAnsi="Times New Roman" w:cs="Times New Roman"/>
                <w:b w:val="0"/>
                <w:i w:val="0"/>
                <w:sz w:val="20"/>
              </w:rPr>
              <w:t>66.7</w:t>
            </w:r>
          </w:p>
        </w:tc>
      </w:tr>
    </w:tbl>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lpa_profile_heatmap.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Civic engagement profile characteristics from latent profile analysis. Cell values represent indicator means on the original scale; darker shading indicates higher relative values within each indicator.</w:t>
      </w:r>
    </w:p>
    <w:p>
      <w:pPr>
        <w:spacing w:before="0" w:after="0" w:lineRule="auto" w:line="480"/>
        <w:ind w:firstLine="720"/>
        <w:jc w:val="left"/>
      </w:pPr>
      <w:r>
        <w:rPr>
          <w:rFonts w:ascii="Times New Roman" w:hAnsi="Times New Roman" w:cs="Times New Roman"/>
          <w:b w:val="0"/>
          <w:i w:val="0"/>
          <w:sz w:val="24"/>
        </w:rPr>
        <w:t>The generational distribution across profiles was pronounced (Figure 3). Over a third of Gen Z (35.3%) fell into the Isolated Disengaged profile—more than double the Boomer rate (15.3%)—while only 3.7% of Gen Z reached Fully Engaged status (vs. 15.1% of Boomers). Combining the two socially isolated profiles (Isolated Disengaged and Politically Aware Isolated), over half of Gen Z (50.6%) occupied profiles defined by social disconnection. These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indicator—a rate suggesting that social disconnection is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lpa_generation_distribution.png"/>
                    <pic:cNvPicPr/>
                  </pic:nvPicPr>
                  <pic:blipFill>
                    <a:blip r:embed="rId11"/>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Generational distribution across six latent civic engagement profiles. Gen Z is disproportionately concentrated in the Isolated Disengaged and Politically Aware Isolated profiles.</w:t>
      </w:r>
    </w:p>
    <w:p>
      <w:pPr>
        <w:spacing w:before="0" w:after="0" w:lineRule="auto" w:line="480"/>
        <w:jc w:val="left"/>
      </w:pPr>
      <w:r>
        <w:rPr>
          <w:rFonts w:ascii="Times New Roman" w:hAnsi="Times New Roman" w:cs="Times New Roman"/>
          <w:b/>
          <w:i w:val="0"/>
          <w:sz w:val="24"/>
        </w:rPr>
        <w:t>Predictive Validation</w:t>
      </w:r>
    </w:p>
    <w:p>
      <w:pPr>
        <w:spacing w:before="0" w:after="0" w:lineRule="auto" w:line="480"/>
        <w:ind w:firstLine="720"/>
        <w:jc w:val="left"/>
      </w:pPr>
      <w:r>
        <w:rPr>
          <w:rFonts w:ascii="Times New Roman" w:hAnsi="Times New Roman" w:cs="Times New Roman"/>
          <w:b w:val="0"/>
          <w:i w:val="0"/>
          <w:sz w:val="24"/>
        </w:rPr>
        <w:t>The regression and profile analyses both rely on researcher-specified variable roles. A final analysis asked whether an algorithm with no imposed structure reaches the same conclusion. An XGBoost classifier trained on the full covariate set achieved test-set AUC = .731, comparable to prior survey-based models of volunteering. TreeSHAP decomposition revealed a generation-specific reversal in feature importance: socialization frequency was the single most important predictor of volunteering for Gen Z (mean |SHAP| = 0.467, indicating that socialization shifted the predicted probability by an average of 0.47 on the log-odds scale), whereas education ranked first for every other generation (mean |SHAP| = 0.426–0.472). SHAP dependence plots independently recovered both the First Step Effect—the steepest gradient at the lowest socialization transition—and the Gen Z plateau, confirming that these patterns are not artifacts of the parametric regression specification. The convergence across methods is itself a finding: a flexible machine learning algorithm, given no information about which variables should interact or where thresholds should fall, independently identified the same two patterns discovered through theory-guided regression—the First Step Effect and the Gen Z plateau—strengthening confidence that these patterns reflect genuine features of the data rather than modeling choices.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Three independent analytic approaches arrived at the same answer: in-person socialization is the strongest correlate of volunteering for the most socially disconnected generation in the available CPS-CEV record, and the initial step out of isolation yields the largest marginal civic return. The three methods—logistic regression, latent profile analysis, and gradient boosting—do not share assumptions about functional form, variable roles, or sample heterogeneity. Agreement under those conditions is not trivial.</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exactly this pattern: even minimal social contact should disrupt the self-reinforcing dynamic of isolation and perceived social threat, producing disproportionate gains at the lowest end of the socialization continuum. The First Step Effect confirms that prediction across all five generations. Beyond this initial threshold, however, the generational trajectories diverged. Gen Z's volunteering probability plateaued at moderate socialization levels, a ceiling absent in every older cohort (see Figure 1). The plateau is inconsistent with classical social capital theory (Putnam, 2000), which predicts continuous returns from increased social contact for populations embedded in dense associational networks. For Gen Z, additional contact beyond a moderate threshold appears decoupled from the community-based institutions through which civic recruitment historically occurs.</w:t>
      </w:r>
    </w:p>
    <w:p>
      <w:pPr>
        <w:spacing w:before="0" w:after="0" w:lineRule="auto" w:line="480"/>
        <w:ind w:firstLine="720"/>
        <w:jc w:val="left"/>
      </w:pPr>
      <w:r>
        <w:rPr>
          <w:rFonts w:ascii="Times New Roman" w:hAnsi="Times New Roman" w:cs="Times New Roman"/>
          <w:b w:val="0"/>
          <w:i w:val="0"/>
          <w:sz w:val="24"/>
        </w:rPr>
        <w:t>Education was the only significant moderator of the socialization–volunteering–generation relationship (</w:t>
      </w:r>
      <w:r>
        <w:rPr>
          <w:rFonts w:ascii="Times New Roman" w:hAnsi="Times New Roman" w:cs="Times New Roman"/>
          <w:b w:val="0"/>
          <w:i/>
          <w:sz w:val="24"/>
        </w:rPr>
        <w:t>p</w:t>
      </w:r>
      <w:r>
        <w:rPr>
          <w:rFonts w:ascii="Times New Roman" w:hAnsi="Times New Roman" w:cs="Times New Roman"/>
          <w:b w:val="0"/>
          <w:i w:val="0"/>
          <w:sz w:val="24"/>
        </w:rPr>
        <w:t xml:space="preserve"> = .009), amplifying the gradient more strongly for older cohorts—though the Gen Z plateau persisted even among degree holders, partially supporting H3a. Neither employment (</w:t>
      </w:r>
      <w:r>
        <w:rPr>
          <w:rFonts w:ascii="Times New Roman" w:hAnsi="Times New Roman" w:cs="Times New Roman"/>
          <w:b w:val="0"/>
          <w:i/>
          <w:sz w:val="24"/>
        </w:rPr>
        <w:t>p</w:t>
      </w:r>
      <w:r>
        <w:rPr>
          <w:rFonts w:ascii="Times New Roman" w:hAnsi="Times New Roman" w:cs="Times New Roman"/>
          <w:b w:val="0"/>
          <w:i w:val="0"/>
          <w:sz w:val="24"/>
        </w:rPr>
        <w:t xml:space="preserve"> = .056) nor civic social media use altered the pattern, contrary to the predictions of H3b and H3c. The social media null (</w:t>
      </w:r>
      <w:r>
        <w:rPr>
          <w:rFonts w:ascii="Times New Roman" w:hAnsi="Times New Roman" w:cs="Times New Roman"/>
          <w:b w:val="0"/>
          <w:i/>
          <w:sz w:val="24"/>
        </w:rPr>
        <w:t>p</w:t>
      </w:r>
      <w:r>
        <w:rPr>
          <w:rFonts w:ascii="Times New Roman" w:hAnsi="Times New Roman" w:cs="Times New Roman"/>
          <w:b w:val="0"/>
          <w:i w:val="0"/>
          <w:sz w:val="24"/>
        </w:rPr>
        <w:t xml:space="preserve"> = .969) warrants emphasis: the digital compensation effect posited by Bennett and Segerberg's (2012) connective action framework does not operate differently for digitally native young adults. Online civic activity offers no special substitute for face-to-face contact.</w:t>
      </w:r>
    </w:p>
    <w:p>
      <w:pPr>
        <w:spacing w:before="0" w:after="0" w:lineRule="auto" w:line="480"/>
        <w:ind w:firstLine="720"/>
        <w:jc w:val="left"/>
      </w:pPr>
      <w:r>
        <w:rPr>
          <w:rFonts w:ascii="Times New Roman" w:hAnsi="Times New Roman" w:cs="Times New Roman"/>
          <w:b w:val="0"/>
          <w:i w:val="0"/>
          <w:sz w:val="24"/>
        </w:rPr>
        <w:t>The pandemic explanation does not survive the data.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was comparable to the full-sample estimate, supporting H3d. Gen Z's weaker conversion of social contact into volunteering was evident before COVID-19 and unchanged afterward. Pandemic recovery strategies alone will not resolve the civic engagement deficit among young adults—the deficit predates the pandemic. Twenge et al. (2019) documented that declines in adolescent socialization were well underway by 2017; the present analysis extends that work to its civic consequences.</w:t>
      </w:r>
    </w:p>
    <w:p>
      <w:pPr>
        <w:spacing w:before="0" w:after="0" w:lineRule="auto" w:line="480"/>
        <w:ind w:firstLine="720"/>
        <w:jc w:val="left"/>
      </w:pPr>
      <w:r>
        <w:rPr>
          <w:rFonts w:ascii="Times New Roman" w:hAnsi="Times New Roman" w:cs="Times New Roman"/>
          <w:b w:val="0"/>
          <w:i w:val="0"/>
          <w:sz w:val="24"/>
        </w:rPr>
        <w:t>The person-centered analysis reinforced these findings through a complementary lens. Gen Z was disproportionately concentrated in socially disconnected profiles (see Figure 3): over half (50.6%) occupied the Isolated Disengaged or Politically Aware Isolated classes, and only 3.7% reached Fully Engaged status—consistent with H4 and H5. These proportions were essentially unchanged across the pre- and post-COVID periods, corroborating the temporal stability finding.</w:t>
      </w:r>
    </w:p>
    <w:p>
      <w:pPr>
        <w:spacing w:before="0" w:after="0" w:lineRule="auto" w:line="480"/>
        <w:ind w:firstLine="720"/>
        <w:jc w:val="left"/>
      </w:pPr>
      <w:r>
        <w:rPr>
          <w:rFonts w:ascii="Times New Roman" w:hAnsi="Times New Roman" w:cs="Times New Roman"/>
          <w:b w:val="0"/>
          <w:i w:val="0"/>
          <w:sz w:val="24"/>
        </w:rPr>
        <w:t>The Socially Active Non-Donors profile qualifies the socialization thesis. Members of this class reported the highest socialization scores (M = 4.70) of any profile yet volunteered at only 14.6%—below the sample mean. Socialization without institutional anchoring—organizational membership was near zero (M = 0.08) and charitable giving absent—did not generate the recruitment exposures that translate social contact into civic action. Robustness analysis confirmed this pathway: organizational membership attenuated the First Step Effect by approximately 30%, indicating that institutional embeddedness is a key mediating mechanism rather than socialization alone. Not all socializing is created equal. The distinction between bonding capital (close-knit relationships among similar individuals) and bridging capital (cross-cutting ties that connect individuals to new networks and resources) is central here (Putnam, 2000). The Socially Active Non-Donors appear to be high in bonding capital—frequent contact with friends and family—but low in the bridging capital that connects individuals to civic institutions. For Gen Z, whose socialization increasingly occurs in homogeneous peer groups rather than in the institutionally diverse settings (churches, civic associations, workplaces) that older cohorts navigated, this distinction may be particularly consequential.</w:t>
      </w:r>
    </w:p>
    <w:p>
      <w:pPr>
        <w:spacing w:before="0" w:after="0" w:lineRule="auto" w:line="480"/>
        <w:ind w:firstLine="720"/>
        <w:jc w:val="left"/>
      </w:pPr>
      <w:r>
        <w:rPr>
          <w:rFonts w:ascii="Times New Roman" w:hAnsi="Times New Roman" w:cs="Times New Roman"/>
          <w:b w:val="0"/>
          <w:i w:val="0"/>
          <w:sz w:val="24"/>
        </w:rPr>
        <w:t>A temporal shift in the profile structure is also informative. Gen Z's representation in the Activist Boycotter profile doubled from 5.9% pre-COVID to 10.7% post-COVID, even as the Isolated Disengaged proportion remained stable. The post-2020 period catalyzed a politicization pathway for a subset of Gen Z without altering the broader pattern of civic disengagement. The Activist Boycotter profile, which emphasizes political consumption over institutional volunteering (volunteering rate: 46.9%), may represent an emerging civic pathway that operates alongside—rather than as a substitute for—traditional voluntarism.</w:t>
      </w:r>
    </w:p>
    <w:p>
      <w:pPr>
        <w:spacing w:before="0" w:after="0" w:lineRule="auto" w:line="480"/>
        <w:ind w:firstLine="720"/>
        <w:jc w:val="left"/>
      </w:pPr>
      <w:r>
        <w:rPr>
          <w:rFonts w:ascii="Times New Roman" w:hAnsi="Times New Roman" w:cs="Times New Roman"/>
          <w:b w:val="0"/>
          <w:i w:val="0"/>
          <w:sz w:val="24"/>
        </w:rPr>
        <w:t>Socialization's dominance for Gen Z was confirmed by a model with no imposed interaction structure. In the gradient boosting analysis, socialization ranked as the single most important predictor of volunteering for Gen Z, outranking education—the top predictor for every older generation (see Figure 4). For older cohorts with established social networks, the traditional civic voluntarism resources of education and employment retain their predictive primacy (Verba et al., 1995). SHAP dependence plots independently recovered both the First Step Effect and the Gen Z plateau, confirming that these patterns are not artifacts of the parametric regression specification. The concave dose–response shape at the lowest socialization transition—not a statistically novel pattern in itself—carries civic implications that have not been previously documented across five generational cohorts.</w:t>
      </w:r>
    </w:p>
    <w:p>
      <w:pPr>
        <w:spacing w:before="0" w:after="0" w:lineRule="auto" w:line="480"/>
        <w:ind w:firstLine="720"/>
        <w:jc w:val="left"/>
      </w:pPr>
      <w:r>
        <w:rPr>
          <w:rFonts w:ascii="Times New Roman" w:hAnsi="Times New Roman" w:cs="Times New Roman"/>
          <w:b w:val="0"/>
          <w:i w:val="0"/>
          <w:sz w:val="24"/>
        </w:rPr>
        <w:t>These findings collectively challenge the prevailing narrative about generational differences in civic engagement. Dalton (2008) and others frame declining youth participation as a value shift from "duty-based" to "engaged" citizenship, in which younger cohorts express commitment through informal and digital channels. Our results point to a different explanation. Gen Z exhibited the highest predicted volunteering probability at zero socialization—27.3%, compared with 16.7% for similarly isolated Boomers (see Results). If declining youth volunteering reflected weakened civic motivation, one would expect lower baseline rates, not higher ones. Gen Z appears more civically motivated at the individual level but less able to convert that motivation into sustained participation. The plateau at moderate socialization levels is more consistent with an account in which Gen Z lacks the dense, multiplex social networks that Granovetter (1973) identified as conduits for weak-tie recruitment. In Putnam's (2000) formulation, they are not bowling alone by choice but rather scrolling together in a digital environment that sustains the perception of connection without generating the face-to-face encounters through which civic recruitment historically occurs.</w:t>
      </w:r>
    </w:p>
    <w:p>
      <w:pPr>
        <w:spacing w:before="0" w:after="0" w:lineRule="auto" w:line="480"/>
        <w:ind w:firstLine="720"/>
        <w:jc w:val="left"/>
      </w:pPr>
      <w:r>
        <w:rPr>
          <w:rFonts w:ascii="Times New Roman" w:hAnsi="Times New Roman" w:cs="Times New Roman"/>
          <w:b w:val="0"/>
          <w:i w:val="0"/>
          <w:sz w:val="24"/>
        </w:rPr>
        <w:t>The baseline paradox—Gen Z's higher volunteering probability at zero socialization—deserves further interpretation. One reading is that Gen Z possesses stronger intrinsic civic motivation, perhaps cultivated through increased exposure to social cause messaging in digital media and educational curricula that increasingly emphasize community service. An alternative reading is that the composition of completely isolated Gen Z respondents differs from that of completely isolated Boomers: an 18-year-old who reports no social contact may be a recently graduated high school student living with parents who volunteer, whereas a 65-year-old who reports no social contact may be a widowed retiree with genuinely no civic connections. The baseline comparison controls for demographics but cannot fully account for unobserved household-level civic socialization. Regardless of which interpretation holds, the more consequential finding is what happens above the baseline: Gen Z's volunteering probability plateaus where other generations' continues to climb, and it is this ceiling—not the floor—that explains the overall generational gap in volunteering rates.</w:t>
      </w:r>
    </w:p>
    <w:p>
      <w:pPr>
        <w:spacing w:before="0" w:after="0" w:lineRule="auto" w:line="480"/>
        <w:ind w:firstLine="720"/>
        <w:jc w:val="left"/>
      </w:pPr>
      <w:r>
        <w:rPr>
          <w:rFonts w:ascii="Times New Roman" w:hAnsi="Times New Roman" w:cs="Times New Roman"/>
          <w:b w:val="0"/>
          <w:i w:val="0"/>
          <w:sz w:val="24"/>
        </w:rPr>
        <w:t xml:space="preserve">The "scrolling together" metaphor captures a structural irony: Gen Z is the most </w:t>
      </w:r>
      <w:r>
        <w:rPr>
          <w:rFonts w:ascii="Times New Roman" w:hAnsi="Times New Roman" w:cs="Times New Roman"/>
          <w:b w:val="0"/>
          <w:i/>
          <w:sz w:val="24"/>
        </w:rPr>
        <w:t>connected</w:t>
      </w:r>
      <w:r>
        <w:rPr>
          <w:rFonts w:ascii="Times New Roman" w:hAnsi="Times New Roman" w:cs="Times New Roman"/>
          <w:b w:val="0"/>
          <w:i w:val="0"/>
          <w:sz w:val="24"/>
        </w:rPr>
        <w:t xml:space="preserve"> generation in terms of digital communication, yet the most </w:t>
      </w:r>
      <w:r>
        <w:rPr>
          <w:rFonts w:ascii="Times New Roman" w:hAnsi="Times New Roman" w:cs="Times New Roman"/>
          <w:b w:val="0"/>
          <w:i/>
          <w:sz w:val="24"/>
        </w:rPr>
        <w:t>disconnected</w:t>
      </w:r>
      <w:r>
        <w:rPr>
          <w:rFonts w:ascii="Times New Roman" w:hAnsi="Times New Roman" w:cs="Times New Roman"/>
          <w:b w:val="0"/>
          <w:i w:val="0"/>
          <w:sz w:val="24"/>
        </w:rPr>
        <w:t xml:space="preserve"> in terms of the face-to-face contact that drives civic recruitment. Social media platforms provide a continuous stream of information about social causes, volunteer opportunities, and community needs—but information alone does not substitute for the social obligation that arises from a face-to-face request.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this empirically: Gen Z members who actively use social media for civic purposes volunteer at the same rate as those who do not, once socialization frequency is controlled. Digital civic activity is not inert, but it does not function as a recruitment channel the way a personal encounter does. This disconnect between digital awareness and civic action may explain why Gen Z's volunteering probability plateaus at moderate socialization: those who socialize enough to encounter some recruitment opportunities do volunteer, but their social contexts—often peer-group gatherings without institutional anchoring—do not generate the escalating web of obligations and expectations that drove older cohorts toward progressively deeper civic engagement.</w:t>
      </w:r>
    </w:p>
    <w:p>
      <w:pPr>
        <w:spacing w:before="0" w:after="0" w:lineRule="auto" w:line="480"/>
        <w:jc w:val="left"/>
      </w:pPr>
      <w:r>
        <w:rPr>
          <w:rFonts w:ascii="Times New Roman" w:hAnsi="Times New Roman" w:cs="Times New Roman"/>
          <w:b/>
          <w:i w:val="0"/>
          <w:sz w:val="24"/>
        </w:rPr>
        <w:t>Practical Implications</w:t>
      </w:r>
    </w:p>
    <w:p>
      <w:pPr>
        <w:spacing w:before="0" w:after="0" w:lineRule="auto" w:line="480"/>
        <w:ind w:firstLine="720"/>
        <w:jc w:val="left"/>
      </w:pPr>
      <w:r>
        <w:rPr>
          <w:rFonts w:ascii="Times New Roman" w:hAnsi="Times New Roman" w:cs="Times New Roman"/>
          <w:b w:val="0"/>
          <w:i w:val="0"/>
          <w:sz w:val="24"/>
        </w:rPr>
        <w:t>What should practitioners do differently? The First Step Effect points to a clear answer: target the initial transition out of social isolation. Robustness analyses confirmed that this threshold is genuine rather than an artifact of scale concavity: the categorical 0-to-1 transition exceeded smooth log-linear predictions by 2.4 to 4.7 percentage points across all generations, with the excess largest for Gen Z. The practical upshot is direct. Low-threshold, single-contact strategies should be preferred over sustained-commitment appeals. Creating one opportunity for in-person contact matters more than intensifying recruitment among already-connected individuals. Digital-only campaigns offer no special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.969)—even for the cohort most dependent on digital communication. Volunteer organizations should invest in physical gathering spaces and initial-contact events, particularly on college campuses and in community settings where isolated young adults might be reached. Concretely, a campus volunteer center might host a monthly "coffee and causes" drop-in where students encounter service opportunities in a low-pressure social setting; a community organization could partner with local businesses to create "volunteer tasting" events where newcomers try a two-hour service project with no ongoing commitment; a library might embed volunteer sign-ups into existing social programming. The common thread is designing the social encounter first and the volunteer recruitment second—inverting the traditional model that assumes interested individuals will seek out opportunities on their own.</w:t>
      </w:r>
    </w:p>
    <w:p>
      <w:pPr>
        <w:spacing w:before="0" w:after="0" w:lineRule="auto" w:line="480"/>
        <w:ind w:firstLine="720"/>
        <w:jc w:val="left"/>
      </w:pPr>
      <w:r>
        <w:rPr>
          <w:rFonts w:ascii="Times New Roman" w:hAnsi="Times New Roman" w:cs="Times New Roman"/>
          <w:b w:val="0"/>
          <w:i w:val="0"/>
          <w:sz w:val="24"/>
        </w:rPr>
        <w:t>Community-based organizations occupy a strategic position in this landscape. Klinenberg's (2018) concept of "social infrastructure"—the physical spaces and institutions that facilitate social contact—provides a framework for understanding why investment in community gathering places, service-learning programs, and locally facilitated events may have civic returns that exceed their direct programmatic objectives. Cooperative Extension, embedded at the interface of campus and community, offers one institutional model: Extension educators could design programming that treats social connection not as a byproduct of volunteering but as a prerequisite for it. Other community-based institutions—libraries, recreation centers, faith communities, campus organizations—serve similar bridging functions and would benefit from the same reorientation.</w:t>
      </w:r>
    </w:p>
    <w:p>
      <w:pPr>
        <w:spacing w:before="0" w:after="0" w:lineRule="auto" w:line="480"/>
        <w:ind w:firstLine="720"/>
        <w:jc w:val="left"/>
      </w:pPr>
      <w:r>
        <w:rPr>
          <w:rFonts w:ascii="Times New Roman" w:hAnsi="Times New Roman" w:cs="Times New Roman"/>
          <w:b w:val="0"/>
          <w:i w:val="0"/>
          <w:sz w:val="24"/>
        </w:rPr>
        <w:t>For employers, the findings suggest that workplace-based volunteer programs may serve a dual function: they provide the structured social context that Gen Z respondents often lack outside the workplace, and they embed volunteer recruitment within the kind of organizationally anchored setting that the LPA analysis identified as critical. Companies that offer team-based volunteer days—where employees participate as a group rather than individually—may be more effective at engaging young workers precisely because they address the social barrier rather than relying solely on individual motivation.</w:t>
      </w:r>
    </w:p>
    <w:p>
      <w:pPr>
        <w:spacing w:before="0" w:after="0" w:lineRule="auto" w:line="480"/>
        <w:ind w:firstLine="720"/>
        <w:jc w:val="left"/>
      </w:pPr>
      <w:r>
        <w:rPr>
          <w:rFonts w:ascii="Times New Roman" w:hAnsi="Times New Roman" w:cs="Times New Roman"/>
          <w:b w:val="0"/>
          <w:i w:val="0"/>
          <w:sz w:val="24"/>
        </w:rPr>
        <w:t>At the policy level, the Surgeon General's 2023 advisory on loneliness and social isolation focused predominantly on health consequences. The present findings suggest extending that framing to encompass civic consequences: social disconnection does not merely increase the risk of heart disease and depression but also erodes the foundation on which democratic participation depends. Federal and state civic engagement initiatives—including AmeriCorps, national service programs, and campus-based volunteer centers—would benefit from incorporating a "social activation" component that addresses social isolation as a barrier to entry rather than assuming that motivation alone is sufficient to drive participation. The data also carry implications for how volunteering is measured and reported. Future measurement efforts should consider tracking not only whether individuals volunteer but the social pathway through which they were recruited—a distinction that the present findings suggest is essential for understanding generational differences in civic participation.</w:t>
      </w:r>
    </w:p>
    <w:p>
      <w:pPr>
        <w:spacing w:before="0" w:after="0" w:lineRule="auto" w:line="480"/>
        <w:jc w:val="left"/>
      </w:pPr>
      <w:r>
        <w:rPr>
          <w:rFonts w:ascii="Times New Roman" w:hAnsi="Times New Roman" w:cs="Times New Roman"/>
          <w:b/>
          <w:i w:val="0"/>
          <w:sz w:val="24"/>
        </w:rPr>
        <w:t>Limitations</w:t>
      </w:r>
    </w:p>
    <w:p>
      <w:pPr>
        <w:spacing w:before="0" w:after="0" w:lineRule="auto" w:line="480"/>
        <w:ind w:firstLine="720"/>
        <w:jc w:val="left"/>
      </w:pPr>
      <w:r>
        <w:rPr>
          <w:rFonts w:ascii="Times New Roman" w:hAnsi="Times New Roman" w:cs="Times New Roman"/>
          <w:b w:val="0"/>
          <w:i w:val="0"/>
          <w:sz w:val="24"/>
        </w:rPr>
        <w:t>Several limitations temper the strength of these claims. The most consequential is the threat of reverse causation. The pooled cross-sectional design cannot establish whether socialization leads to volunteering or volunteering generates social contact—or whether both reflect a common disposition such as extraversion. People who volunteer meet others through their service, which increases their socialization frequency; the entire gradient could be partly driven by this pathway. However, two features of the results provide partial leverage against a purely reverse-causal account. First, the nonlinear threshold shape of the First Step Effect is more consistent with a recruitment mechanism—in which initial contact triggers awareness of opportunities—than with reverse causation, which would predict a more linear association. Second, the temporal stability of the pattern across four waves suggests a durable relationship rather than a context-dependent artifact. Future research using true panel data or quasi-experimental designs—potentially leveraging the CPS rotation group structure—could more definitively establish directionality.</w:t>
      </w:r>
    </w:p>
    <w:p>
      <w:pPr>
        <w:spacing w:before="0" w:after="0" w:lineRule="auto" w:line="480"/>
        <w:ind w:firstLine="720"/>
        <w:jc w:val="left"/>
      </w:pPr>
      <w:r>
        <w:rPr>
          <w:rFonts w:ascii="Times New Roman" w:hAnsi="Times New Roman" w:cs="Times New Roman"/>
          <w:b w:val="0"/>
          <w:i w:val="0"/>
          <w:sz w:val="24"/>
        </w:rPr>
        <w:t>Measurement constraints introduce additional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The binary COVID coding (2017/2019 vs. 2021/2023) is approximate; the 2021 wave was administered during, not after, the pandemic. The PES16F variable measuring virtual versus in-person volunteering mode is available only for the 2023 wave, preventing systematic analysis of how volunteering modality interacts with social isolation.</w:t>
      </w:r>
    </w:p>
    <w:p>
      <w:pPr>
        <w:spacing w:before="0" w:after="0" w:lineRule="auto" w:line="480"/>
        <w:ind w:firstLine="720"/>
        <w:jc w:val="left"/>
      </w:pPr>
      <w:r>
        <w:rPr>
          <w:rFonts w:ascii="Times New Roman" w:hAnsi="Times New Roman" w:cs="Times New Roman"/>
          <w:b w:val="0"/>
          <w:i w:val="0"/>
          <w:sz w:val="24"/>
        </w:rPr>
        <w:t>Generational classification by birth cohort conflates age, period, and cohort effects. Supplementary analyses with nonlinear age controls (age-squared) confirmed that the socialization-by-generation interaction survived (</w:t>
      </w:r>
      <w:r>
        <w:rPr>
          <w:rFonts w:ascii="Times New Roman" w:hAnsi="Times New Roman" w:cs="Times New Roman"/>
          <w:b w:val="0"/>
          <w:i/>
          <w:sz w:val="24"/>
        </w:rPr>
        <w:t>p</w:t>
      </w:r>
      <w:r>
        <w:rPr>
          <w:rFonts w:ascii="Times New Roman" w:hAnsi="Times New Roman" w:cs="Times New Roman"/>
          <w:b w:val="0"/>
          <w:i w:val="0"/>
          <w:sz w:val="24"/>
        </w:rPr>
        <w:t xml:space="preserve"> &lt; .001), and the First Step AMEs were essentially unchanged, providing leverage against a purely age-based account—but a formal age-period-cohort decomposition would require additional data waves. All measures are self-reported and subject to social desirability bias, which may differentially affect reporting of socially valued behaviors such as volunteering.</w:t>
      </w:r>
    </w:p>
    <w:p>
      <w:pPr>
        <w:spacing w:before="0" w:after="0" w:lineRule="auto" w:line="480"/>
        <w:jc w:val="left"/>
      </w:pPr>
      <w:r>
        <w:rPr>
          <w:rFonts w:ascii="Times New Roman" w:hAnsi="Times New Roman" w:cs="Times New Roman"/>
          <w:b/>
          <w:i w:val="0"/>
          <w:sz w:val="24"/>
        </w:rPr>
        <w:t>Future Directions</w:t>
      </w:r>
    </w:p>
    <w:p>
      <w:pPr>
        <w:spacing w:before="0" w:after="0" w:lineRule="auto" w:line="480"/>
        <w:ind w:firstLine="720"/>
        <w:jc w:val="left"/>
      </w:pPr>
      <w:r>
        <w:rPr>
          <w:rFonts w:ascii="Times New Roman" w:hAnsi="Times New Roman" w:cs="Times New Roman"/>
          <w:b w:val="0"/>
          <w:i w:val="0"/>
          <w:sz w:val="24"/>
        </w:rPr>
        <w:t>These limitations point toward a productive research agenda. First and most critically, the causal question demands longitudinal data. The CPS rotation group structure—in which households remain in the sample for four months, leave for eight, and return for four—offers a quasi-panel design that could establish whether changes in socialization within individuals precede changes in volunteering behavior. True panel studies with repeated measures of both constructs, such as the Panel Study of Income Dynamics or the Understanding America Study, could provide more definitive evidence of directionality.</w:t>
      </w:r>
    </w:p>
    <w:p>
      <w:pPr>
        <w:spacing w:before="0" w:after="0" w:lineRule="auto" w:line="480"/>
        <w:ind w:firstLine="720"/>
        <w:jc w:val="left"/>
      </w:pPr>
      <w:r>
        <w:rPr>
          <w:rFonts w:ascii="Times New Roman" w:hAnsi="Times New Roman" w:cs="Times New Roman"/>
          <w:b w:val="0"/>
          <w:i w:val="0"/>
          <w:sz w:val="24"/>
        </w:rPr>
        <w:t>Second, the CESOCIALIZE measure's breadth obscures important distinctions. Future research should disaggregate socialization by context (kin vs. friend vs. neighbor), modality (one-on-one vs. group), and institutional setting (organizationally embedded vs. informal). If the theoretical account offered here is correct—that institutionally anchored socialization drives civic recruitment while purely social contact does not—then context-specific measures should reveal differential associations with volunteering that the composite measure cannot capture.</w:t>
      </w:r>
    </w:p>
    <w:p>
      <w:pPr>
        <w:spacing w:before="0" w:after="0" w:lineRule="auto" w:line="480"/>
        <w:ind w:firstLine="720"/>
        <w:jc w:val="left"/>
      </w:pPr>
      <w:r>
        <w:rPr>
          <w:rFonts w:ascii="Times New Roman" w:hAnsi="Times New Roman" w:cs="Times New Roman"/>
          <w:b w:val="0"/>
          <w:i w:val="0"/>
          <w:sz w:val="24"/>
        </w:rPr>
        <w:t xml:space="preserve">Third, the null finding for civic social media use raises as many questions as it answers. The present study measured whether individuals </w:t>
      </w:r>
      <w:r>
        <w:rPr>
          <w:rFonts w:ascii="Times New Roman" w:hAnsi="Times New Roman" w:cs="Times New Roman"/>
          <w:b w:val="0"/>
          <w:i/>
          <w:sz w:val="24"/>
        </w:rPr>
        <w:t>discuss civic topics</w:t>
      </w:r>
      <w:r>
        <w:rPr>
          <w:rFonts w:ascii="Times New Roman" w:hAnsi="Times New Roman" w:cs="Times New Roman"/>
          <w:b w:val="0"/>
          <w:i w:val="0"/>
          <w:sz w:val="24"/>
        </w:rPr>
        <w:t xml:space="preserve"> online, not whether they </w:t>
      </w:r>
      <w:r>
        <w:rPr>
          <w:rFonts w:ascii="Times New Roman" w:hAnsi="Times New Roman" w:cs="Times New Roman"/>
          <w:b w:val="0"/>
          <w:i/>
          <w:sz w:val="24"/>
        </w:rPr>
        <w:t>socialize</w:t>
      </w:r>
      <w:r>
        <w:rPr>
          <w:rFonts w:ascii="Times New Roman" w:hAnsi="Times New Roman" w:cs="Times New Roman"/>
          <w:b w:val="0"/>
          <w:i w:val="0"/>
          <w:sz w:val="24"/>
        </w:rPr>
        <w:t xml:space="preserve"> online. A direct comparison of digital versus in-person socialization effects on volunteering—using measures of social media-based relationship maintenance, online community participation, and digital group membership—would test whether digital social contact can serve as a functional substitute for face-to-face recruitment.</w:t>
      </w:r>
    </w:p>
    <w:p>
      <w:pPr>
        <w:spacing w:before="0" w:after="0" w:lineRule="auto" w:line="480"/>
        <w:ind w:firstLine="720"/>
        <w:jc w:val="left"/>
      </w:pPr>
      <w:r>
        <w:rPr>
          <w:rFonts w:ascii="Times New Roman" w:hAnsi="Times New Roman" w:cs="Times New Roman"/>
          <w:b w:val="0"/>
          <w:i w:val="0"/>
          <w:sz w:val="24"/>
        </w:rPr>
        <w:t>Finally, the First Step Effect implies a specific intervention design: low-threshold, single-contact programs that target socially isolated young adults. Randomized controlled trials of such interventions—comparing, for example, a campus program that creates structured social encounters (the "social activation" approach) with a traditional volunteer recruitment campaign—would test whether the cross-sectional associations documented here translate into causal effects on volunteering behavior.</w:t>
      </w:r>
    </w:p>
    <w:p>
      <w:pPr>
        <w:spacing w:before="0" w:after="0" w:lineRule="auto" w:line="480"/>
        <w:ind w:firstLine="720"/>
        <w:jc w:val="left"/>
      </w:pPr>
      <w:r>
        <w:rPr>
          <w:rFonts w:ascii="Times New Roman" w:hAnsi="Times New Roman" w:cs="Times New Roman"/>
          <w:b w:val="0"/>
          <w:i w:val="0"/>
          <w:sz w:val="24"/>
        </w:rPr>
        <w:t>A fifth direction concerns cross-national comparison. The decline in youth socialization documented by Twenge et al. (2019) has been observed primarily in the United States and other Anglophone countries; whether similar patterns hold in societies with stronger institutional frameworks for youth civic participation—such as the Scandinavian countries with their tradition of popular movements and mandatory civil service options—would test the generalizability of these findings and potentially identify institutional models that buffer against the civic consequences of social isolation.</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time, is that one step out of isolation is associated with a larger civic return than any subsequent increase in social frequency. If these associations reflect causal pathways, the path to volunteering begins not with appeals to duty or digital campaigns, but with creating the physical social encounters that make civic recruitment possible—the kind Klinenberg (2018) called social infrastructure. The present study measured civic social media use rather than social media-based socialization per se; future research should examine whether digital socialization serves as a functional substitute for face-to-face contact in generating civic recruitment. Addressing the decline in youth volunteering requires not only rethinking recruitment strategies but also rebuilding the institutional foundations through which civic participation has historically been sustained. The title of this paper invokes Putnam's metaphor deliberately. In 2000, Americans were bowling alone—participating in activities outside the organizational structures that once facilitated civic life. A quarter century later, the youngest Americans are not even bowling. They are scrolling together—maintaining the appearance of social connection through digital platforms that sustain awareness of community needs without generating the face-to-face encounters that translate awareness into action. The gap between knowing and doing, between digital empathy and physical participation, is where the civic consequences of the loneliness epidemic are most visible.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