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and three complementary analytic methods, this study examines whether in-person socialization predicts volunteering differently across generational cohorts. Three findings emerge. First, a universal threshold: across all five generations, the transition from no socialization to even occasional contact produces the largest marginal gain in volunteering probability (8–10 percentage points), a pattern we term the "First Step Effect." Second, Generation Z exhibits a unique ceiling: beyond moderate socialization, volunteering probability plateaus—a pattern absent in all older cohorts. Third, these patterns are temporally stable, present before the COVID-19 pandemic and unchanged afterward, establishing them as cohort characteristics rather than pandemic artifacts. Education amplifies the socialization–volunteering gradient (</w:t>
      </w:r>
      <w:r>
        <w:rPr>
          <w:rFonts w:ascii="Times New Roman" w:hAnsi="Times New Roman" w:cs="Times New Roman"/>
          <w:b w:val="0"/>
          <w:i/>
          <w:sz w:val="24"/>
        </w:rPr>
        <w:t>p</w:t>
      </w:r>
      <w:r>
        <w:rPr>
          <w:rFonts w:ascii="Times New Roman" w:hAnsi="Times New Roman" w:cs="Times New Roman"/>
          <w:b w:val="0"/>
          <w:i w:val="0"/>
          <w:sz w:val="24"/>
        </w:rPr>
        <w:t xml:space="preserve"> = .009), but neither employment nor civic social media use alters the generational pattern. Over half of Gen Z occupies civic engagement profiles defined by social isolation, and socialization ranks as the single most important predictor of volunteering for Gen Z—not for any older generation. These findings are consistent with a structural account of declining youth volunteering, rooted in social disconnection rather than weakened civic motivation, with implications for low-threshold volunteer recruitment and community-based programming.</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machine learning,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declared loneliness and social isolation a public health epidemic, documenting extensive consequences for mental health, physical well-being, and mortality (Office of the Surgeon General, 2023). Yet while the health effects of social disconnection have received considerable empirical attention, one domain remains underexamined: the civic consequences of the loneliness epidemic, and particularly its effects on volunteering. This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emerging evidence suggests that the erosion of social connection has continued—and accelerated among younger cohorts—with potential ramifications for the civic infrastructure that depends on volunteerism.</w:t>
      </w:r>
    </w:p>
    <w:p>
      <w:pPr>
        <w:spacing w:before="0" w:after="0" w:lineRule="auto" w:line="480"/>
        <w:ind w:firstLine="720"/>
        <w:jc w:val="left"/>
      </w:pPr>
      <w:r>
        <w:rPr>
          <w:rFonts w:ascii="Times New Roman" w:hAnsi="Times New Roman" w:cs="Times New Roman"/>
          <w:b w:val="0"/>
          <w:i w:val="0"/>
          <w:sz w:val="24"/>
        </w:rPr>
        <w:t>The scale of the volunteering decline is substantial. Between 2005 and 2015, the U.S. formal volunteering rate fell from 28.8% to 24.9%, and by 2021 it had dropped to 23.2%—the lowest rate recorded since the Bureau of Labor Statistics began tracking the measure (AmeriCorps, 2022). Among 16-to-24-year-olds, the decline has been even steeper: volunteering in this age group fell by nearly a third over the same period, from 26.4% to 17.4%. These declines have occurred despite expansions in national service programs, campus volunteer centers, and corporate volunteer initiatives—raising the possibility that the dominant recruitment strategies are failing to reach the cohorts most at risk of disengagement. The paradox is notable: the infrastructure for volunteering has expanded—with service-learning requirements in high schools, campus volunteer centers, and corporate social responsibility programs all proliferating—yet the actual rate of volunteering has declined, particularly among the youngest adults. If supply-side interventions were sufficient, rates should have stabilized or increased. They did not, suggesting that the barrier lies not in the availability of opportunities but in the social pathways through which individuals are recruited into them.</w:t>
      </w:r>
    </w:p>
    <w:p>
      <w:pPr>
        <w:spacing w:before="0" w:after="0" w:lineRule="auto" w:line="480"/>
        <w:ind w:firstLine="720"/>
        <w:jc w:val="left"/>
      </w:pPr>
      <w:r>
        <w:rPr>
          <w:rFonts w:ascii="Times New Roman" w:hAnsi="Times New Roman" w:cs="Times New Roman"/>
          <w:b w:val="0"/>
          <w:i w:val="0"/>
          <w:sz w:val="24"/>
        </w:rPr>
        <w:t>Twenge et al. (2019) documented that in-person social interaction among U.S. adolescents declined substantially between 2003 and 2017, a trend that predates the COVID-19 pandemic and thus cannot be attributed solely to lockdown-era disruptions. If social interaction is a precondition for civic recruitment, as both social capital theory (Putnam, 2000) and the civic voluntarism model (Verba et al., 1995) suggest, then generational declines in face-to-face socialization may represent a structural barrier to volunteering that existing interventions fail to address. The pathway from socialization to volunteering is not abstract: an acquaintance at a community event mentions that a local food bank needs Saturday morning help; a coworker invites a colleague to a park cleanup; a neighbor asks for company at a fundraising walk. These are the mundane, low-threshold encounters through which civic recruitment historically occurs—and they require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particularly urgent for the volunteering sector. Unlike voting, which requires a single act on a designated day, or charitable giving, which demands only a financial transaction, organized volunteering requires sustained investment of time and coordination with others—features that make it especially dependent on social networks and in-person contact (Cacioppo &amp; Cacioppo, 2014; Holt-Lunstad et al., 2010). The temporal demands of volunteering—showing up at a specific place, at a specific time, often repeatedly—create entry barriers that social connection helps overcome. A would-be volunteer who lacks social contacts within an organization faces not only logistical uncertainty but the social discomfort of entering an unfamiliar setting alone. Social connections reduce these barriers by providing both practical information and the social accompaniment that lowers the threshold for initial participation. These facilitating functions are largely invisible in survey research that treats socialization as a background variable. Yet the empirical literature on volunteering has treated social isolation primarily as a control variable rather than a central mechanism, and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in a comprehensive review, identified social networks as a consistent predictor of volunteering but noted that the field lacks a clear account of how network effects vary across demographic subgroups—a gap that has only widened as the social landscape has shifted beneath younger cohorts. This leaves a critical question unanswered: Is the decline in youth volunteering driven by changing values and attitudes, or by the erosion of the social connections that make volunteering possible in the first place?</w:t>
      </w:r>
    </w:p>
    <w:p>
      <w:pPr>
        <w:spacing w:before="0" w:after="0" w:lineRule="auto" w:line="480"/>
        <w:ind w:firstLine="720"/>
        <w:jc w:val="left"/>
      </w:pPr>
      <w:r>
        <w:rPr>
          <w:rFonts w:ascii="Times New Roman" w:hAnsi="Times New Roman" w:cs="Times New Roman"/>
          <w:b w:val="0"/>
          <w:i w:val="0"/>
          <w:sz w:val="24"/>
        </w:rPr>
        <w:t xml:space="preserve">The present study addresses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Three research questions guide the analysis, spanning variable-centered, person-centered, and predictive approaches (see Purpose and Research Questions). By bracketing the COVID-19 pandemic, the four-wave design distinguishes stable cohort effects from pandemic-specific disruptions—a critical distinction that single-wave analyses cannot make. The sample size (</w:t>
      </w:r>
      <w:r>
        <w:rPr>
          <w:rFonts w:ascii="Times New Roman" w:hAnsi="Times New Roman" w:cs="Times New Roman"/>
          <w:b w:val="0"/>
          <w:i/>
          <w:sz w:val="24"/>
        </w:rPr>
        <w:t>N</w:t>
      </w:r>
      <w:r>
        <w:rPr>
          <w:rFonts w:ascii="Times New Roman" w:hAnsi="Times New Roman" w:cs="Times New Roman"/>
          <w:b w:val="0"/>
          <w:i w:val="0"/>
          <w:sz w:val="24"/>
        </w:rPr>
        <w:t xml:space="preserve"> ≈ 201,000) provides sufficient statistical power for subgroup analyses that smaller surveys cannot support—including the detection of nonlinear threshold effects within individual generational cohorts. The integrated approach—combining survey-weighted logistic regression, Latent Profile Analysis, and gradient boosting with TreeSHAP—extends the Surgeon General's health-focused framing to a civic engagement context, testing whether social isolation functions as a barrier to civic participation and whether the socialization–volunteering relationship operates differently for the most socially disconnected generation. If socialization is a prerequisite rather than merely a correlate, then volunteer organizations targeting Generation Z must invest in creating social contact before—not alongside—recruitment appeals.</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The theoretical foundation for the relationship between social interaction and volunteering rests on social capital theory and the civic voluntarism model. Putnam (2000) defined social capital as the networks, norms, and trust that facilitate coordination and cooperation among individuals. In his framework, face-to-face social interaction is not merely a correlate of civic engagement but a generative mechanism: repeated contact builds the trust and reciprocity norms that lower the costs of collective action. Granovetter's (1973) weak ties theory extends this insight by arguing that peripheral social contacts—acquaintances encountered through occasional socialization—serve as bridges to new information and opportunities, including awareness of volunteer organizations and direct recruitment appeals. The mechanism is not merely informational but motivational: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w:t>
      </w:r>
    </w:p>
    <w:p>
      <w:pPr>
        <w:spacing w:before="0" w:after="0" w:lineRule="auto" w:line="480"/>
        <w:ind w:firstLine="720"/>
        <w:jc w:val="left"/>
      </w:pPr>
      <w:r>
        <w:rPr>
          <w:rFonts w:ascii="Times New Roman" w:hAnsi="Times New Roman" w:cs="Times New Roman"/>
          <w:b w:val="0"/>
          <w:i w:val="0"/>
          <w:sz w:val="24"/>
        </w:rPr>
        <w:t>The civic voluntarism model (CVM) identifies three categories of factors predicting civic participation: resources (time, money, civic skills), engagement (political interest, civic duty), and recruitment networks (Brady et al., 1995; Verba et al., 1995). The recruitment pathway is particularly relevant: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facilitate the emergence of norms and sanctions that encourage prosocial behavior, including volunteering. Beyerlein and Hipp (2006) demonstrated empirically that organizational membership mediates much of the socialization–volunteering pathway, suggesting that social contact facilitates volunteering partly through institutional embeddedness rather than through social influence alone. The implication is that socialization may be a necessary but not sufficient condition for civic participation: frequent social contact that occurs outside institutionally anchored contexts may not generate the recruitment exposures that translate contact into voluntarism.</w:t>
      </w:r>
    </w:p>
    <w:p>
      <w:pPr>
        <w:spacing w:before="0" w:after="0" w:lineRule="auto" w:line="480"/>
        <w:jc w:val="left"/>
      </w:pPr>
      <w:r>
        <w:rPr>
          <w:rFonts w:ascii="Times New Roman" w:hAnsi="Times New Roman" w:cs="Times New Roman"/>
          <w:b/>
          <w:i w:val="0"/>
          <w:sz w:val="24"/>
        </w:rPr>
        <w:t>Generational Shifts in Socialization and Civic Participation</w:t>
      </w:r>
    </w:p>
    <w:p>
      <w:pPr>
        <w:spacing w:before="0" w:after="0" w:lineRule="auto" w:line="480"/>
        <w:ind w:firstLine="720"/>
        <w:jc w:val="left"/>
      </w:pPr>
      <w:r>
        <w:rPr>
          <w:rFonts w:ascii="Times New Roman" w:hAnsi="Times New Roman" w:cs="Times New Roman"/>
          <w:b w:val="0"/>
          <w:i w:val="0"/>
          <w:sz w:val="24"/>
        </w:rPr>
        <w:t>The theoretical expectation that social interaction facilitates civic engagement must be situated within evidence of dramatic generational shifts in socialization patterns.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before—not as a consequence of—the COVID-19 pandemic. The result is a generation that came of age in an environment where social connection increasingly occurs through screens rather than in the shared physical spaces—Oldenburg's (1999) "third places"—that historically served as incubators for civic recruitment.</w:t>
      </w:r>
    </w:p>
    <w:p>
      <w:pPr>
        <w:spacing w:before="0" w:after="0" w:lineRule="auto" w:line="480"/>
        <w:ind w:firstLine="720"/>
        <w:jc w:val="left"/>
      </w:pPr>
      <w:r>
        <w:rPr>
          <w:rFonts w:ascii="Times New Roman" w:hAnsi="Times New Roman" w:cs="Times New Roman"/>
          <w:b w:val="0"/>
          <w:i w:val="0"/>
          <w:sz w:val="24"/>
        </w:rPr>
        <w:t>These shifts intersect with broader transformations in civic engagement documented by scholars of political participation. Zukin et al. (2006) identified generational differences in civic participation, with younger Americans more likely to engage in individualized political consumption (boycotting, "buycotting") and less likely to participate in traditional institutional forms such as voting and formal volunteerism. Dalton (2008) proposed that this represents not disengagement but a shift from "duty-based" to "engaged" citizenship, where younger cohorts pursue civic goals through informal, often digital, channels. However, Flanagan and Levine (2010) and Wray-Lake and Hart (2012) documented that these alternative forms of engagement have not compensated for declines in traditional civic participation, particularly volunteering, among younger cohorts. If Dalton's "engaged citizenship" thesis were correct—if young people were simply channeling civic energy into new forms—aggregate civic participation should remain stable or rise even as traditional forms decline. It has not. The decline in formal volunteering among young adults has proceeded without a corresponding increase in measurable alternative engagement, suggesting that the issue may be less about shifting civic preferences and more about eroding civic infrastructure.</w:t>
      </w:r>
    </w:p>
    <w:p>
      <w:pPr>
        <w:spacing w:before="0" w:after="0" w:lineRule="auto" w:line="480"/>
        <w:ind w:firstLine="720"/>
        <w:jc w:val="left"/>
      </w:pPr>
      <w:r>
        <w:rPr>
          <w:rFonts w:ascii="Times New Roman" w:hAnsi="Times New Roman" w:cs="Times New Roman"/>
          <w:b w:val="0"/>
          <w:i w:val="0"/>
          <w:sz w:val="24"/>
        </w:rPr>
        <w:t>These theoretical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should produce a correspondingly large decline in volunteering—even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Generation Z is the focal cohort in this study because it occupies a unique position at the intersection of digital socialization and civic participation. Born after 1997, Gen Z is the first generation to have entered adulthood entirely within a digitally mediated social environment. By the time the oldest Gen Z members reached high school, smartphone ownership among American teenagers exceeded 70%, and social media use had become nearly universal (Pew Research Center, 2018). The implications for civic life are direct: the after-school hangouts, part-time jobs, religious youth groups, and community events that historically exposed young people to civic organizations and recruitment appeals have been partially displaced by digital interaction that occurs at home, alone, through a screen. Gen Z thus provides a critical test case for theories about whether online interaction can substitute for face-to-face socialization in generating civic participation. Descriptive data from the CPS-CEV consistently show that Gen Z reports the highest rates of minimal socialization (CESOCIALIZE = "Not at all"), suggesting that if social isolation affects volunteering, the effects should be most visible in this cohort. Gen Z also represents the future volunteer workforce; understanding the mechanisms that facilitate or inhibit their civic participation has direct implications for nonprofit management, volunteer recruitment, and community development practice.</w:t>
      </w:r>
    </w:p>
    <w:p>
      <w:pPr>
        <w:spacing w:before="0" w:after="0" w:lineRule="auto" w:line="480"/>
        <w:ind w:firstLine="720"/>
        <w:jc w:val="left"/>
      </w:pPr>
      <w:r>
        <w:rPr>
          <w:rFonts w:ascii="Times New Roman" w:hAnsi="Times New Roman" w:cs="Times New Roman"/>
          <w:b w:val="0"/>
          <w:i w:val="0"/>
          <w:sz w:val="24"/>
        </w:rPr>
        <w:t>Generation is operationalized as a moderating variable rather than merely a demographic control because generational membership captures shared formative experiences—including exposure to digital technology, economic conditions during the transition to adulthood, and the COVID-19 pandemic—that shape how individuals relate to civic institutions and social networks (Hooghe, 2012; Kelle et al., 2025).</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The civic voluntarism model identifies education and employment as primary resource predictors of civic participation (Verba et al., 1995). Higher education develops civic skills, expands social networks, and cultivates norms of civic duty (Schlozman et al., 2012). Employment provides organizational skills, access to workplace-based recruitment, and the financial resources that reduce the opportunity cost of volunteering (Musick &amp; Wilson, 2008; Wilson, 2000). These resource pathways are well documented in the volunteering literature (Wilson, 2012).</w:t>
      </w:r>
    </w:p>
    <w:p>
      <w:pPr>
        <w:spacing w:before="0" w:after="0" w:lineRule="auto" w:line="480"/>
        <w:ind w:firstLine="720"/>
        <w:jc w:val="left"/>
      </w:pPr>
      <w:r>
        <w:rPr>
          <w:rFonts w:ascii="Times New Roman" w:hAnsi="Times New Roman" w:cs="Times New Roman"/>
          <w:b w:val="0"/>
          <w:i w:val="0"/>
          <w:sz w:val="24"/>
        </w:rPr>
        <w:t>However, whether these pathways operate with equal strength across generational cohorts has received limited attention. The resource model implicitly assumes that education and employment generate social contacts—through classrooms, campus organizations, and workplaces—that serve as recruitment channels. For generations that came of age in environments rich in face-to-face associational life, this assumption held: attending college exposed students to campus service organizations, and holding a job embedded workers in collegial networks where volunteer requests circulated informally. For Generation Z, these assumptions may be less reliable. If Gen Z's social isolation reflects a shift in how young adults form connections—with digital communication partially substituting for the campus and workplace encounters that older cohorts experienced—then the conventional resource model may overestimate the civic returns of education and employment for this cohort. The foundational social contacts through which resources are converted into civic action may simply be thinner.</w:t>
      </w:r>
    </w:p>
    <w:p>
      <w:pPr>
        <w:spacing w:before="0" w:after="0" w:lineRule="auto" w:line="480"/>
        <w:ind w:firstLine="720"/>
        <w:jc w:val="left"/>
      </w:pPr>
      <w:r>
        <w:rPr>
          <w:rFonts w:ascii="Times New Roman" w:hAnsi="Times New Roman" w:cs="Times New Roman"/>
          <w:b w:val="0"/>
          <w:i w:val="0"/>
          <w:sz w:val="24"/>
        </w:rPr>
        <w:t>We additionally examine civic use of social media as a potential moderating factor. Bennett and Segerberg (2012) theorized the emergence of "connective action"—individualized, digitally mediated civic participation that bypasses traditional organizational structures. The "digital compensation" hypothesis (Norris, 2002) suggests that online civic engagement could partially offset the volunteering deficit produced by social isolation, particularly for digitally native cohorts. If socially isolated individuals use social media for civic purposes (e.g., reading about community issues, sharing information about causes), this digital engagement might maintain awareness of volunteer opportunities and lower barriers to participation, even in the absence of face-to-face recruitment.</w:t>
      </w:r>
    </w:p>
    <w:p>
      <w:pPr>
        <w:spacing w:before="0" w:after="0" w:lineRule="auto" w:line="480"/>
        <w:jc w:val="left"/>
      </w:pPr>
      <w:r>
        <w:rPr>
          <w:rFonts w:ascii="Times New Roman" w:hAnsi="Times New Roman" w:cs="Times New Roman"/>
          <w:b/>
          <w:i w:val="0"/>
          <w:sz w:val="24"/>
        </w:rPr>
        <w:t>The Loneliness Epidemic and Civic Consequences</w:t>
      </w:r>
    </w:p>
    <w:p>
      <w:pPr>
        <w:spacing w:before="0" w:after="0" w:lineRule="auto" w:line="480"/>
        <w:ind w:firstLine="720"/>
        <w:jc w:val="left"/>
      </w:pPr>
      <w:r>
        <w:rPr>
          <w:rFonts w:ascii="Times New Roman" w:hAnsi="Times New Roman" w:cs="Times New Roman"/>
          <w:b w:val="0"/>
          <w:i w:val="0"/>
          <w:sz w:val="24"/>
        </w:rPr>
        <w:t>The Surgeon General's 2023 advisory situated social isolation within a public health framework, documenting associations between social disconnection and increased risk of heart disease, stroke, dementia, and premature mortality (Office of the Surgeon General, 2023). While the advisory focused primarily on health outcomes, it also noted that social isolation "undermines the social infrastructure on which democratic participation depends"—a claim that, to date, has received limited empirical testing in the volunteering context.</w:t>
      </w:r>
    </w:p>
    <w:p>
      <w:pPr>
        <w:spacing w:before="0" w:after="0" w:lineRule="auto" w:line="480"/>
        <w:ind w:firstLine="720"/>
        <w:jc w:val="left"/>
      </w:pPr>
      <w:r>
        <w:rPr>
          <w:rFonts w:ascii="Times New Roman" w:hAnsi="Times New Roman" w:cs="Times New Roman"/>
          <w:b w:val="0"/>
          <w:i w:val="0"/>
          <w:sz w:val="24"/>
        </w:rPr>
        <w:t>Cacioppo and Cacioppo (2014) provided a theoretical bridge between loneliness and civic withdrawal. Their evolutionary model argues that perceived social isolation triggers a cascade of psychological responses: hypervigilance to social threat leads to negative interpretations of ambiguous social cues, which reduces interpersonal trust, which in turn drives further withdrawal from social situations. The cycle is self-reinforcing—each withdrawal reduces the probability of the very encounters that could disconfirm the isolated individual's perception of social threat. In civic terms, this means that the most isolated individuals are the least likely to encounter the recruitment appeals that social capital theory identifies as the primary mechanism for volunteering initiation. This theoretical account predicts that the relationship between social isolation and civic disengagement should be nonlinear: even small reductions in isolation (moving from complete social disconnection to occasional contact) may break the cycle of withdrawal and produce disproportionately large gains in civic participation. This prediction forms the basis for the "First Step Effect" hypothesis tested in this study.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The purpose of this study is to examine the association between in-person socialization frequency and volunteering across generational cohorts using four waves of nationally representative data from the Current Population Survey Civic Engagement and Volunteering Supplement (2017, 2019, 2021, 2023). To move beyond the limitations of any single analytic approach, we employ an integrated design that combines variable-centered regression, person-centered profiling, and machine learning validation. By spanning four waves that bracket the COVID-19 pandemic, this design allows us to distinguish structural cohort effects from pandemic-specific disruptions.</w:t>
      </w:r>
    </w:p>
    <w:p>
      <w:pPr>
        <w:spacing w:before="0" w:after="0" w:lineRule="auto" w:line="480"/>
        <w:ind w:firstLine="720"/>
        <w:jc w:val="left"/>
      </w:pPr>
      <w:r>
        <w:rPr>
          <w:rFonts w:ascii="Times New Roman" w:hAnsi="Times New Roman" w:cs="Times New Roman"/>
          <w:b w:val="0"/>
          <w:i w:val="0"/>
          <w:sz w:val="24"/>
        </w:rPr>
        <w:t>The primary relationship of interest is the association between in-person socialization frequency (independent variable) and volunteering status (dependent variable), moderated by generational cohort. Secondary moderation pathways examine whether education, employment status, civic social media use, and the COVID-19 pandemic condition the socialization–volunteering relationship, and whether these moderating effects differ by generation (three-way interactions). The person-centered component identifies distinct typologies of civic engagement, while the machine learning component validates predictor importance without parametric assumptions.</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socialization–volunteering association at higher socialization levels compared with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socialization–volunteering association,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socialization–volunteering association,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socialization–volunteering association,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socialization–volunteering association will be stable across the pre- and post-COVID periods, consistent with a cohort interpretation rather than a period effect.</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political conversation, in-person socialization, organizational membership, and charitable donation,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ind w:firstLine="720"/>
        <w:jc w:val="left"/>
      </w:pPr>
      <w:r>
        <w:rPr>
          <w:rFonts w:ascii="Times New Roman" w:hAnsi="Times New Roman" w:cs="Times New Roman"/>
          <w:b/>
          <w:i w:val="0"/>
          <w:sz w:val="24"/>
        </w:rPr>
        <w:t>Research Question 3</w:t>
      </w:r>
      <w:r>
        <w:rPr>
          <w:rFonts w:ascii="Times New Roman" w:hAnsi="Times New Roman" w:cs="Times New Roman"/>
          <w:b w:val="0"/>
          <w:i w:val="0"/>
          <w:sz w:val="24"/>
        </w:rPr>
        <w:t xml:space="preserve"> (Predictive Validation): Does machine learning-based variable importance confirm socialization as the dominant predictor of volunteering, and do nonlinear SHAP dependence patterns differ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H6.</w:t>
      </w:r>
      <w:r>
        <w:rPr>
          <w:rFonts w:ascii="Times New Roman" w:hAnsi="Times New Roman" w:cs="Times New Roman"/>
          <w:b w:val="0"/>
          <w:i w:val="0"/>
          <w:sz w:val="24"/>
        </w:rPr>
        <w:t xml:space="preserve"> In-person socialization will be the single most important predictor of volunteering in a gradient boosting model, even when compared against education, income, and age. - </w:t>
      </w:r>
      <w:r>
        <w:rPr>
          <w:rFonts w:ascii="Times New Roman" w:hAnsi="Times New Roman" w:cs="Times New Roman"/>
          <w:b w:val="0"/>
          <w:i/>
          <w:sz w:val="24"/>
        </w:rPr>
        <w:t>H7.</w:t>
      </w:r>
      <w:r>
        <w:rPr>
          <w:rFonts w:ascii="Times New Roman" w:hAnsi="Times New Roman" w:cs="Times New Roman"/>
          <w:b w:val="0"/>
          <w:i w:val="0"/>
          <w:sz w:val="24"/>
        </w:rPr>
        <w:t xml:space="preserve"> SHAP dependence plots will reveal a steeper marginal effect at low socialization levels (1→2 transition) that flattens at higher levels. We term this predicted threshold dynamic the "First Step Effect," capturing the hypothesis that initial social contact produces disproportionate civic returns.</w:t>
      </w:r>
    </w:p>
    <w:p>
      <w:pPr>
        <w:spacing w:before="0" w:after="0" w:lineRule="auto" w:line="480"/>
        <w:ind w:firstLine="720"/>
        <w:jc w:val="left"/>
      </w:pPr>
      <w:r>
        <w:rPr>
          <w:rFonts w:ascii="Times New Roman" w:hAnsi="Times New Roman" w:cs="Times New Roman"/>
          <w:b w:val="0"/>
          <w:i/>
          <w:sz w:val="24"/>
        </w:rPr>
        <w:t>Table 2.</w:t>
      </w:r>
      <w:r>
        <w:rPr>
          <w:rFonts w:ascii="Times New Roman" w:hAnsi="Times New Roman" w:cs="Times New Roman"/>
          <w:b w:val="0"/>
          <w:i w:val="0"/>
          <w:sz w:val="24"/>
        </w:rPr>
        <w:t xml:space="preserve"> Summary of Research Questions and Hypotheses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and in-person socialization frequency across a sample large enough to support subgroup analyses by generation.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validation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 For the GBM analysis, it is entered as a continuous ordinal predictor.</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Respondents were classified into five generational cohorts based on birth year (calculated as survey year minus age): Generation Z (born 1997 or later), Millennials (1981–1996), Generation X (1965–1980), Baby Boomers (1946–1964), and the Silent Generation (born before 1946). Generation Z serves as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theoretically motivated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issues on civic or political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Six indicators were used to construct civic engagement typologies:</w:t>
      </w:r>
    </w:p>
    <w:p>
      <w:pPr>
        <w:spacing w:before="0" w:after="0" w:lineRule="auto" w:line="480"/>
        <w:ind w:firstLine="720"/>
        <w:jc w:val="left"/>
      </w:pPr>
      <w:r>
        <w:rPr>
          <w:rFonts w:ascii="Times New Roman" w:hAnsi="Times New Roman" w:cs="Times New Roman"/>
          <w:b/>
          <w:i w:val="0"/>
          <w:sz w:val="24"/>
        </w:rPr>
        <w:t>Boycotting</w:t>
      </w:r>
      <w:r>
        <w:rPr>
          <w:rFonts w:ascii="Times New Roman" w:hAnsi="Times New Roman" w:cs="Times New Roman"/>
          <w:b w:val="0"/>
          <w:i w:val="0"/>
          <w:sz w:val="24"/>
        </w:rPr>
        <w:t xml:space="preserve"> (CEBOYCOTT): Whether the respondent boycotted a product for social or political reasons (binary). </w:t>
      </w:r>
      <w:r>
        <w:rPr>
          <w:rFonts w:ascii="Times New Roman" w:hAnsi="Times New Roman" w:cs="Times New Roman"/>
          <w:b/>
          <w:i w:val="0"/>
          <w:sz w:val="24"/>
        </w:rPr>
        <w:t>Contacting officials</w:t>
      </w:r>
      <w:r>
        <w:rPr>
          <w:rFonts w:ascii="Times New Roman" w:hAnsi="Times New Roman" w:cs="Times New Roman"/>
          <w:b w:val="0"/>
          <w:i w:val="0"/>
          <w:sz w:val="24"/>
        </w:rPr>
        <w:t xml:space="preserve"> (CEPUBOFF): Whether the respondent contacted a public official (binary). </w:t>
      </w:r>
      <w:r>
        <w:rPr>
          <w:rFonts w:ascii="Times New Roman" w:hAnsi="Times New Roman" w:cs="Times New Roman"/>
          <w:b/>
          <w:i w:val="0"/>
          <w:sz w:val="24"/>
        </w:rPr>
        <w:t>Political conversation</w:t>
      </w:r>
      <w:r>
        <w:rPr>
          <w:rFonts w:ascii="Times New Roman" w:hAnsi="Times New Roman" w:cs="Times New Roman"/>
          <w:b w:val="0"/>
          <w:i w:val="0"/>
          <w:sz w:val="24"/>
        </w:rPr>
        <w:t xml:space="preserve"> (CEPOLCONV): Frequency of discussing politics (ordinal, 1–6). </w:t>
      </w:r>
      <w:r>
        <w:rPr>
          <w:rFonts w:ascii="Times New Roman" w:hAnsi="Times New Roman" w:cs="Times New Roman"/>
          <w:b/>
          <w:i w:val="0"/>
          <w:sz w:val="24"/>
        </w:rPr>
        <w:t>In-person socialization</w:t>
      </w:r>
      <w:r>
        <w:rPr>
          <w:rFonts w:ascii="Times New Roman" w:hAnsi="Times New Roman" w:cs="Times New Roman"/>
          <w:b w:val="0"/>
          <w:i w:val="0"/>
          <w:sz w:val="24"/>
        </w:rPr>
        <w:t xml:space="preserve"> (CESOCIALIZE): Frequency of in-person social contact (ordinal, 1–6). </w:t>
      </w:r>
      <w:r>
        <w:rPr>
          <w:rFonts w:ascii="Times New Roman" w:hAnsi="Times New Roman" w:cs="Times New Roman"/>
          <w:b/>
          <w:i w:val="0"/>
          <w:sz w:val="24"/>
        </w:rPr>
        <w:t>Organizational membership</w:t>
      </w:r>
      <w:r>
        <w:rPr>
          <w:rFonts w:ascii="Times New Roman" w:hAnsi="Times New Roman" w:cs="Times New Roman"/>
          <w:b w:val="0"/>
          <w:i w:val="0"/>
          <w:sz w:val="24"/>
        </w:rPr>
        <w:t xml:space="preserve"> (VLMEMBERN): Number of organizations to which the respondent belongs (count; respondents reporting no membership via VLMEMBER were coded as 0). </w:t>
      </w:r>
      <w:r>
        <w:rPr>
          <w:rFonts w:ascii="Times New Roman" w:hAnsi="Times New Roman" w:cs="Times New Roman"/>
          <w:b/>
          <w:i w:val="0"/>
          <w:sz w:val="24"/>
        </w:rPr>
        <w:t>Charitable donation</w:t>
      </w:r>
      <w:r>
        <w:rPr>
          <w:rFonts w:ascii="Times New Roman" w:hAnsi="Times New Roman" w:cs="Times New Roman"/>
          <w:b w:val="0"/>
          <w:i w:val="0"/>
          <w:sz w:val="24"/>
        </w:rPr>
        <w:t xml:space="preserve"> (VLDONATE): Whether the respondent donated to a charitable or religious organization (binary).</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This set captures multiple dimensions of civic life—political action, social connection, institutional membership, and philanthropic behavior—enabling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(White non-Hispanic [reference], Black non-Hispanic, Hispanic, Asian non-Hispanic,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three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across the pandemic period.</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To address RQ2, we employ Latent Profile Analysis (LPA) to identify distinct civic engagement typologies using six standardized indicators from the pooled four-wave sample. LPA is a model-based clustering technique that identifies subgroups of individuals with similar patterns across multiple indicators (Collins &amp; Lanza, 2010; Muthén &amp; Muthén, 2000). We evaluate models with 2–7 profiles using varying variances and zero covariances (Vermunt &amp; Magidson, 2002), selecting the optimal number based on Bayesian Information Criterion (BIC), entropy, and Bootstrap Likelihood Ratio Test (BLRT). Given the large sample size (</w:t>
      </w:r>
      <w:r>
        <w:rPr>
          <w:rFonts w:ascii="Times New Roman" w:hAnsi="Times New Roman" w:cs="Times New Roman"/>
          <w:b w:val="0"/>
          <w:i/>
          <w:sz w:val="24"/>
        </w:rPr>
        <w:t>N</w:t>
      </w:r>
      <w:r>
        <w:rPr>
          <w:rFonts w:ascii="Times New Roman" w:hAnsi="Times New Roman" w:cs="Times New Roman"/>
          <w:b w:val="0"/>
          <w:i w:val="0"/>
          <w:sz w:val="24"/>
        </w:rPr>
        <w:t xml:space="preserve"> &gt; 200,000), initial model selection is conducted on a random subsample of 20,000 cases, with the selected model refit to the full sample.</w:t>
      </w:r>
    </w:p>
    <w:p>
      <w:pPr>
        <w:spacing w:before="0" w:after="0" w:lineRule="auto" w:line="480"/>
        <w:ind w:firstLine="720"/>
        <w:jc w:val="left"/>
      </w:pPr>
      <w:r>
        <w:rPr>
          <w:rFonts w:ascii="Times New Roman" w:hAnsi="Times New Roman" w:cs="Times New Roman"/>
          <w:b w:val="0"/>
          <w:i w:val="0"/>
          <w:sz w:val="24"/>
        </w:rPr>
        <w:t>After identifying profiles, we characterize each by its indicator means on the original scale, examine the generational distribution across profiles, compare volunteering rates by profile and generation, and assess whether profile distributions shifted between pre- and post-COVID periods.</w:t>
      </w:r>
    </w:p>
    <w:p>
      <w:pPr>
        <w:spacing w:before="0" w:after="0" w:lineRule="auto" w:line="480"/>
        <w:jc w:val="left"/>
      </w:pPr>
      <w:r>
        <w:rPr>
          <w:rFonts w:ascii="Times New Roman" w:hAnsi="Times New Roman" w:cs="Times New Roman"/>
          <w:b/>
          <w:i/>
          <w:sz w:val="24"/>
        </w:rPr>
        <w:t>Stage 3: Gradient Boosting with TreeSHAP (RQ3)</w:t>
      </w:r>
    </w:p>
    <w:p>
      <w:pPr>
        <w:spacing w:before="0" w:after="0" w:lineRule="auto" w:line="480"/>
        <w:ind w:firstLine="720"/>
        <w:jc w:val="left"/>
      </w:pPr>
      <w:r>
        <w:rPr>
          <w:rFonts w:ascii="Times New Roman" w:hAnsi="Times New Roman" w:cs="Times New Roman"/>
          <w:b w:val="0"/>
          <w:i w:val="0"/>
          <w:sz w:val="24"/>
        </w:rPr>
        <w:t>To address RQ3, we train an XGBoost gradient boosting classifier (Friedman, 2001) predicting volunteering from the same predictors used in the regression models, including post-COVID as a feature. This nonparametric approach makes no assumptions about functional form, automatically captures interactions, and provides a complementary test of predictor importance. Model performance is evaluated using AUC on a held-out test set (20% split).</w:t>
      </w:r>
    </w:p>
    <w:p>
      <w:pPr>
        <w:spacing w:before="0" w:after="0" w:lineRule="auto" w:line="480"/>
        <w:ind w:firstLine="720"/>
        <w:jc w:val="left"/>
      </w:pPr>
      <w:r>
        <w:rPr>
          <w:rFonts w:ascii="Times New Roman" w:hAnsi="Times New Roman" w:cs="Times New Roman"/>
          <w:b w:val="0"/>
          <w:i w:val="0"/>
          <w:sz w:val="24"/>
        </w:rPr>
        <w:t>Feature importance is decomposed using TreeSHAP (Lundberg &amp; Lee, 2017; Lundberg et al., 2020), which assigns each predictor a Shapley value representing its marginal contribution to each prediction. We report mean |SHAP| values for the full sample and by generation, and generate dependence plots for socialization that reveal threshold effects. This validates whether the patterns observed in the parametric regression—particularly the First Step Effect and generational variation—are also captured by a nonlinear model without imposed interaction structure.</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sz w:val="24"/>
        </w:rPr>
        <w:t>All regression analyses were conducted in R (version 4.4.x) using the `survey` package (Lumley, 2020) for design-based estimation and the `marginaleffects` package (Arel-Bundock, 2023) for AME computation. LPA was estimated using the `mclust` package (Scrucca et al., 2016). XGBoost models were trained in Python (version 3.11) using the `xgboost` library (Chen &amp; Guestrin, 2016) with learning rate = 0.05, max depth = 6, 500 boosting rounds, and L2 regularization (lambda = 1.0). The train/test split was stratified by the outcome variable (80/20). SHAP values were computed using the `shap` library (Lundberg et al., 2020).</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Three sets of robustness analyses tested the sensitivity of the regression findings. First, we compared the observed categorical AMEs to predictions from a smooth log-linear specification to confirm that the First Step Effect reflects a genuine threshold rather than an artifact of scale concavity. Second, we added organizational membership (VLMEMBERN) as a covariate to assess the extent to which the socialization pathway operates through institutional embeddedness. Third, we included a nonlinear age control (age-squared)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The analytic sample comprised 201,168 respondents pooled across four CPS-CEV waves (2017, 2019, 2021, 2023), with an overall volunteering rate of 32.0%.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21.1 years), least educated (14.3% BA+), and least married (9.6%). The socialization gradient was steep: nearly half of Gen Z respondents (46.3%) reported socializing no more than a few times per year, compared with 19.0% of Boomers—a rate that was stable across all four waves (range: 44.6–47.8%), indicating that Gen Z's social disconnection preceded the COVID-19 pandemic and was independent of it. The generational contrast is not merely statistical: nearly half of the youngest adult cohort in a nationally representative sample reports that their face-to-face social contact amounts to no more than a few encounters per year—a level of isolation that, for older generations, characterizes fewer than one in five respondents.</w:t>
      </w:r>
    </w:p>
    <w:p>
      <w:pPr>
        <w:spacing w:before="240" w:after="80" w:lineRule="auto" w:line="480"/>
        <w:jc w:val="left"/>
      </w:pPr>
      <w:r>
        <w:rPr>
          <w:rFonts w:ascii="Times New Roman" w:hAnsi="Times New Roman" w:cs="Times New Roman"/>
          <w:b/>
          <w:i/>
          <w:sz w:val="24"/>
        </w:rPr>
        <w:t>Table 1</w:t>
      </w:r>
      <w:r>
        <w:rPr>
          <w:rFonts w:ascii="Times New Roman" w:hAnsi="Times New Roman" w:cs="Times New Roman"/>
          <w:b w:val="0"/>
          <w:i/>
          <w:sz w:val="24"/>
        </w:rPr>
        <w:br/>
        <w:t>Sample Characteristics by Generational Cohort (CPS-CEV 2017–2023, N = 201,168)</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Rule="auto" w:line="240"/>
              <w:jc w:val="center"/>
            </w:pPr>
            <w:r/>
            <w:r>
              <w:rPr>
                <w:rFonts w:ascii="Times New Roman" w:hAnsi="Times New Roman" w:cs="Times New Roman"/>
                <w:b/>
                <w:i w:val="0"/>
                <w:sz w:val="20"/>
              </w:rPr>
              <w:t>Generation</w:t>
            </w:r>
          </w:p>
        </w:tc>
        <w:tc>
          <w:tcPr>
            <w:tcW w:type="dxa" w:w="1170"/>
          </w:tcPr>
          <w:p>
            <w:pPr>
              <w:spacing w:before="0" w:after="0" w:lineRule="auto" w:line="240"/>
              <w:jc w:val="center"/>
            </w:pPr>
            <w:r/>
            <w:r>
              <w:rPr>
                <w:rFonts w:ascii="Times New Roman" w:hAnsi="Times New Roman" w:cs="Times New Roman"/>
                <w:b/>
                <w:i w:val="0"/>
                <w:sz w:val="20"/>
              </w:rPr>
              <w:t>N</w:t>
            </w:r>
          </w:p>
        </w:tc>
        <w:tc>
          <w:tcPr>
            <w:tcW w:type="dxa" w:w="1170"/>
          </w:tcPr>
          <w:p>
            <w:pPr>
              <w:spacing w:before="0" w:after="0" w:lineRule="auto" w:line="240"/>
              <w:jc w:val="center"/>
            </w:pPr>
            <w:r/>
            <w:r>
              <w:rPr>
                <w:rFonts w:ascii="Times New Roman" w:hAnsi="Times New Roman" w:cs="Times New Roman"/>
                <w:b/>
                <w:i w:val="0"/>
                <w:sz w:val="20"/>
              </w:rPr>
              <w:t>Age (M)</w:t>
            </w:r>
          </w:p>
        </w:tc>
        <w:tc>
          <w:tcPr>
            <w:tcW w:type="dxa" w:w="1170"/>
          </w:tcPr>
          <w:p>
            <w:pPr>
              <w:spacing w:before="0" w:after="0" w:lineRule="auto" w:line="240"/>
              <w:jc w:val="center"/>
            </w:pPr>
            <w:r/>
            <w:r>
              <w:rPr>
                <w:rFonts w:ascii="Times New Roman" w:hAnsi="Times New Roman" w:cs="Times New Roman"/>
                <w:b/>
                <w:i w:val="0"/>
                <w:sz w:val="20"/>
              </w:rPr>
              <w:t>Female (%)</w:t>
            </w:r>
          </w:p>
        </w:tc>
        <w:tc>
          <w:tcPr>
            <w:tcW w:type="dxa" w:w="1170"/>
          </w:tcPr>
          <w:p>
            <w:pPr>
              <w:spacing w:before="0" w:after="0" w:lineRule="auto" w:line="240"/>
              <w:jc w:val="center"/>
            </w:pPr>
            <w:r/>
            <w:r>
              <w:rPr>
                <w:rFonts w:ascii="Times New Roman" w:hAnsi="Times New Roman" w:cs="Times New Roman"/>
                <w:b/>
                <w:i w:val="0"/>
                <w:sz w:val="20"/>
              </w:rPr>
              <w:t>BA+ (%)</w:t>
            </w:r>
          </w:p>
        </w:tc>
        <w:tc>
          <w:tcPr>
            <w:tcW w:type="dxa" w:w="1170"/>
          </w:tcPr>
          <w:p>
            <w:pPr>
              <w:spacing w:before="0" w:after="0" w:lineRule="auto" w:line="240"/>
              <w:jc w:val="center"/>
            </w:pPr>
            <w:r/>
            <w:r>
              <w:rPr>
                <w:rFonts w:ascii="Times New Roman" w:hAnsi="Times New Roman" w:cs="Times New Roman"/>
                <w:b/>
                <w:i w:val="0"/>
                <w:sz w:val="20"/>
              </w:rPr>
              <w:t>Vol. Rate (%)</w:t>
            </w:r>
          </w:p>
        </w:tc>
        <w:tc>
          <w:tcPr>
            <w:tcW w:type="dxa" w:w="1170"/>
          </w:tcPr>
          <w:p>
            <w:pPr>
              <w:spacing w:before="0" w:after="0" w:lineRule="auto" w:line="240"/>
              <w:jc w:val="center"/>
            </w:pPr>
            <w:r/>
            <w:r>
              <w:rPr>
                <w:rFonts w:ascii="Times New Roman" w:hAnsi="Times New Roman" w:cs="Times New Roman"/>
                <w:b/>
                <w:i w:val="0"/>
                <w:sz w:val="20"/>
              </w:rPr>
              <w:t>Soc. (M)</w:t>
            </w:r>
          </w:p>
        </w:tc>
        <w:tc>
          <w:tcPr>
            <w:tcW w:type="dxa" w:w="1170"/>
          </w:tcPr>
          <w:p>
            <w:pPr>
              <w:spacing w:before="0" w:after="0" w:lineRule="auto" w:line="240"/>
              <w:jc w:val="center"/>
            </w:pPr>
            <w:r/>
            <w:r>
              <w:rPr>
                <w:rFonts w:ascii="Times New Roman" w:hAnsi="Times New Roman" w:cs="Times New Roman"/>
                <w:b/>
                <w:i w:val="0"/>
                <w:sz w:val="20"/>
              </w:rPr>
              <w:t>Min. Soc. (%)</w:t>
            </w:r>
          </w:p>
        </w:tc>
      </w:tr>
      <w:tr>
        <w:tc>
          <w:tcPr>
            <w:tcW w:type="dxa" w:w="1170"/>
          </w:tcPr>
          <w:p>
            <w:pPr>
              <w:spacing w:before="0" w:after="0" w:lineRule="auto" w:line="240"/>
              <w:jc w:val="left"/>
            </w:pPr>
            <w:r/>
            <w:r>
              <w:rPr>
                <w:rFonts w:ascii="Times New Roman" w:hAnsi="Times New Roman" w:cs="Times New Roman"/>
                <w:b w:val="0"/>
                <w:i w:val="0"/>
                <w:sz w:val="20"/>
              </w:rPr>
              <w:t>Gen Z</w:t>
            </w:r>
          </w:p>
        </w:tc>
        <w:tc>
          <w:tcPr>
            <w:tcW w:type="dxa" w:w="1170"/>
          </w:tcPr>
          <w:p>
            <w:pPr>
              <w:spacing w:before="0" w:after="0" w:lineRule="auto" w:line="240"/>
              <w:jc w:val="center"/>
            </w:pPr>
            <w:r/>
            <w:r>
              <w:rPr>
                <w:rFonts w:ascii="Times New Roman" w:hAnsi="Times New Roman" w:cs="Times New Roman"/>
                <w:b w:val="0"/>
                <w:i w:val="0"/>
                <w:sz w:val="20"/>
              </w:rPr>
              <w:t>11,038</w:t>
            </w:r>
          </w:p>
        </w:tc>
        <w:tc>
          <w:tcPr>
            <w:tcW w:type="dxa" w:w="1170"/>
          </w:tcPr>
          <w:p>
            <w:pPr>
              <w:spacing w:before="0" w:after="0" w:lineRule="auto" w:line="240"/>
              <w:jc w:val="center"/>
            </w:pPr>
            <w:r/>
            <w:r>
              <w:rPr>
                <w:rFonts w:ascii="Times New Roman" w:hAnsi="Times New Roman" w:cs="Times New Roman"/>
                <w:b w:val="0"/>
                <w:i w:val="0"/>
                <w:sz w:val="20"/>
              </w:rPr>
              <w:t>21.1</w:t>
            </w:r>
          </w:p>
        </w:tc>
        <w:tc>
          <w:tcPr>
            <w:tcW w:type="dxa" w:w="1170"/>
          </w:tcPr>
          <w:p>
            <w:pPr>
              <w:spacing w:before="0" w:after="0" w:lineRule="auto" w:line="240"/>
              <w:jc w:val="center"/>
            </w:pPr>
            <w:r/>
            <w:r>
              <w:rPr>
                <w:rFonts w:ascii="Times New Roman" w:hAnsi="Times New Roman" w:cs="Times New Roman"/>
                <w:b w:val="0"/>
                <w:i w:val="0"/>
                <w:sz w:val="20"/>
              </w:rPr>
              <w:t>49.9</w:t>
            </w:r>
          </w:p>
        </w:tc>
        <w:tc>
          <w:tcPr>
            <w:tcW w:type="dxa" w:w="1170"/>
          </w:tcPr>
          <w:p>
            <w:pPr>
              <w:spacing w:before="0" w:after="0" w:lineRule="auto" w:line="240"/>
              <w:jc w:val="center"/>
            </w:pPr>
            <w:r/>
            <w:r>
              <w:rPr>
                <w:rFonts w:ascii="Times New Roman" w:hAnsi="Times New Roman" w:cs="Times New Roman"/>
                <w:b w:val="0"/>
                <w:i w:val="0"/>
                <w:sz w:val="20"/>
              </w:rPr>
              <w:t>14.3</w:t>
            </w:r>
          </w:p>
        </w:tc>
        <w:tc>
          <w:tcPr>
            <w:tcW w:type="dxa" w:w="1170"/>
          </w:tcPr>
          <w:p>
            <w:pPr>
              <w:spacing w:before="0" w:after="0" w:lineRule="auto" w:line="240"/>
              <w:jc w:val="center"/>
            </w:pPr>
            <w:r/>
            <w:r>
              <w:rPr>
                <w:rFonts w:ascii="Times New Roman" w:hAnsi="Times New Roman" w:cs="Times New Roman"/>
                <w:b w:val="0"/>
                <w:i w:val="0"/>
                <w:sz w:val="20"/>
              </w:rPr>
              <w:t>23.9</w:t>
            </w:r>
          </w:p>
        </w:tc>
        <w:tc>
          <w:tcPr>
            <w:tcW w:type="dxa" w:w="1170"/>
          </w:tcPr>
          <w:p>
            <w:pPr>
              <w:spacing w:before="0" w:after="0" w:lineRule="auto" w:line="240"/>
              <w:jc w:val="center"/>
            </w:pPr>
            <w:r/>
            <w:r>
              <w:rPr>
                <w:rFonts w:ascii="Times New Roman" w:hAnsi="Times New Roman" w:cs="Times New Roman"/>
                <w:b w:val="0"/>
                <w:i w:val="0"/>
                <w:sz w:val="20"/>
              </w:rPr>
              <w:t>3.30</w:t>
            </w:r>
          </w:p>
        </w:tc>
        <w:tc>
          <w:tcPr>
            <w:tcW w:type="dxa" w:w="1170"/>
          </w:tcPr>
          <w:p>
            <w:pPr>
              <w:spacing w:before="0" w:after="0" w:lineRule="auto" w:line="240"/>
              <w:jc w:val="center"/>
            </w:pPr>
            <w:r/>
            <w:r>
              <w:rPr>
                <w:rFonts w:ascii="Times New Roman" w:hAnsi="Times New Roman" w:cs="Times New Roman"/>
                <w:b w:val="0"/>
                <w:i w:val="0"/>
                <w:sz w:val="20"/>
              </w:rPr>
              <w:t>46.3</w:t>
            </w:r>
          </w:p>
        </w:tc>
      </w:tr>
      <w:tr>
        <w:tc>
          <w:tcPr>
            <w:tcW w:type="dxa" w:w="1170"/>
          </w:tcPr>
          <w:p>
            <w:pPr>
              <w:spacing w:before="0" w:after="0" w:lineRule="auto" w:line="240"/>
              <w:jc w:val="left"/>
            </w:pPr>
            <w:r/>
            <w:r>
              <w:rPr>
                <w:rFonts w:ascii="Times New Roman" w:hAnsi="Times New Roman" w:cs="Times New Roman"/>
                <w:b w:val="0"/>
                <w:i w:val="0"/>
                <w:sz w:val="20"/>
              </w:rPr>
              <w:t>Millennial</w:t>
            </w:r>
          </w:p>
        </w:tc>
        <w:tc>
          <w:tcPr>
            <w:tcW w:type="dxa" w:w="1170"/>
          </w:tcPr>
          <w:p>
            <w:pPr>
              <w:spacing w:before="0" w:after="0" w:lineRule="auto" w:line="240"/>
              <w:jc w:val="center"/>
            </w:pPr>
            <w:r/>
            <w:r>
              <w:rPr>
                <w:rFonts w:ascii="Times New Roman" w:hAnsi="Times New Roman" w:cs="Times New Roman"/>
                <w:b w:val="0"/>
                <w:i w:val="0"/>
                <w:sz w:val="20"/>
              </w:rPr>
              <w:t>50,325</w:t>
            </w:r>
          </w:p>
        </w:tc>
        <w:tc>
          <w:tcPr>
            <w:tcW w:type="dxa" w:w="1170"/>
          </w:tcPr>
          <w:p>
            <w:pPr>
              <w:spacing w:before="0" w:after="0" w:lineRule="auto" w:line="240"/>
              <w:jc w:val="center"/>
            </w:pPr>
            <w:r/>
            <w:r>
              <w:rPr>
                <w:rFonts w:ascii="Times New Roman" w:hAnsi="Times New Roman" w:cs="Times New Roman"/>
                <w:b w:val="0"/>
                <w:i w:val="0"/>
                <w:sz w:val="20"/>
              </w:rPr>
              <w:t>31.7</w:t>
            </w:r>
          </w:p>
        </w:tc>
        <w:tc>
          <w:tcPr>
            <w:tcW w:type="dxa" w:w="1170"/>
          </w:tcPr>
          <w:p>
            <w:pPr>
              <w:spacing w:before="0" w:after="0" w:lineRule="auto" w:line="240"/>
              <w:jc w:val="center"/>
            </w:pPr>
            <w:r/>
            <w:r>
              <w:rPr>
                <w:rFonts w:ascii="Times New Roman" w:hAnsi="Times New Roman" w:cs="Times New Roman"/>
                <w:b w:val="0"/>
                <w:i w:val="0"/>
                <w:sz w:val="20"/>
              </w:rPr>
              <w:t>52.3</w:t>
            </w:r>
          </w:p>
        </w:tc>
        <w:tc>
          <w:tcPr>
            <w:tcW w:type="dxa" w:w="1170"/>
          </w:tcPr>
          <w:p>
            <w:pPr>
              <w:spacing w:before="0" w:after="0" w:lineRule="auto" w:line="240"/>
              <w:jc w:val="center"/>
            </w:pPr>
            <w:r/>
            <w:r>
              <w:rPr>
                <w:rFonts w:ascii="Times New Roman" w:hAnsi="Times New Roman" w:cs="Times New Roman"/>
                <w:b w:val="0"/>
                <w:i w:val="0"/>
                <w:sz w:val="20"/>
              </w:rPr>
              <w:t>43.5</w:t>
            </w:r>
          </w:p>
        </w:tc>
        <w:tc>
          <w:tcPr>
            <w:tcW w:type="dxa" w:w="1170"/>
          </w:tcPr>
          <w:p>
            <w:pPr>
              <w:spacing w:before="0" w:after="0" w:lineRule="auto" w:line="240"/>
              <w:jc w:val="center"/>
            </w:pPr>
            <w:r/>
            <w:r>
              <w:rPr>
                <w:rFonts w:ascii="Times New Roman" w:hAnsi="Times New Roman" w:cs="Times New Roman"/>
                <w:b w:val="0"/>
                <w:i w:val="0"/>
                <w:sz w:val="20"/>
              </w:rPr>
              <w:t>31.8</w:t>
            </w:r>
          </w:p>
        </w:tc>
        <w:tc>
          <w:tcPr>
            <w:tcW w:type="dxa" w:w="1170"/>
          </w:tcPr>
          <w:p>
            <w:pPr>
              <w:spacing w:before="0" w:after="0" w:lineRule="auto" w:line="240"/>
              <w:jc w:val="center"/>
            </w:pPr>
            <w:r/>
            <w:r>
              <w:rPr>
                <w:rFonts w:ascii="Times New Roman" w:hAnsi="Times New Roman" w:cs="Times New Roman"/>
                <w:b w:val="0"/>
                <w:i w:val="0"/>
                <w:sz w:val="20"/>
              </w:rPr>
              <w:t>3.62</w:t>
            </w:r>
          </w:p>
        </w:tc>
        <w:tc>
          <w:tcPr>
            <w:tcW w:type="dxa" w:w="1170"/>
          </w:tcPr>
          <w:p>
            <w:pPr>
              <w:spacing w:before="0" w:after="0" w:lineRule="auto" w:line="240"/>
              <w:jc w:val="center"/>
            </w:pPr>
            <w:r/>
            <w:r>
              <w:rPr>
                <w:rFonts w:ascii="Times New Roman" w:hAnsi="Times New Roman" w:cs="Times New Roman"/>
                <w:b w:val="0"/>
                <w:i w:val="0"/>
                <w:sz w:val="20"/>
              </w:rPr>
              <w:t>31.3</w:t>
            </w:r>
          </w:p>
        </w:tc>
      </w:tr>
      <w:tr>
        <w:tc>
          <w:tcPr>
            <w:tcW w:type="dxa" w:w="1170"/>
          </w:tcPr>
          <w:p>
            <w:pPr>
              <w:spacing w:before="0" w:after="0" w:lineRule="auto" w:line="240"/>
              <w:jc w:val="left"/>
            </w:pPr>
            <w:r/>
            <w:r>
              <w:rPr>
                <w:rFonts w:ascii="Times New Roman" w:hAnsi="Times New Roman" w:cs="Times New Roman"/>
                <w:b w:val="0"/>
                <w:i w:val="0"/>
                <w:sz w:val="20"/>
              </w:rPr>
              <w:t>Gen X</w:t>
            </w:r>
          </w:p>
        </w:tc>
        <w:tc>
          <w:tcPr>
            <w:tcW w:type="dxa" w:w="1170"/>
          </w:tcPr>
          <w:p>
            <w:pPr>
              <w:spacing w:before="0" w:after="0" w:lineRule="auto" w:line="240"/>
              <w:jc w:val="center"/>
            </w:pPr>
            <w:r/>
            <w:r>
              <w:rPr>
                <w:rFonts w:ascii="Times New Roman" w:hAnsi="Times New Roman" w:cs="Times New Roman"/>
                <w:b w:val="0"/>
                <w:i w:val="0"/>
                <w:sz w:val="20"/>
              </w:rPr>
              <w:t>48,042</w:t>
            </w:r>
          </w:p>
        </w:tc>
        <w:tc>
          <w:tcPr>
            <w:tcW w:type="dxa" w:w="1170"/>
          </w:tcPr>
          <w:p>
            <w:pPr>
              <w:spacing w:before="0" w:after="0" w:lineRule="auto" w:line="240"/>
              <w:jc w:val="center"/>
            </w:pPr>
            <w:r/>
            <w:r>
              <w:rPr>
                <w:rFonts w:ascii="Times New Roman" w:hAnsi="Times New Roman" w:cs="Times New Roman"/>
                <w:b w:val="0"/>
                <w:i w:val="0"/>
                <w:sz w:val="20"/>
              </w:rPr>
              <w:t>47.2</w:t>
            </w:r>
          </w:p>
        </w:tc>
        <w:tc>
          <w:tcPr>
            <w:tcW w:type="dxa" w:w="1170"/>
          </w:tcPr>
          <w:p>
            <w:pPr>
              <w:spacing w:before="0" w:after="0" w:lineRule="auto" w:line="240"/>
              <w:jc w:val="center"/>
            </w:pPr>
            <w:r/>
            <w:r>
              <w:rPr>
                <w:rFonts w:ascii="Times New Roman" w:hAnsi="Times New Roman" w:cs="Times New Roman"/>
                <w:b w:val="0"/>
                <w:i w:val="0"/>
                <w:sz w:val="20"/>
              </w:rPr>
              <w:t>51.9</w:t>
            </w:r>
          </w:p>
        </w:tc>
        <w:tc>
          <w:tcPr>
            <w:tcW w:type="dxa" w:w="1170"/>
          </w:tcPr>
          <w:p>
            <w:pPr>
              <w:spacing w:before="0" w:after="0" w:lineRule="auto" w:line="240"/>
              <w:jc w:val="center"/>
            </w:pPr>
            <w:r/>
            <w:r>
              <w:rPr>
                <w:rFonts w:ascii="Times New Roman" w:hAnsi="Times New Roman" w:cs="Times New Roman"/>
                <w:b w:val="0"/>
                <w:i w:val="0"/>
                <w:sz w:val="20"/>
              </w:rPr>
              <w:t>40.7</w:t>
            </w:r>
          </w:p>
        </w:tc>
        <w:tc>
          <w:tcPr>
            <w:tcW w:type="dxa" w:w="1170"/>
          </w:tcPr>
          <w:p>
            <w:pPr>
              <w:spacing w:before="0" w:after="0" w:lineRule="auto" w:line="240"/>
              <w:jc w:val="center"/>
            </w:pPr>
            <w:r/>
            <w:r>
              <w:rPr>
                <w:rFonts w:ascii="Times New Roman" w:hAnsi="Times New Roman" w:cs="Times New Roman"/>
                <w:b w:val="0"/>
                <w:i w:val="0"/>
                <w:sz w:val="20"/>
              </w:rPr>
              <w:t>36.8</w:t>
            </w:r>
          </w:p>
        </w:tc>
        <w:tc>
          <w:tcPr>
            <w:tcW w:type="dxa" w:w="1170"/>
          </w:tcPr>
          <w:p>
            <w:pPr>
              <w:spacing w:before="0" w:after="0" w:lineRule="auto" w:line="240"/>
              <w:jc w:val="center"/>
            </w:pPr>
            <w:r/>
            <w:r>
              <w:rPr>
                <w:rFonts w:ascii="Times New Roman" w:hAnsi="Times New Roman" w:cs="Times New Roman"/>
                <w:b w:val="0"/>
                <w:i w:val="0"/>
                <w:sz w:val="20"/>
              </w:rPr>
              <w:t>3.94</w:t>
            </w:r>
          </w:p>
        </w:tc>
        <w:tc>
          <w:tcPr>
            <w:tcW w:type="dxa" w:w="1170"/>
          </w:tcPr>
          <w:p>
            <w:pPr>
              <w:spacing w:before="0" w:after="0" w:lineRule="auto" w:line="240"/>
              <w:jc w:val="center"/>
            </w:pPr>
            <w:r/>
            <w:r>
              <w:rPr>
                <w:rFonts w:ascii="Times New Roman" w:hAnsi="Times New Roman" w:cs="Times New Roman"/>
                <w:b w:val="0"/>
                <w:i w:val="0"/>
                <w:sz w:val="20"/>
              </w:rPr>
              <w:t>23.4</w:t>
            </w:r>
          </w:p>
        </w:tc>
      </w:tr>
      <w:tr>
        <w:tc>
          <w:tcPr>
            <w:tcW w:type="dxa" w:w="1170"/>
          </w:tcPr>
          <w:p>
            <w:pPr>
              <w:spacing w:before="0" w:after="0" w:lineRule="auto" w:line="240"/>
              <w:jc w:val="left"/>
            </w:pPr>
            <w:r/>
            <w:r>
              <w:rPr>
                <w:rFonts w:ascii="Times New Roman" w:hAnsi="Times New Roman" w:cs="Times New Roman"/>
                <w:b w:val="0"/>
                <w:i w:val="0"/>
                <w:sz w:val="20"/>
              </w:rPr>
              <w:t>Boomer</w:t>
            </w:r>
          </w:p>
        </w:tc>
        <w:tc>
          <w:tcPr>
            <w:tcW w:type="dxa" w:w="1170"/>
          </w:tcPr>
          <w:p>
            <w:pPr>
              <w:spacing w:before="0" w:after="0" w:lineRule="auto" w:line="240"/>
              <w:jc w:val="center"/>
            </w:pPr>
            <w:r/>
            <w:r>
              <w:rPr>
                <w:rFonts w:ascii="Times New Roman" w:hAnsi="Times New Roman" w:cs="Times New Roman"/>
                <w:b w:val="0"/>
                <w:i w:val="0"/>
                <w:sz w:val="20"/>
              </w:rPr>
              <w:t>68,065</w:t>
            </w:r>
          </w:p>
        </w:tc>
        <w:tc>
          <w:tcPr>
            <w:tcW w:type="dxa" w:w="1170"/>
          </w:tcPr>
          <w:p>
            <w:pPr>
              <w:spacing w:before="0" w:after="0" w:lineRule="auto" w:line="240"/>
              <w:jc w:val="center"/>
            </w:pPr>
            <w:r/>
            <w:r>
              <w:rPr>
                <w:rFonts w:ascii="Times New Roman" w:hAnsi="Times New Roman" w:cs="Times New Roman"/>
                <w:b w:val="0"/>
                <w:i w:val="0"/>
                <w:sz w:val="20"/>
              </w:rPr>
              <w:t>64.5</w:t>
            </w:r>
          </w:p>
        </w:tc>
        <w:tc>
          <w:tcPr>
            <w:tcW w:type="dxa" w:w="1170"/>
          </w:tcPr>
          <w:p>
            <w:pPr>
              <w:spacing w:before="0" w:after="0" w:lineRule="auto" w:line="240"/>
              <w:jc w:val="center"/>
            </w:pPr>
            <w:r/>
            <w:r>
              <w:rPr>
                <w:rFonts w:ascii="Times New Roman" w:hAnsi="Times New Roman" w:cs="Times New Roman"/>
                <w:b w:val="0"/>
                <w:i w:val="0"/>
                <w:sz w:val="20"/>
              </w:rPr>
              <w:t>53.6</w:t>
            </w:r>
          </w:p>
        </w:tc>
        <w:tc>
          <w:tcPr>
            <w:tcW w:type="dxa" w:w="1170"/>
          </w:tcPr>
          <w:p>
            <w:pPr>
              <w:spacing w:before="0" w:after="0" w:lineRule="auto" w:line="240"/>
              <w:jc w:val="center"/>
            </w:pPr>
            <w:r/>
            <w:r>
              <w:rPr>
                <w:rFonts w:ascii="Times New Roman" w:hAnsi="Times New Roman" w:cs="Times New Roman"/>
                <w:b w:val="0"/>
                <w:i w:val="0"/>
                <w:sz w:val="20"/>
              </w:rPr>
              <w:t>34.2</w:t>
            </w:r>
          </w:p>
        </w:tc>
        <w:tc>
          <w:tcPr>
            <w:tcW w:type="dxa" w:w="1170"/>
          </w:tcPr>
          <w:p>
            <w:pPr>
              <w:spacing w:before="0" w:after="0" w:lineRule="auto" w:line="240"/>
              <w:jc w:val="center"/>
            </w:pPr>
            <w:r/>
            <w:r>
              <w:rPr>
                <w:rFonts w:ascii="Times New Roman" w:hAnsi="Times New Roman" w:cs="Times New Roman"/>
                <w:b w:val="0"/>
                <w:i w:val="0"/>
                <w:sz w:val="20"/>
              </w:rPr>
              <w:t>32.2</w:t>
            </w:r>
          </w:p>
        </w:tc>
        <w:tc>
          <w:tcPr>
            <w:tcW w:type="dxa" w:w="1170"/>
          </w:tcPr>
          <w:p>
            <w:pPr>
              <w:spacing w:before="0" w:after="0" w:lineRule="auto" w:line="240"/>
              <w:jc w:val="center"/>
            </w:pPr>
            <w:r/>
            <w:r>
              <w:rPr>
                <w:rFonts w:ascii="Times New Roman" w:hAnsi="Times New Roman" w:cs="Times New Roman"/>
                <w:b w:val="0"/>
                <w:i w:val="0"/>
                <w:sz w:val="20"/>
              </w:rPr>
              <w:t>4.16</w:t>
            </w:r>
          </w:p>
        </w:tc>
        <w:tc>
          <w:tcPr>
            <w:tcW w:type="dxa" w:w="1170"/>
          </w:tcPr>
          <w:p>
            <w:pPr>
              <w:spacing w:before="0" w:after="0" w:lineRule="auto" w:line="240"/>
              <w:jc w:val="center"/>
            </w:pPr>
            <w:r/>
            <w:r>
              <w:rPr>
                <w:rFonts w:ascii="Times New Roman" w:hAnsi="Times New Roman" w:cs="Times New Roman"/>
                <w:b w:val="0"/>
                <w:i w:val="0"/>
                <w:sz w:val="20"/>
              </w:rPr>
              <w:t>19.0</w:t>
            </w:r>
          </w:p>
        </w:tc>
      </w:tr>
      <w:tr>
        <w:tc>
          <w:tcPr>
            <w:tcW w:type="dxa" w:w="1170"/>
          </w:tcPr>
          <w:p>
            <w:pPr>
              <w:spacing w:before="0" w:after="0" w:lineRule="auto" w:line="240"/>
              <w:jc w:val="left"/>
            </w:pPr>
            <w:r/>
            <w:r>
              <w:rPr>
                <w:rFonts w:ascii="Times New Roman" w:hAnsi="Times New Roman" w:cs="Times New Roman"/>
                <w:b w:val="0"/>
                <w:i w:val="0"/>
                <w:sz w:val="20"/>
              </w:rPr>
              <w:t>Silent</w:t>
            </w:r>
          </w:p>
        </w:tc>
        <w:tc>
          <w:tcPr>
            <w:tcW w:type="dxa" w:w="1170"/>
          </w:tcPr>
          <w:p>
            <w:pPr>
              <w:spacing w:before="0" w:after="0" w:lineRule="auto" w:line="240"/>
              <w:jc w:val="center"/>
            </w:pPr>
            <w:r/>
            <w:r>
              <w:rPr>
                <w:rFonts w:ascii="Times New Roman" w:hAnsi="Times New Roman" w:cs="Times New Roman"/>
                <w:b w:val="0"/>
                <w:i w:val="0"/>
                <w:sz w:val="20"/>
              </w:rPr>
              <w:t>23,698</w:t>
            </w:r>
          </w:p>
        </w:tc>
        <w:tc>
          <w:tcPr>
            <w:tcW w:type="dxa" w:w="1170"/>
          </w:tcPr>
          <w:p>
            <w:pPr>
              <w:spacing w:before="0" w:after="0" w:lineRule="auto" w:line="240"/>
              <w:jc w:val="center"/>
            </w:pPr>
            <w:r/>
            <w:r>
              <w:rPr>
                <w:rFonts w:ascii="Times New Roman" w:hAnsi="Times New Roman" w:cs="Times New Roman"/>
                <w:b w:val="0"/>
                <w:i w:val="0"/>
                <w:sz w:val="20"/>
              </w:rPr>
              <w:t>79.5</w:t>
            </w:r>
          </w:p>
        </w:tc>
        <w:tc>
          <w:tcPr>
            <w:tcW w:type="dxa" w:w="1170"/>
          </w:tcPr>
          <w:p>
            <w:pPr>
              <w:spacing w:before="0" w:after="0" w:lineRule="auto" w:line="240"/>
              <w:jc w:val="center"/>
            </w:pPr>
            <w:r/>
            <w:r>
              <w:rPr>
                <w:rFonts w:ascii="Times New Roman" w:hAnsi="Times New Roman" w:cs="Times New Roman"/>
                <w:b w:val="0"/>
                <w:i w:val="0"/>
                <w:sz w:val="20"/>
              </w:rPr>
              <w:t>57.1</w:t>
            </w:r>
          </w:p>
        </w:tc>
        <w:tc>
          <w:tcPr>
            <w:tcW w:type="dxa" w:w="1170"/>
          </w:tcPr>
          <w:p>
            <w:pPr>
              <w:spacing w:before="0" w:after="0" w:lineRule="auto" w:line="240"/>
              <w:jc w:val="center"/>
            </w:pPr>
            <w:r/>
            <w:r>
              <w:rPr>
                <w:rFonts w:ascii="Times New Roman" w:hAnsi="Times New Roman" w:cs="Times New Roman"/>
                <w:b w:val="0"/>
                <w:i w:val="0"/>
                <w:sz w:val="20"/>
              </w:rPr>
              <w:t>29.0</w:t>
            </w:r>
          </w:p>
        </w:tc>
        <w:tc>
          <w:tcPr>
            <w:tcW w:type="dxa" w:w="1170"/>
          </w:tcPr>
          <w:p>
            <w:pPr>
              <w:spacing w:before="0" w:after="0" w:lineRule="auto" w:line="240"/>
              <w:jc w:val="center"/>
            </w:pPr>
            <w:r/>
            <w:r>
              <w:rPr>
                <w:rFonts w:ascii="Times New Roman" w:hAnsi="Times New Roman" w:cs="Times New Roman"/>
                <w:b w:val="0"/>
                <w:i w:val="0"/>
                <w:sz w:val="20"/>
              </w:rPr>
              <w:t>25.9</w:t>
            </w:r>
          </w:p>
        </w:tc>
        <w:tc>
          <w:tcPr>
            <w:tcW w:type="dxa" w:w="1170"/>
          </w:tcPr>
          <w:p>
            <w:pPr>
              <w:spacing w:before="0" w:after="0" w:lineRule="auto" w:line="240"/>
              <w:jc w:val="center"/>
            </w:pPr>
            <w:r/>
            <w:r>
              <w:rPr>
                <w:rFonts w:ascii="Times New Roman" w:hAnsi="Times New Roman" w:cs="Times New Roman"/>
                <w:b w:val="0"/>
                <w:i w:val="0"/>
                <w:sz w:val="20"/>
              </w:rPr>
              <w:t>4.36</w:t>
            </w:r>
          </w:p>
        </w:tc>
        <w:tc>
          <w:tcPr>
            <w:tcW w:type="dxa" w:w="1170"/>
          </w:tcPr>
          <w:p>
            <w:pPr>
              <w:spacing w:before="0" w:after="0" w:lineRule="auto" w:line="240"/>
              <w:jc w:val="center"/>
            </w:pPr>
            <w:r/>
            <w:r>
              <w:rPr>
                <w:rFonts w:ascii="Times New Roman" w:hAnsi="Times New Roman" w:cs="Times New Roman"/>
                <w:b w:val="0"/>
                <w:i w:val="0"/>
                <w:sz w:val="20"/>
              </w:rPr>
              <w:t>19.5</w:t>
            </w:r>
          </w:p>
        </w:tc>
      </w:tr>
    </w:tbl>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Figure 1 displays the predicted probabilities. Two patterns stand out.</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pred_prob_soc_gen.png"/>
                    <pic:cNvPicPr/>
                  </pic:nvPicPr>
                  <pic:blipFill>
                    <a:blip r:embed="rId9"/>
                    <a:stretch>
                      <a:fillRect/>
                    </a:stretch>
                  </pic:blipFill>
                  <pic:spPr>
                    <a:xfrm>
                      <a:off x="0" y="0"/>
                      <a:ext cx="5029200" cy="33528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Predicted probability of volunteering by in-person socialization frequency and generation, from survey-weighted logistic regression (Model 1). Shaded bands represent 95% confidence intervals. The steep initial rise illustrates the First Step Effect; Gen Z's flattening beyond moderate socialization illustrates the generational plateau.</w:t>
      </w:r>
    </w:p>
    <w:p>
      <w:pPr>
        <w:spacing w:before="0" w:after="0" w:lineRule="auto" w:line="480"/>
        <w:ind w:firstLine="720"/>
        <w:jc w:val="left"/>
      </w:pPr>
      <w:r>
        <w:rPr>
          <w:rFonts w:ascii="Times New Roman" w:hAnsi="Times New Roman" w:cs="Times New Roman"/>
          <w:b w:val="0"/>
          <w:i w:val="0"/>
          <w:sz w:val="24"/>
        </w:rPr>
        <w:t>The first is a universal threshold. For every generation, the transition from no socialization to minimal socialization (a few times per year) produced the single largest marginal gain in volunteering probability (Table 2). This "First Step" effect ranged from 7.3 percentage points for the Silent Generation to 10.3 points for Gen X, with Gen Z at 8.1 points (95% CI [5.0, 11.2])—comparable in magnitude to the education gradient (BA+ vs. no BA). Subsequent transitions yielded progressively smaller gains, following a concave dose–response pattern: the move from isolation to minimal contact is worth roughly as much, in terms of volunteering probability,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embeddedness—but a substantial independent association remained.</w:t>
      </w:r>
    </w:p>
    <w:p>
      <w:pPr>
        <w:spacing w:before="240" w:after="80" w:lineRule="auto" w:line="480"/>
        <w:jc w:val="left"/>
      </w:pPr>
      <w:r>
        <w:rPr>
          <w:rFonts w:ascii="Times New Roman" w:hAnsi="Times New Roman" w:cs="Times New Roman"/>
          <w:b/>
          <w:i/>
          <w:sz w:val="24"/>
        </w:rPr>
        <w:t>Table 2</w:t>
      </w:r>
      <w:r>
        <w:rPr>
          <w:rFonts w:ascii="Times New Roman" w:hAnsi="Times New Roman" w:cs="Times New Roman"/>
          <w:b w:val="0"/>
          <w:i/>
          <w:sz w:val="24"/>
        </w:rPr>
        <w:br/>
        <w:t>First Step Effect: Average Marginal Effects for the Transition From No Socialization to Minimal Socialization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Rule="auto" w:line="240"/>
              <w:jc w:val="center"/>
            </w:pPr>
            <w:r/>
            <w:r>
              <w:rPr>
                <w:rFonts w:ascii="Times New Roman" w:hAnsi="Times New Roman" w:cs="Times New Roman"/>
                <w:b/>
                <w:i w:val="0"/>
                <w:sz w:val="20"/>
              </w:rPr>
              <w:t>Generation</w:t>
            </w:r>
          </w:p>
        </w:tc>
        <w:tc>
          <w:tcPr>
            <w:tcW w:type="dxa" w:w="1872"/>
          </w:tcPr>
          <w:p>
            <w:pPr>
              <w:spacing w:before="0" w:after="0" w:lineRule="auto" w:line="240"/>
              <w:jc w:val="center"/>
            </w:pPr>
            <w:r/>
            <w:r>
              <w:rPr>
                <w:rFonts w:ascii="Times New Roman" w:hAnsi="Times New Roman" w:cs="Times New Roman"/>
                <w:b/>
                <w:i w:val="0"/>
                <w:sz w:val="20"/>
              </w:rPr>
              <w:t>AME (pp)</w:t>
            </w:r>
          </w:p>
        </w:tc>
        <w:tc>
          <w:tcPr>
            <w:tcW w:type="dxa" w:w="1872"/>
          </w:tcPr>
          <w:p>
            <w:pPr>
              <w:spacing w:before="0" w:after="0" w:lineRule="auto" w:line="240"/>
              <w:jc w:val="center"/>
            </w:pPr>
            <w:r/>
            <w:r>
              <w:rPr>
                <w:rFonts w:ascii="Times New Roman" w:hAnsi="Times New Roman" w:cs="Times New Roman"/>
                <w:b/>
                <w:i w:val="0"/>
                <w:sz w:val="20"/>
              </w:rPr>
              <w:t>95% CI Lower</w:t>
            </w:r>
          </w:p>
        </w:tc>
        <w:tc>
          <w:tcPr>
            <w:tcW w:type="dxa" w:w="1872"/>
          </w:tcPr>
          <w:p>
            <w:pPr>
              <w:spacing w:before="0" w:after="0" w:lineRule="auto" w:line="240"/>
              <w:jc w:val="center"/>
            </w:pPr>
            <w:r/>
            <w:r>
              <w:rPr>
                <w:rFonts w:ascii="Times New Roman" w:hAnsi="Times New Roman" w:cs="Times New Roman"/>
                <w:b/>
                <w:i w:val="0"/>
                <w:sz w:val="20"/>
              </w:rPr>
              <w:t>95% CI Upper</w:t>
            </w:r>
          </w:p>
        </w:tc>
        <w:tc>
          <w:tcPr>
            <w:tcW w:type="dxa" w:w="1872"/>
          </w:tcPr>
          <w:p>
            <w:pPr>
              <w:spacing w:before="0" w:after="0" w:lineRule="auto" w:line="240"/>
              <w:jc w:val="center"/>
            </w:pPr>
            <w:r/>
            <w:r>
              <w:rPr>
                <w:rFonts w:ascii="Times New Roman" w:hAnsi="Times New Roman" w:cs="Times New Roman"/>
                <w:b/>
                <w:i w:val="0"/>
                <w:sz w:val="20"/>
              </w:rPr>
              <w:t>p</w:t>
            </w:r>
          </w:p>
        </w:tc>
      </w:tr>
      <w:tr>
        <w:tc>
          <w:tcPr>
            <w:tcW w:type="dxa" w:w="1872"/>
          </w:tcPr>
          <w:p>
            <w:pPr>
              <w:spacing w:before="0" w:after="0" w:lineRule="auto" w:line="240"/>
              <w:jc w:val="left"/>
            </w:pPr>
            <w:r/>
            <w:r>
              <w:rPr>
                <w:rFonts w:ascii="Times New Roman" w:hAnsi="Times New Roman" w:cs="Times New Roman"/>
                <w:b w:val="0"/>
                <w:i w:val="0"/>
                <w:sz w:val="20"/>
              </w:rPr>
              <w:t>Gen Z</w:t>
            </w:r>
          </w:p>
        </w:tc>
        <w:tc>
          <w:tcPr>
            <w:tcW w:type="dxa" w:w="1872"/>
          </w:tcPr>
          <w:p>
            <w:pPr>
              <w:spacing w:before="0" w:after="0" w:lineRule="auto" w:line="240"/>
              <w:jc w:val="center"/>
            </w:pPr>
            <w:r/>
            <w:r>
              <w:rPr>
                <w:rFonts w:ascii="Times New Roman" w:hAnsi="Times New Roman" w:cs="Times New Roman"/>
                <w:b w:val="0"/>
                <w:i w:val="0"/>
                <w:sz w:val="20"/>
              </w:rPr>
              <w:t>8.1</w:t>
            </w:r>
          </w:p>
        </w:tc>
        <w:tc>
          <w:tcPr>
            <w:tcW w:type="dxa" w:w="1872"/>
          </w:tcPr>
          <w:p>
            <w:pPr>
              <w:spacing w:before="0" w:after="0" w:lineRule="auto" w:line="240"/>
              <w:jc w:val="center"/>
            </w:pPr>
            <w:r/>
            <w:r>
              <w:rPr>
                <w:rFonts w:ascii="Times New Roman" w:hAnsi="Times New Roman" w:cs="Times New Roman"/>
                <w:b w:val="0"/>
                <w:i w:val="0"/>
                <w:sz w:val="20"/>
              </w:rPr>
              <w:t>5.0</w:t>
            </w:r>
          </w:p>
        </w:tc>
        <w:tc>
          <w:tcPr>
            <w:tcW w:type="dxa" w:w="1872"/>
          </w:tcPr>
          <w:p>
            <w:pPr>
              <w:spacing w:before="0" w:after="0" w:lineRule="auto" w:line="240"/>
              <w:jc w:val="center"/>
            </w:pPr>
            <w:r/>
            <w:r>
              <w:rPr>
                <w:rFonts w:ascii="Times New Roman" w:hAnsi="Times New Roman" w:cs="Times New Roman"/>
                <w:b w:val="0"/>
                <w:i w:val="0"/>
                <w:sz w:val="20"/>
              </w:rPr>
              <w:t>11.2</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Millennial</w:t>
            </w:r>
          </w:p>
        </w:tc>
        <w:tc>
          <w:tcPr>
            <w:tcW w:type="dxa" w:w="1872"/>
          </w:tcPr>
          <w:p>
            <w:pPr>
              <w:spacing w:before="0" w:after="0" w:lineRule="auto" w:line="240"/>
              <w:jc w:val="center"/>
            </w:pPr>
            <w:r/>
            <w:r>
              <w:rPr>
                <w:rFonts w:ascii="Times New Roman" w:hAnsi="Times New Roman" w:cs="Times New Roman"/>
                <w:b w:val="0"/>
                <w:i w:val="0"/>
                <w:sz w:val="20"/>
              </w:rPr>
              <w:t>8.0</w:t>
            </w:r>
          </w:p>
        </w:tc>
        <w:tc>
          <w:tcPr>
            <w:tcW w:type="dxa" w:w="1872"/>
          </w:tcPr>
          <w:p>
            <w:pPr>
              <w:spacing w:before="0" w:after="0" w:lineRule="auto" w:line="240"/>
              <w:jc w:val="center"/>
            </w:pPr>
            <w:r/>
            <w:r>
              <w:rPr>
                <w:rFonts w:ascii="Times New Roman" w:hAnsi="Times New Roman" w:cs="Times New Roman"/>
                <w:b w:val="0"/>
                <w:i w:val="0"/>
                <w:sz w:val="20"/>
              </w:rPr>
              <w:t>6.5</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Gen X</w:t>
            </w:r>
          </w:p>
        </w:tc>
        <w:tc>
          <w:tcPr>
            <w:tcW w:type="dxa" w:w="1872"/>
          </w:tcPr>
          <w:p>
            <w:pPr>
              <w:spacing w:before="0" w:after="0" w:lineRule="auto" w:line="240"/>
              <w:jc w:val="center"/>
            </w:pPr>
            <w:r/>
            <w:r>
              <w:rPr>
                <w:rFonts w:ascii="Times New Roman" w:hAnsi="Times New Roman" w:cs="Times New Roman"/>
                <w:b w:val="0"/>
                <w:i w:val="0"/>
                <w:sz w:val="20"/>
              </w:rPr>
              <w:t>10.3</w:t>
            </w:r>
          </w:p>
        </w:tc>
        <w:tc>
          <w:tcPr>
            <w:tcW w:type="dxa" w:w="1872"/>
          </w:tcPr>
          <w:p>
            <w:pPr>
              <w:spacing w:before="0" w:after="0" w:lineRule="auto" w:line="240"/>
              <w:jc w:val="center"/>
            </w:pPr>
            <w:r/>
            <w:r>
              <w:rPr>
                <w:rFonts w:ascii="Times New Roman" w:hAnsi="Times New Roman" w:cs="Times New Roman"/>
                <w:b w:val="0"/>
                <w:i w:val="0"/>
                <w:sz w:val="20"/>
              </w:rPr>
              <w:t>8.6</w:t>
            </w:r>
          </w:p>
        </w:tc>
        <w:tc>
          <w:tcPr>
            <w:tcW w:type="dxa" w:w="1872"/>
          </w:tcPr>
          <w:p>
            <w:pPr>
              <w:spacing w:before="0" w:after="0" w:lineRule="auto" w:line="240"/>
              <w:jc w:val="center"/>
            </w:pPr>
            <w:r/>
            <w:r>
              <w:rPr>
                <w:rFonts w:ascii="Times New Roman" w:hAnsi="Times New Roman" w:cs="Times New Roman"/>
                <w:b w:val="0"/>
                <w:i w:val="0"/>
                <w:sz w:val="20"/>
              </w:rPr>
              <w:t>12.0</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Boomer</w:t>
            </w:r>
          </w:p>
        </w:tc>
        <w:tc>
          <w:tcPr>
            <w:tcW w:type="dxa" w:w="1872"/>
          </w:tcPr>
          <w:p>
            <w:pPr>
              <w:spacing w:before="0" w:after="0" w:lineRule="auto" w:line="240"/>
              <w:jc w:val="center"/>
            </w:pPr>
            <w:r/>
            <w:r>
              <w:rPr>
                <w:rFonts w:ascii="Times New Roman" w:hAnsi="Times New Roman" w:cs="Times New Roman"/>
                <w:b w:val="0"/>
                <w:i w:val="0"/>
                <w:sz w:val="20"/>
              </w:rPr>
              <w:t>8.8</w:t>
            </w:r>
          </w:p>
        </w:tc>
        <w:tc>
          <w:tcPr>
            <w:tcW w:type="dxa" w:w="1872"/>
          </w:tcPr>
          <w:p>
            <w:pPr>
              <w:spacing w:before="0" w:after="0" w:lineRule="auto" w:line="240"/>
              <w:jc w:val="center"/>
            </w:pPr>
            <w:r/>
            <w:r>
              <w:rPr>
                <w:rFonts w:ascii="Times New Roman" w:hAnsi="Times New Roman" w:cs="Times New Roman"/>
                <w:b w:val="0"/>
                <w:i w:val="0"/>
                <w:sz w:val="20"/>
              </w:rPr>
              <w:t>7.4</w:t>
            </w:r>
          </w:p>
        </w:tc>
        <w:tc>
          <w:tcPr>
            <w:tcW w:type="dxa" w:w="1872"/>
          </w:tcPr>
          <w:p>
            <w:pPr>
              <w:spacing w:before="0" w:after="0" w:lineRule="auto" w:line="240"/>
              <w:jc w:val="center"/>
            </w:pPr>
            <w:r/>
            <w:r>
              <w:rPr>
                <w:rFonts w:ascii="Times New Roman" w:hAnsi="Times New Roman" w:cs="Times New Roman"/>
                <w:b w:val="0"/>
                <w:i w:val="0"/>
                <w:sz w:val="20"/>
              </w:rPr>
              <w:t>10.1</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Silent</w:t>
            </w:r>
          </w:p>
        </w:tc>
        <w:tc>
          <w:tcPr>
            <w:tcW w:type="dxa" w:w="1872"/>
          </w:tcPr>
          <w:p>
            <w:pPr>
              <w:spacing w:before="0" w:after="0" w:lineRule="auto" w:line="240"/>
              <w:jc w:val="center"/>
            </w:pPr>
            <w:r/>
            <w:r>
              <w:rPr>
                <w:rFonts w:ascii="Times New Roman" w:hAnsi="Times New Roman" w:cs="Times New Roman"/>
                <w:b w:val="0"/>
                <w:i w:val="0"/>
                <w:sz w:val="20"/>
              </w:rPr>
              <w:t>7.3</w:t>
            </w:r>
          </w:p>
        </w:tc>
        <w:tc>
          <w:tcPr>
            <w:tcW w:type="dxa" w:w="1872"/>
          </w:tcPr>
          <w:p>
            <w:pPr>
              <w:spacing w:before="0" w:after="0" w:lineRule="auto" w:line="240"/>
              <w:jc w:val="center"/>
            </w:pPr>
            <w:r/>
            <w:r>
              <w:rPr>
                <w:rFonts w:ascii="Times New Roman" w:hAnsi="Times New Roman" w:cs="Times New Roman"/>
                <w:b w:val="0"/>
                <w:i w:val="0"/>
                <w:sz w:val="20"/>
              </w:rPr>
              <w:t>5.2</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bl>
    <w:p>
      <w:pPr>
        <w:spacing w:before="80" w:after="240" w:lineRule="auto" w:line="480"/>
      </w:pPr>
    </w:p>
    <w:p>
      <w:pPr>
        <w:spacing w:before="0" w:after="0" w:lineRule="auto" w:line="480"/>
        <w:ind w:firstLine="720"/>
        <w:jc w:val="left"/>
      </w:pPr>
      <w:r>
        <w:rPr>
          <w:rFonts w:ascii="Times New Roman" w:hAnsi="Times New Roman" w:cs="Times New Roman"/>
          <w:b w:val="0"/>
          <w:i w:val="0"/>
          <w:sz w:val="24"/>
        </w:rPr>
        <w:t>The second pattern is unique to Gen Z: a plateau. Gen Z's predicted volunteering probability rose sharply from 27.3% at no socialization to 48.4% at a few times per month, then flatlined—reaching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suggesting that low volunteering rates among Gen Z do not reflect weaker civic motivation. The plateau instead suggests that for Gen Z, additional face-to-face contact beyond a moderate threshold is not associated with additional civic recruitment, possibly because the social contexts in which high-frequency Gen Z socialization occurs are decoupled from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finding is theoretically informative: it indicates that digital civic engagement does not compensate for the absence of face-to-face socialization, and it does so uniformly across generations—offering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The temporal stability test was among the most consequential.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above—including the Gen Z plateau—were present before the pandemic and unchanged afterward. The pre-COVID First Step AME for Gen Z (10.7 points, 95% CI [5.8, 15.6]) was comparable to the full-sample estimate, and the overall relationship structure was preserved across periods. This rules out the interpretation that declining youth volunteering is a pandemic artifact; it is a cohort characteristic.</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Person-centered analysis tested whether the regression findings hold when individuals are classified by their full pattern of civic behavior rather than by individual predictors. LPA identified six distinct profiles (Table 3; Figure 2).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80" w:lineRule="auto" w:line="480"/>
        <w:jc w:val="left"/>
      </w:pPr>
      <w:r>
        <w:rPr>
          <w:rFonts w:ascii="Times New Roman" w:hAnsi="Times New Roman" w:cs="Times New Roman"/>
          <w:b/>
          <w:i/>
          <w:sz w:val="24"/>
        </w:rPr>
        <w:t>Table 3</w:t>
      </w:r>
      <w:r>
        <w:rPr>
          <w:rFonts w:ascii="Times New Roman" w:hAnsi="Times New Roman" w:cs="Times New Roman"/>
          <w:b w:val="0"/>
          <w:i/>
          <w:sz w:val="24"/>
        </w:rPr>
        <w:br/>
        <w:t>Latent Profile Characteristics: Indicator Means and Volunteering Rates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Rule="auto" w:line="240"/>
              <w:jc w:val="center"/>
            </w:pPr>
            <w:r/>
            <w:r>
              <w:rPr>
                <w:rFonts w:ascii="Times New Roman" w:hAnsi="Times New Roman" w:cs="Times New Roman"/>
                <w:b/>
                <w:i w:val="0"/>
                <w:sz w:val="20"/>
              </w:rPr>
              <w:t>Profile</w:t>
            </w:r>
          </w:p>
        </w:tc>
        <w:tc>
          <w:tcPr>
            <w:tcW w:type="dxa" w:w="1040"/>
          </w:tcPr>
          <w:p>
            <w:pPr>
              <w:spacing w:before="0" w:after="0" w:lineRule="auto" w:line="240"/>
              <w:jc w:val="center"/>
            </w:pPr>
            <w:r/>
            <w:r>
              <w:rPr>
                <w:rFonts w:ascii="Times New Roman" w:hAnsi="Times New Roman" w:cs="Times New Roman"/>
                <w:b/>
                <w:i w:val="0"/>
                <w:sz w:val="20"/>
              </w:rPr>
              <w:t>% Sample</w:t>
            </w:r>
          </w:p>
        </w:tc>
        <w:tc>
          <w:tcPr>
            <w:tcW w:type="dxa" w:w="1040"/>
          </w:tcPr>
          <w:p>
            <w:pPr>
              <w:spacing w:before="0" w:after="0" w:lineRule="auto" w:line="240"/>
              <w:jc w:val="center"/>
            </w:pPr>
            <w:r/>
            <w:r>
              <w:rPr>
                <w:rFonts w:ascii="Times New Roman" w:hAnsi="Times New Roman" w:cs="Times New Roman"/>
                <w:b/>
                <w:i w:val="0"/>
                <w:sz w:val="20"/>
              </w:rPr>
              <w:t>Boycott (%)</w:t>
            </w:r>
          </w:p>
        </w:tc>
        <w:tc>
          <w:tcPr>
            <w:tcW w:type="dxa" w:w="1040"/>
          </w:tcPr>
          <w:p>
            <w:pPr>
              <w:spacing w:before="0" w:after="0" w:lineRule="auto" w:line="240"/>
              <w:jc w:val="center"/>
            </w:pPr>
            <w:r/>
            <w:r>
              <w:rPr>
                <w:rFonts w:ascii="Times New Roman" w:hAnsi="Times New Roman" w:cs="Times New Roman"/>
                <w:b/>
                <w:i w:val="0"/>
                <w:sz w:val="20"/>
              </w:rPr>
              <w:t>Contact Off. (%)</w:t>
            </w:r>
          </w:p>
        </w:tc>
        <w:tc>
          <w:tcPr>
            <w:tcW w:type="dxa" w:w="1040"/>
          </w:tcPr>
          <w:p>
            <w:pPr>
              <w:spacing w:before="0" w:after="0" w:lineRule="auto" w:line="240"/>
              <w:jc w:val="center"/>
            </w:pPr>
            <w:r/>
            <w:r>
              <w:rPr>
                <w:rFonts w:ascii="Times New Roman" w:hAnsi="Times New Roman" w:cs="Times New Roman"/>
                <w:b/>
                <w:i w:val="0"/>
                <w:sz w:val="20"/>
              </w:rPr>
              <w:t>Pol. Conv. (M)</w:t>
            </w:r>
          </w:p>
        </w:tc>
        <w:tc>
          <w:tcPr>
            <w:tcW w:type="dxa" w:w="1040"/>
          </w:tcPr>
          <w:p>
            <w:pPr>
              <w:spacing w:before="0" w:after="0" w:lineRule="auto" w:line="240"/>
              <w:jc w:val="center"/>
            </w:pPr>
            <w:r/>
            <w:r>
              <w:rPr>
                <w:rFonts w:ascii="Times New Roman" w:hAnsi="Times New Roman" w:cs="Times New Roman"/>
                <w:b/>
                <w:i w:val="0"/>
                <w:sz w:val="20"/>
              </w:rPr>
              <w:t>Socialize (M)</w:t>
            </w:r>
          </w:p>
        </w:tc>
        <w:tc>
          <w:tcPr>
            <w:tcW w:type="dxa" w:w="1040"/>
          </w:tcPr>
          <w:p>
            <w:pPr>
              <w:spacing w:before="0" w:after="0" w:lineRule="auto" w:line="240"/>
              <w:jc w:val="center"/>
            </w:pPr>
            <w:r/>
            <w:r>
              <w:rPr>
                <w:rFonts w:ascii="Times New Roman" w:hAnsi="Times New Roman" w:cs="Times New Roman"/>
                <w:b/>
                <w:i w:val="0"/>
                <w:sz w:val="20"/>
              </w:rPr>
              <w:t>Org. Memb. (M)</w:t>
            </w:r>
          </w:p>
        </w:tc>
        <w:tc>
          <w:tcPr>
            <w:tcW w:type="dxa" w:w="1040"/>
          </w:tcPr>
          <w:p>
            <w:pPr>
              <w:spacing w:before="0" w:after="0" w:lineRule="auto" w:line="240"/>
              <w:jc w:val="center"/>
            </w:pPr>
            <w:r/>
            <w:r>
              <w:rPr>
                <w:rFonts w:ascii="Times New Roman" w:hAnsi="Times New Roman" w:cs="Times New Roman"/>
                <w:b/>
                <w:i w:val="0"/>
                <w:sz w:val="20"/>
              </w:rPr>
              <w:t>Donated (%)</w:t>
            </w:r>
          </w:p>
        </w:tc>
        <w:tc>
          <w:tcPr>
            <w:tcW w:type="dxa" w:w="1040"/>
          </w:tcPr>
          <w:p>
            <w:pPr>
              <w:spacing w:before="0" w:after="0" w:lineRule="auto" w:line="240"/>
              <w:jc w:val="center"/>
            </w:pPr>
            <w:r/>
            <w:r>
              <w:rPr>
                <w:rFonts w:ascii="Times New Roman" w:hAnsi="Times New Roman" w:cs="Times New Roman"/>
                <w:b/>
                <w:i w:val="0"/>
                <w:sz w:val="20"/>
              </w:rPr>
              <w:t>Vol. Rate (%)</w:t>
            </w:r>
          </w:p>
        </w:tc>
      </w:tr>
      <w:tr>
        <w:tc>
          <w:tcPr>
            <w:tcW w:type="dxa" w:w="1040"/>
          </w:tcPr>
          <w:p>
            <w:pPr>
              <w:spacing w:before="0" w:after="0" w:lineRule="auto" w:line="240"/>
              <w:jc w:val="left"/>
            </w:pPr>
            <w:r/>
            <w:r>
              <w:rPr>
                <w:rFonts w:ascii="Times New Roman" w:hAnsi="Times New Roman" w:cs="Times New Roman"/>
                <w:b w:val="0"/>
                <w:i w:val="0"/>
                <w:sz w:val="20"/>
              </w:rPr>
              <w:t>Isolated Disengaged</w:t>
            </w:r>
          </w:p>
        </w:tc>
        <w:tc>
          <w:tcPr>
            <w:tcW w:type="dxa" w:w="1040"/>
          </w:tcPr>
          <w:p>
            <w:pPr>
              <w:spacing w:before="0" w:after="0" w:lineRule="auto" w:line="240"/>
              <w:jc w:val="center"/>
            </w:pPr>
            <w:r/>
            <w:r>
              <w:rPr>
                <w:rFonts w:ascii="Times New Roman" w:hAnsi="Times New Roman" w:cs="Times New Roman"/>
                <w:b w:val="0"/>
                <w:i w:val="0"/>
                <w:sz w:val="20"/>
              </w:rPr>
              <w:t>19.0</w:t>
            </w:r>
          </w:p>
        </w:tc>
        <w:tc>
          <w:tcPr>
            <w:tcW w:type="dxa" w:w="1040"/>
          </w:tcPr>
          <w:p>
            <w:pPr>
              <w:spacing w:before="0" w:after="0" w:lineRule="auto" w:line="240"/>
              <w:jc w:val="center"/>
            </w:pPr>
            <w:r/>
            <w:r>
              <w:rPr>
                <w:rFonts w:ascii="Times New Roman" w:hAnsi="Times New Roman" w:cs="Times New Roman"/>
                <w:b w:val="0"/>
                <w:i w:val="0"/>
                <w:sz w:val="20"/>
              </w:rPr>
              <w:t>1.4</w:t>
            </w:r>
          </w:p>
        </w:tc>
        <w:tc>
          <w:tcPr>
            <w:tcW w:type="dxa" w:w="1040"/>
          </w:tcPr>
          <w:p>
            <w:pPr>
              <w:spacing w:before="0" w:after="0" w:lineRule="auto" w:line="240"/>
              <w:jc w:val="center"/>
            </w:pPr>
            <w:r/>
            <w:r>
              <w:rPr>
                <w:rFonts w:ascii="Times New Roman" w:hAnsi="Times New Roman" w:cs="Times New Roman"/>
                <w:b w:val="0"/>
                <w:i w:val="0"/>
                <w:sz w:val="20"/>
              </w:rPr>
              <w:t>0.7</w:t>
            </w:r>
          </w:p>
        </w:tc>
        <w:tc>
          <w:tcPr>
            <w:tcW w:type="dxa" w:w="1040"/>
          </w:tcPr>
          <w:p>
            <w:pPr>
              <w:spacing w:before="0" w:after="0" w:lineRule="auto" w:line="240"/>
              <w:jc w:val="center"/>
            </w:pPr>
            <w:r/>
            <w:r>
              <w:rPr>
                <w:rFonts w:ascii="Times New Roman" w:hAnsi="Times New Roman" w:cs="Times New Roman"/>
                <w:b w:val="0"/>
                <w:i w:val="0"/>
                <w:sz w:val="20"/>
              </w:rPr>
              <w:t>1.31</w:t>
            </w:r>
          </w:p>
        </w:tc>
        <w:tc>
          <w:tcPr>
            <w:tcW w:type="dxa" w:w="1040"/>
          </w:tcPr>
          <w:p>
            <w:pPr>
              <w:spacing w:before="0" w:after="0" w:lineRule="auto" w:line="240"/>
              <w:jc w:val="center"/>
            </w:pPr>
            <w:r/>
            <w:r>
              <w:rPr>
                <w:rFonts w:ascii="Times New Roman" w:hAnsi="Times New Roman" w:cs="Times New Roman"/>
                <w:b w:val="0"/>
                <w:i w:val="0"/>
                <w:sz w:val="20"/>
              </w:rPr>
              <w:t>1.34</w:t>
            </w:r>
          </w:p>
        </w:tc>
        <w:tc>
          <w:tcPr>
            <w:tcW w:type="dxa" w:w="1040"/>
          </w:tcPr>
          <w:p>
            <w:pPr>
              <w:spacing w:before="0" w:after="0" w:lineRule="auto" w:line="240"/>
              <w:jc w:val="center"/>
            </w:pPr>
            <w:r/>
            <w:r>
              <w:rPr>
                <w:rFonts w:ascii="Times New Roman" w:hAnsi="Times New Roman" w:cs="Times New Roman"/>
                <w:b w:val="0"/>
                <w:i w:val="0"/>
                <w:sz w:val="20"/>
              </w:rPr>
              <w:t>0.08</w:t>
            </w:r>
          </w:p>
        </w:tc>
        <w:tc>
          <w:tcPr>
            <w:tcW w:type="dxa" w:w="1040"/>
          </w:tcPr>
          <w:p>
            <w:pPr>
              <w:spacing w:before="0" w:after="0" w:lineRule="auto" w:line="240"/>
              <w:jc w:val="center"/>
            </w:pPr>
            <w:r/>
            <w:r>
              <w:rPr>
                <w:rFonts w:ascii="Times New Roman" w:hAnsi="Times New Roman" w:cs="Times New Roman"/>
                <w:b w:val="0"/>
                <w:i w:val="0"/>
                <w:sz w:val="20"/>
              </w:rPr>
              <w:t>15.0</w:t>
            </w:r>
          </w:p>
        </w:tc>
        <w:tc>
          <w:tcPr>
            <w:tcW w:type="dxa" w:w="1040"/>
          </w:tcPr>
          <w:p>
            <w:pPr>
              <w:spacing w:before="0" w:after="0" w:lineRule="auto" w:line="240"/>
              <w:jc w:val="center"/>
            </w:pPr>
            <w:r/>
            <w:r>
              <w:rPr>
                <w:rFonts w:ascii="Times New Roman" w:hAnsi="Times New Roman" w:cs="Times New Roman"/>
                <w:b w:val="0"/>
                <w:i w:val="0"/>
                <w:sz w:val="20"/>
              </w:rPr>
              <w:t>9.0</w:t>
            </w:r>
          </w:p>
        </w:tc>
      </w:tr>
      <w:tr>
        <w:tc>
          <w:tcPr>
            <w:tcW w:type="dxa" w:w="1040"/>
          </w:tcPr>
          <w:p>
            <w:pPr>
              <w:spacing w:before="0" w:after="0" w:lineRule="auto" w:line="240"/>
              <w:jc w:val="left"/>
            </w:pPr>
            <w:r/>
            <w:r>
              <w:rPr>
                <w:rFonts w:ascii="Times New Roman" w:hAnsi="Times New Roman" w:cs="Times New Roman"/>
                <w:b w:val="0"/>
                <w:i w:val="0"/>
                <w:sz w:val="20"/>
              </w:rPr>
              <w:t>Politically Aware Isolated</w:t>
            </w:r>
          </w:p>
        </w:tc>
        <w:tc>
          <w:tcPr>
            <w:tcW w:type="dxa" w:w="1040"/>
          </w:tcPr>
          <w:p>
            <w:pPr>
              <w:spacing w:before="0" w:after="0" w:lineRule="auto" w:line="240"/>
              <w:jc w:val="center"/>
            </w:pPr>
            <w:r/>
            <w:r>
              <w:rPr>
                <w:rFonts w:ascii="Times New Roman" w:hAnsi="Times New Roman" w:cs="Times New Roman"/>
                <w:b w:val="0"/>
                <w:i w:val="0"/>
                <w:sz w:val="20"/>
              </w:rPr>
              <w:t>7.1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1.2</w:t>
            </w:r>
          </w:p>
        </w:tc>
        <w:tc>
          <w:tcPr>
            <w:tcW w:type="dxa" w:w="1040"/>
          </w:tcPr>
          <w:p>
            <w:pPr>
              <w:spacing w:before="0" w:after="0" w:lineRule="auto" w:line="240"/>
              <w:jc w:val="center"/>
            </w:pPr>
            <w:r/>
            <w:r>
              <w:rPr>
                <w:rFonts w:ascii="Times New Roman" w:hAnsi="Times New Roman" w:cs="Times New Roman"/>
                <w:b w:val="0"/>
                <w:i w:val="0"/>
                <w:sz w:val="20"/>
              </w:rPr>
              <w:t>4.91</w:t>
            </w:r>
          </w:p>
        </w:tc>
        <w:tc>
          <w:tcPr>
            <w:tcW w:type="dxa" w:w="1040"/>
          </w:tcPr>
          <w:p>
            <w:pPr>
              <w:spacing w:before="0" w:after="0" w:lineRule="auto" w:line="240"/>
              <w:jc w:val="center"/>
            </w:pPr>
            <w:r/>
            <w:r>
              <w:rPr>
                <w:rFonts w:ascii="Times New Roman" w:hAnsi="Times New Roman" w:cs="Times New Roman"/>
                <w:b w:val="0"/>
                <w:i w:val="0"/>
                <w:sz w:val="20"/>
              </w:rPr>
              <w:t>1.51</w:t>
            </w:r>
          </w:p>
        </w:tc>
        <w:tc>
          <w:tcPr>
            <w:tcW w:type="dxa" w:w="1040"/>
          </w:tcPr>
          <w:p>
            <w:pPr>
              <w:spacing w:before="0" w:after="0" w:lineRule="auto" w:line="240"/>
              <w:jc w:val="center"/>
            </w:pPr>
            <w:r/>
            <w:r>
              <w:rPr>
                <w:rFonts w:ascii="Times New Roman" w:hAnsi="Times New Roman" w:cs="Times New Roman"/>
                <w:b w:val="0"/>
                <w:i w:val="0"/>
                <w:sz w:val="20"/>
              </w:rPr>
              <w:t>0.15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11.7</w:t>
            </w:r>
          </w:p>
        </w:tc>
      </w:tr>
      <w:tr>
        <w:tc>
          <w:tcPr>
            <w:tcW w:type="dxa" w:w="1040"/>
          </w:tcPr>
          <w:p>
            <w:pPr>
              <w:spacing w:before="0" w:after="0" w:lineRule="auto" w:line="240"/>
              <w:jc w:val="left"/>
            </w:pPr>
            <w:r/>
            <w:r>
              <w:rPr>
                <w:rFonts w:ascii="Times New Roman" w:hAnsi="Times New Roman" w:cs="Times New Roman"/>
                <w:b w:val="0"/>
                <w:i w:val="0"/>
                <w:sz w:val="20"/>
              </w:rPr>
              <w:t>Socially Active Non-Donors</w:t>
            </w:r>
          </w:p>
        </w:tc>
        <w:tc>
          <w:tcPr>
            <w:tcW w:type="dxa" w:w="1040"/>
          </w:tcPr>
          <w:p>
            <w:pPr>
              <w:spacing w:before="0" w:after="0" w:lineRule="auto" w:line="240"/>
              <w:jc w:val="center"/>
            </w:pPr>
            <w:r/>
            <w:r>
              <w:rPr>
                <w:rFonts w:ascii="Times New Roman" w:hAnsi="Times New Roman" w:cs="Times New Roman"/>
                <w:b w:val="0"/>
                <w:i w:val="0"/>
                <w:sz w:val="20"/>
              </w:rPr>
              <w:t>17.5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0.6</w:t>
            </w:r>
          </w:p>
        </w:tc>
        <w:tc>
          <w:tcPr>
            <w:tcW w:type="dxa" w:w="1040"/>
          </w:tcPr>
          <w:p>
            <w:pPr>
              <w:spacing w:before="0" w:after="0" w:lineRule="auto" w:line="240"/>
              <w:jc w:val="center"/>
            </w:pPr>
            <w:r/>
            <w:r>
              <w:rPr>
                <w:rFonts w:ascii="Times New Roman" w:hAnsi="Times New Roman" w:cs="Times New Roman"/>
                <w:b w:val="0"/>
                <w:i w:val="0"/>
                <w:sz w:val="20"/>
              </w:rPr>
              <w:t>3.15</w:t>
            </w:r>
          </w:p>
        </w:tc>
        <w:tc>
          <w:tcPr>
            <w:tcW w:type="dxa" w:w="1040"/>
          </w:tcPr>
          <w:p>
            <w:pPr>
              <w:spacing w:before="0" w:after="0" w:lineRule="auto" w:line="240"/>
              <w:jc w:val="center"/>
            </w:pPr>
            <w:r/>
            <w:r>
              <w:rPr>
                <w:rFonts w:ascii="Times New Roman" w:hAnsi="Times New Roman" w:cs="Times New Roman"/>
                <w:b w:val="0"/>
                <w:i w:val="0"/>
                <w:sz w:val="20"/>
              </w:rPr>
              <w:t>4.70</w:t>
            </w:r>
          </w:p>
        </w:tc>
        <w:tc>
          <w:tcPr>
            <w:tcW w:type="dxa" w:w="1040"/>
          </w:tcPr>
          <w:p>
            <w:pPr>
              <w:spacing w:before="0" w:after="0" w:lineRule="auto" w:line="240"/>
              <w:jc w:val="center"/>
            </w:pPr>
            <w:r/>
            <w:r>
              <w:rPr>
                <w:rFonts w:ascii="Times New Roman" w:hAnsi="Times New Roman" w:cs="Times New Roman"/>
                <w:b w:val="0"/>
                <w:i w:val="0"/>
                <w:sz w:val="20"/>
              </w:rPr>
              <w:t>0.17</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14.6</w:t>
            </w:r>
          </w:p>
        </w:tc>
      </w:tr>
      <w:tr>
        <w:tc>
          <w:tcPr>
            <w:tcW w:type="dxa" w:w="1040"/>
          </w:tcPr>
          <w:p>
            <w:pPr>
              <w:spacing w:before="0" w:after="0" w:lineRule="auto" w:line="240"/>
              <w:jc w:val="left"/>
            </w:pPr>
            <w:r/>
            <w:r>
              <w:rPr>
                <w:rFonts w:ascii="Times New Roman" w:hAnsi="Times New Roman" w:cs="Times New Roman"/>
                <w:b w:val="0"/>
                <w:i w:val="0"/>
                <w:sz w:val="20"/>
              </w:rPr>
              <w:t>Mainstream Donors</w:t>
            </w:r>
          </w:p>
        </w:tc>
        <w:tc>
          <w:tcPr>
            <w:tcW w:type="dxa" w:w="1040"/>
          </w:tcPr>
          <w:p>
            <w:pPr>
              <w:spacing w:before="0" w:after="0" w:lineRule="auto" w:line="240"/>
              <w:jc w:val="center"/>
            </w:pPr>
            <w:r/>
            <w:r>
              <w:rPr>
                <w:rFonts w:ascii="Times New Roman" w:hAnsi="Times New Roman" w:cs="Times New Roman"/>
                <w:b w:val="0"/>
                <w:i w:val="0"/>
                <w:sz w:val="20"/>
              </w:rPr>
              <w:t>33.1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3.60</w:t>
            </w:r>
          </w:p>
        </w:tc>
        <w:tc>
          <w:tcPr>
            <w:tcW w:type="dxa" w:w="1040"/>
          </w:tcPr>
          <w:p>
            <w:pPr>
              <w:spacing w:before="0" w:after="0" w:lineRule="auto" w:line="240"/>
              <w:jc w:val="center"/>
            </w:pPr>
            <w:r/>
            <w:r>
              <w:rPr>
                <w:rFonts w:ascii="Times New Roman" w:hAnsi="Times New Roman" w:cs="Times New Roman"/>
                <w:b w:val="0"/>
                <w:i w:val="0"/>
                <w:sz w:val="20"/>
              </w:rPr>
              <w:t>3.77</w:t>
            </w:r>
          </w:p>
        </w:tc>
        <w:tc>
          <w:tcPr>
            <w:tcW w:type="dxa" w:w="1040"/>
          </w:tcPr>
          <w:p>
            <w:pPr>
              <w:spacing w:before="0" w:after="0" w:lineRule="auto" w:line="240"/>
              <w:jc w:val="center"/>
            </w:pPr>
            <w:r/>
            <w:r>
              <w:rPr>
                <w:rFonts w:ascii="Times New Roman" w:hAnsi="Times New Roman" w:cs="Times New Roman"/>
                <w:b w:val="0"/>
                <w:i w:val="0"/>
                <w:sz w:val="20"/>
              </w:rPr>
              <w:t>0.71</w:t>
            </w:r>
          </w:p>
        </w:tc>
        <w:tc>
          <w:tcPr>
            <w:tcW w:type="dxa" w:w="1040"/>
          </w:tcPr>
          <w:p>
            <w:pPr>
              <w:spacing w:before="0" w:after="0" w:lineRule="auto" w:line="240"/>
              <w:jc w:val="center"/>
            </w:pPr>
            <w:r/>
            <w:r>
              <w:rPr>
                <w:rFonts w:ascii="Times New Roman" w:hAnsi="Times New Roman" w:cs="Times New Roman"/>
                <w:b w:val="0"/>
                <w:i w:val="0"/>
                <w:sz w:val="20"/>
              </w:rPr>
              <w:t>99.9</w:t>
            </w:r>
          </w:p>
        </w:tc>
        <w:tc>
          <w:tcPr>
            <w:tcW w:type="dxa" w:w="1040"/>
          </w:tcPr>
          <w:p>
            <w:pPr>
              <w:spacing w:before="0" w:after="0" w:lineRule="auto" w:line="240"/>
              <w:jc w:val="center"/>
            </w:pPr>
            <w:r/>
            <w:r>
              <w:rPr>
                <w:rFonts w:ascii="Times New Roman" w:hAnsi="Times New Roman" w:cs="Times New Roman"/>
                <w:b w:val="0"/>
                <w:i w:val="0"/>
                <w:sz w:val="20"/>
              </w:rPr>
              <w:t>41.4</w:t>
            </w:r>
          </w:p>
        </w:tc>
      </w:tr>
      <w:tr>
        <w:tc>
          <w:tcPr>
            <w:tcW w:type="dxa" w:w="1040"/>
          </w:tcPr>
          <w:p>
            <w:pPr>
              <w:spacing w:before="0" w:after="0" w:lineRule="auto" w:line="240"/>
              <w:jc w:val="left"/>
            </w:pPr>
            <w:r/>
            <w:r>
              <w:rPr>
                <w:rFonts w:ascii="Times New Roman" w:hAnsi="Times New Roman" w:cs="Times New Roman"/>
                <w:b w:val="0"/>
                <w:i w:val="0"/>
                <w:sz w:val="20"/>
              </w:rPr>
              <w:t>Activist Boycotters</w:t>
            </w:r>
          </w:p>
        </w:tc>
        <w:tc>
          <w:tcPr>
            <w:tcW w:type="dxa" w:w="1040"/>
          </w:tcPr>
          <w:p>
            <w:pPr>
              <w:spacing w:before="0" w:after="0" w:lineRule="auto" w:line="240"/>
              <w:jc w:val="center"/>
            </w:pPr>
            <w:r/>
            <w:r>
              <w:rPr>
                <w:rFonts w:ascii="Times New Roman" w:hAnsi="Times New Roman" w:cs="Times New Roman"/>
                <w:b w:val="0"/>
                <w:i w:val="0"/>
                <w:sz w:val="20"/>
              </w:rPr>
              <w:t>11.3</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4.28</w:t>
            </w:r>
          </w:p>
        </w:tc>
        <w:tc>
          <w:tcPr>
            <w:tcW w:type="dxa" w:w="1040"/>
          </w:tcPr>
          <w:p>
            <w:pPr>
              <w:spacing w:before="0" w:after="0" w:lineRule="auto" w:line="240"/>
              <w:jc w:val="center"/>
            </w:pPr>
            <w:r/>
            <w:r>
              <w:rPr>
                <w:rFonts w:ascii="Times New Roman" w:hAnsi="Times New Roman" w:cs="Times New Roman"/>
                <w:b w:val="0"/>
                <w:i w:val="0"/>
                <w:sz w:val="20"/>
              </w:rPr>
              <w:t>3.57</w:t>
            </w:r>
          </w:p>
        </w:tc>
        <w:tc>
          <w:tcPr>
            <w:tcW w:type="dxa" w:w="1040"/>
          </w:tcPr>
          <w:p>
            <w:pPr>
              <w:spacing w:before="0" w:after="0" w:lineRule="auto" w:line="240"/>
              <w:jc w:val="center"/>
            </w:pPr>
            <w:r/>
            <w:r>
              <w:rPr>
                <w:rFonts w:ascii="Times New Roman" w:hAnsi="Times New Roman" w:cs="Times New Roman"/>
                <w:b w:val="0"/>
                <w:i w:val="0"/>
                <w:sz w:val="20"/>
              </w:rPr>
              <w:t>1.03</w:t>
            </w:r>
          </w:p>
        </w:tc>
        <w:tc>
          <w:tcPr>
            <w:tcW w:type="dxa" w:w="1040"/>
          </w:tcPr>
          <w:p>
            <w:pPr>
              <w:spacing w:before="0" w:after="0" w:lineRule="auto" w:line="240"/>
              <w:jc w:val="center"/>
            </w:pPr>
            <w:r/>
            <w:r>
              <w:rPr>
                <w:rFonts w:ascii="Times New Roman" w:hAnsi="Times New Roman" w:cs="Times New Roman"/>
                <w:b w:val="0"/>
                <w:i w:val="0"/>
                <w:sz w:val="20"/>
              </w:rPr>
              <w:t>78.0</w:t>
            </w:r>
          </w:p>
        </w:tc>
        <w:tc>
          <w:tcPr>
            <w:tcW w:type="dxa" w:w="1040"/>
          </w:tcPr>
          <w:p>
            <w:pPr>
              <w:spacing w:before="0" w:after="0" w:lineRule="auto" w:line="240"/>
              <w:jc w:val="center"/>
            </w:pPr>
            <w:r/>
            <w:r>
              <w:rPr>
                <w:rFonts w:ascii="Times New Roman" w:hAnsi="Times New Roman" w:cs="Times New Roman"/>
                <w:b w:val="0"/>
                <w:i w:val="0"/>
                <w:sz w:val="20"/>
              </w:rPr>
              <w:t>46.9</w:t>
            </w:r>
          </w:p>
        </w:tc>
      </w:tr>
      <w:tr>
        <w:tc>
          <w:tcPr>
            <w:tcW w:type="dxa" w:w="1040"/>
          </w:tcPr>
          <w:p>
            <w:pPr>
              <w:spacing w:before="0" w:after="0" w:lineRule="auto" w:line="240"/>
              <w:jc w:val="left"/>
            </w:pPr>
            <w:r/>
            <w:r>
              <w:rPr>
                <w:rFonts w:ascii="Times New Roman" w:hAnsi="Times New Roman" w:cs="Times New Roman"/>
                <w:b w:val="0"/>
                <w:i w:val="0"/>
                <w:sz w:val="20"/>
              </w:rPr>
              <w:t>Fully Engaged</w:t>
            </w:r>
          </w:p>
        </w:tc>
        <w:tc>
          <w:tcPr>
            <w:tcW w:type="dxa" w:w="1040"/>
          </w:tcPr>
          <w:p>
            <w:pPr>
              <w:spacing w:before="0" w:after="0" w:lineRule="auto" w:line="240"/>
              <w:jc w:val="center"/>
            </w:pPr>
            <w:r/>
            <w:r>
              <w:rPr>
                <w:rFonts w:ascii="Times New Roman" w:hAnsi="Times New Roman" w:cs="Times New Roman"/>
                <w:b w:val="0"/>
                <w:i w:val="0"/>
                <w:sz w:val="20"/>
              </w:rPr>
              <w:t>12.0</w:t>
            </w:r>
          </w:p>
        </w:tc>
        <w:tc>
          <w:tcPr>
            <w:tcW w:type="dxa" w:w="1040"/>
          </w:tcPr>
          <w:p>
            <w:pPr>
              <w:spacing w:before="0" w:after="0" w:lineRule="auto" w:line="240"/>
              <w:jc w:val="center"/>
            </w:pPr>
            <w:r/>
            <w:r>
              <w:rPr>
                <w:rFonts w:ascii="Times New Roman" w:hAnsi="Times New Roman" w:cs="Times New Roman"/>
                <w:b w:val="0"/>
                <w:i w:val="0"/>
                <w:sz w:val="20"/>
              </w:rPr>
              <w:t>49.7</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4.59</w:t>
            </w:r>
          </w:p>
        </w:tc>
        <w:tc>
          <w:tcPr>
            <w:tcW w:type="dxa" w:w="1040"/>
          </w:tcPr>
          <w:p>
            <w:pPr>
              <w:spacing w:before="0" w:after="0" w:lineRule="auto" w:line="240"/>
              <w:jc w:val="center"/>
            </w:pPr>
            <w:r/>
            <w:r>
              <w:rPr>
                <w:rFonts w:ascii="Times New Roman" w:hAnsi="Times New Roman" w:cs="Times New Roman"/>
                <w:b w:val="0"/>
                <w:i w:val="0"/>
                <w:sz w:val="20"/>
              </w:rPr>
              <w:t>4.04</w:t>
            </w:r>
          </w:p>
        </w:tc>
        <w:tc>
          <w:tcPr>
            <w:tcW w:type="dxa" w:w="1040"/>
          </w:tcPr>
          <w:p>
            <w:pPr>
              <w:spacing w:before="0" w:after="0" w:lineRule="auto" w:line="240"/>
              <w:jc w:val="center"/>
            </w:pPr>
            <w:r/>
            <w:r>
              <w:rPr>
                <w:rFonts w:ascii="Times New Roman" w:hAnsi="Times New Roman" w:cs="Times New Roman"/>
                <w:b w:val="0"/>
                <w:i w:val="0"/>
                <w:sz w:val="20"/>
              </w:rPr>
              <w:t>1.81</w:t>
            </w:r>
          </w:p>
        </w:tc>
        <w:tc>
          <w:tcPr>
            <w:tcW w:type="dxa" w:w="1040"/>
          </w:tcPr>
          <w:p>
            <w:pPr>
              <w:spacing w:before="0" w:after="0" w:lineRule="auto" w:line="240"/>
              <w:jc w:val="center"/>
            </w:pPr>
            <w:r/>
            <w:r>
              <w:rPr>
                <w:rFonts w:ascii="Times New Roman" w:hAnsi="Times New Roman" w:cs="Times New Roman"/>
                <w:b w:val="0"/>
                <w:i w:val="0"/>
                <w:sz w:val="20"/>
              </w:rPr>
              <w:t>86.6</w:t>
            </w:r>
          </w:p>
        </w:tc>
        <w:tc>
          <w:tcPr>
            <w:tcW w:type="dxa" w:w="1040"/>
          </w:tcPr>
          <w:p>
            <w:pPr>
              <w:spacing w:before="0" w:after="0" w:lineRule="auto" w:line="240"/>
              <w:jc w:val="center"/>
            </w:pPr>
            <w:r/>
            <w:r>
              <w:rPr>
                <w:rFonts w:ascii="Times New Roman" w:hAnsi="Times New Roman" w:cs="Times New Roman"/>
                <w:b w:val="0"/>
                <w:i w:val="0"/>
                <w:sz w:val="20"/>
              </w:rPr>
              <w:t>66.7</w:t>
            </w:r>
          </w:p>
        </w:tc>
      </w:tr>
    </w:tbl>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lpa_profile_heatmap.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Civic engagement profile characteristics from latent profile analysis. Cell values represent indicator means on the original scale; darker shading indicates higher relative values within each indicator.</w:t>
      </w:r>
    </w:p>
    <w:p>
      <w:pPr>
        <w:spacing w:before="0" w:after="0" w:lineRule="auto" w:line="480"/>
        <w:ind w:firstLine="720"/>
        <w:jc w:val="left"/>
      </w:pPr>
      <w:r>
        <w:rPr>
          <w:rFonts w:ascii="Times New Roman" w:hAnsi="Times New Roman" w:cs="Times New Roman"/>
          <w:b w:val="0"/>
          <w:i w:val="0"/>
          <w:sz w:val="24"/>
        </w:rPr>
        <w:t>The generational distribution across profiles was pronounced (Figure 3). Over a third of Gen Z (35.3%) fell into the Isolated Disengaged profile—more than double the Boomer rate (15.3%)—while only 3.7% of Gen Z reached Fully Engaged status (vs. 15.1% of Boomers). Combining the two socially isolated profiles (Isolated Disengaged and Politically Aware Isolated), over half of Gen Z (50.6%) occupied profiles defined by social disconnection. These proportions were essentially unchanged between the pre- and post-COVID periods (Isolated Disengaged: 35.5% vs. 35.2%), providing person-centered corroboration of the regression-based temporal stability finding. The concentration of Gen Z in socially disconnected profiles is striking in absolute terms: more than one in three Gen Z respondents fell into the profile defined by minimal engagement on every civic indicator—a rate suggesting that social disconnection is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lpa_generation_distribution.png"/>
                    <pic:cNvPicPr/>
                  </pic:nvPicPr>
                  <pic:blipFill>
                    <a:blip r:embed="rId11"/>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Generational distribution across six latent civic engagement profiles. Gen Z is disproportionately concentrated in the Isolated Disengaged and Politically Aware Isolated profiles.</w:t>
      </w:r>
    </w:p>
    <w:p>
      <w:pPr>
        <w:spacing w:before="0" w:after="0" w:lineRule="auto" w:line="480"/>
        <w:jc w:val="left"/>
      </w:pPr>
      <w:r>
        <w:rPr>
          <w:rFonts w:ascii="Times New Roman" w:hAnsi="Times New Roman" w:cs="Times New Roman"/>
          <w:b/>
          <w:i w:val="0"/>
          <w:sz w:val="24"/>
        </w:rPr>
        <w:t>Predictive Validation</w:t>
      </w:r>
    </w:p>
    <w:p>
      <w:pPr>
        <w:spacing w:before="0" w:after="0" w:lineRule="auto" w:line="480"/>
        <w:ind w:firstLine="720"/>
        <w:jc w:val="left"/>
      </w:pPr>
      <w:r>
        <w:rPr>
          <w:rFonts w:ascii="Times New Roman" w:hAnsi="Times New Roman" w:cs="Times New Roman"/>
          <w:b w:val="0"/>
          <w:i w:val="0"/>
          <w:sz w:val="24"/>
        </w:rPr>
        <w:t>The regression and profile analyses both rely on researcher-specified variable roles. A final analysis asked whether an algorithm with no imposed structure reaches the same conclusion. An XGBoost classifier trained on the full covariate set achieved test-set AUC = .731, comparable to prior survey-based models of volunteering. TreeSHAP decomposition revealed a generation-specific reversal in feature importance: socialization frequency was the single most important predictor of volunteering for Gen Z (mean |SHAP| = 0.467, indicating that socialization shifted the predicted probability by an average of 0.47 on the log-odds scale), whereas education ranked first for every other generation (mean |SHAP| = 0.426–0.472). SHAP dependence plots independently recovered both the First Step Effect—the steepest gradient at the lowest socialization transition—and the Gen Z plateau, confirming that these patterns are not artifacts of the parametric regression specification. The convergence across methods is itself a finding: a flexible machine learning algorithm, given no information about which variables should interact or where thresholds should fall, independently identified the same two patterns discovered through theory-guided regression—the First Step Effect and the Gen Z plateau—strengthening confidence that these patterns reflect genuine features of the data rather than modeling choices.</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Three independent analytic approaches arrived at the same answer: in-person socialization is the strongest correlate of volunteering for the most socially disconnected generation in the available CPS-CEV record, and the initial step out of isolation yields the largest marginal civic return. The three methods—logistic regression, latent profile analysis, and gradient boosting—do not share assumptions about functional form, variable roles, or sample heterogeneity. Agreement under those conditions is not trivial.</w:t>
      </w:r>
    </w:p>
    <w:p>
      <w:pPr>
        <w:spacing w:before="0" w:after="0" w:lineRule="auto" w:line="480"/>
        <w:ind w:firstLine="720"/>
        <w:jc w:val="left"/>
      </w:pPr>
      <w:r>
        <w:rPr>
          <w:rFonts w:ascii="Times New Roman" w:hAnsi="Times New Roman" w:cs="Times New Roman"/>
          <w:b w:val="0"/>
          <w:i w:val="0"/>
          <w:sz w:val="24"/>
        </w:rPr>
        <w:t>Cacioppo and Cacioppo's (2014) theorized cycle of social withdrawal predicts exactly this pattern: even minimal social contact should disrupt the self-reinforcing dynamic of isolation and perceived social threat, producing disproportionate gains at the lowest end of the socialization continuum. The First Step Effect confirms that prediction across all five generations. Beyond this initial threshold, however, the generational trajectories diverged. Gen Z's volunteering probability plateaued at moderate socialization levels, a ceiling absent in every older cohort (see Figure 1). The plateau is inconsistent with classical social capital theory (Putnam, 2000), which predicts continuous returns from increased social contact for populations embedded in dense associational networks. For Gen Z, additional contact beyond a moderate threshold appears decoupled from the community-based institutions through which civic recruitment historically occurs.</w:t>
      </w:r>
    </w:p>
    <w:p>
      <w:pPr>
        <w:spacing w:before="0" w:after="0" w:lineRule="auto" w:line="480"/>
        <w:ind w:firstLine="720"/>
        <w:jc w:val="left"/>
      </w:pPr>
      <w:r>
        <w:rPr>
          <w:rFonts w:ascii="Times New Roman" w:hAnsi="Times New Roman" w:cs="Times New Roman"/>
          <w:b w:val="0"/>
          <w:i w:val="0"/>
          <w:sz w:val="24"/>
        </w:rPr>
        <w:t>Education was the only significant moderator of the socialization–volunteering–generation relationship (</w:t>
      </w:r>
      <w:r>
        <w:rPr>
          <w:rFonts w:ascii="Times New Roman" w:hAnsi="Times New Roman" w:cs="Times New Roman"/>
          <w:b w:val="0"/>
          <w:i/>
          <w:sz w:val="24"/>
        </w:rPr>
        <w:t>p</w:t>
      </w:r>
      <w:r>
        <w:rPr>
          <w:rFonts w:ascii="Times New Roman" w:hAnsi="Times New Roman" w:cs="Times New Roman"/>
          <w:b w:val="0"/>
          <w:i w:val="0"/>
          <w:sz w:val="24"/>
        </w:rPr>
        <w:t xml:space="preserve"> = .009), amplifying the gradient more strongly for older cohorts—though the Gen Z plateau persisted even among degree holders, partially supporting H3a. Neither employment (</w:t>
      </w:r>
      <w:r>
        <w:rPr>
          <w:rFonts w:ascii="Times New Roman" w:hAnsi="Times New Roman" w:cs="Times New Roman"/>
          <w:b w:val="0"/>
          <w:i/>
          <w:sz w:val="24"/>
        </w:rPr>
        <w:t>p</w:t>
      </w:r>
      <w:r>
        <w:rPr>
          <w:rFonts w:ascii="Times New Roman" w:hAnsi="Times New Roman" w:cs="Times New Roman"/>
          <w:b w:val="0"/>
          <w:i w:val="0"/>
          <w:sz w:val="24"/>
        </w:rPr>
        <w:t xml:space="preserve"> = .056) nor civic social media use altered the pattern, contrary to the predictions of H3b and H3c. The social media null (</w:t>
      </w:r>
      <w:r>
        <w:rPr>
          <w:rFonts w:ascii="Times New Roman" w:hAnsi="Times New Roman" w:cs="Times New Roman"/>
          <w:b w:val="0"/>
          <w:i/>
          <w:sz w:val="24"/>
        </w:rPr>
        <w:t>p</w:t>
      </w:r>
      <w:r>
        <w:rPr>
          <w:rFonts w:ascii="Times New Roman" w:hAnsi="Times New Roman" w:cs="Times New Roman"/>
          <w:b w:val="0"/>
          <w:i w:val="0"/>
          <w:sz w:val="24"/>
        </w:rPr>
        <w:t xml:space="preserve"> = .969) warrants emphasis: the digital compensation effect posited by Bennett and Segerberg's (2012) connective action framework does not operate differently for digitally native young adults. Online civic activity offers no special substitute for face-to-face contact.</w:t>
      </w:r>
    </w:p>
    <w:p>
      <w:pPr>
        <w:spacing w:before="0" w:after="0" w:lineRule="auto" w:line="480"/>
        <w:ind w:firstLine="720"/>
        <w:jc w:val="left"/>
      </w:pPr>
      <w:r>
        <w:rPr>
          <w:rFonts w:ascii="Times New Roman" w:hAnsi="Times New Roman" w:cs="Times New Roman"/>
          <w:b w:val="0"/>
          <w:i w:val="0"/>
          <w:sz w:val="24"/>
        </w:rPr>
        <w:t>The pandemic explanation does not survive the data.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was comparable to the full-sample estimate, supporting H3d. Gen Z's weaker conversion of social contact into volunteering was evident before COVID-19 and unchanged afterward. Pandemic recovery strategies alone will not resolve the civic engagement deficit among young adults—the deficit predates the pandemic. Twenge et al. (2019) documented that declines in adolescent socialization were well underway by 2017; the present analysis extends that work to its civic consequences.</w:t>
      </w:r>
    </w:p>
    <w:p>
      <w:pPr>
        <w:spacing w:before="0" w:after="0" w:lineRule="auto" w:line="480"/>
        <w:ind w:firstLine="720"/>
        <w:jc w:val="left"/>
      </w:pPr>
      <w:r>
        <w:rPr>
          <w:rFonts w:ascii="Times New Roman" w:hAnsi="Times New Roman" w:cs="Times New Roman"/>
          <w:b w:val="0"/>
          <w:i w:val="0"/>
          <w:sz w:val="24"/>
        </w:rPr>
        <w:t>The person-centered analysis reinforced these findings through a complementary lens. Gen Z was disproportionately concentrated in socially disconnected profiles (see Figure 3): over half (50.6%) occupied the Isolated Disengaged or Politically Aware Isolated classes, and only 3.7% reached Fully Engaged status—consistent with H4 and H5. These proportions were essentially unchanged across the pre- and post-COVID periods, corroborating the temporal stability finding.</w:t>
      </w:r>
    </w:p>
    <w:p>
      <w:pPr>
        <w:spacing w:before="0" w:after="0" w:lineRule="auto" w:line="480"/>
        <w:ind w:firstLine="720"/>
        <w:jc w:val="left"/>
      </w:pPr>
      <w:r>
        <w:rPr>
          <w:rFonts w:ascii="Times New Roman" w:hAnsi="Times New Roman" w:cs="Times New Roman"/>
          <w:b w:val="0"/>
          <w:i w:val="0"/>
          <w:sz w:val="24"/>
        </w:rPr>
        <w:t>The Socially Active Non-Donors profile qualifies the socialization thesis. Members of this class reported the highest socialization scores (M = 4.70) of any profile yet volunteered at only 14.6%—below the sample mean. Socialization without institutional anchoring—organizational membership was near zero (M = 0.08) and charitable giving absent—did not generate the recruitment exposures that translate social contact into civic action. Robustness analysis confirmed this pathway: organizational membership attenuated the First Step Effect by approximately 30%, indicating that institutional embeddedness is a key mediating mechanism rather than socialization alone. Not all socializing is created equal. The distinction between bonding capital (close-knit relationships among similar individuals) and bridging capital (cross-cutting ties that connect individuals to new networks and resources) is central here (Putnam, 2000). The Socially Active Non-Donors appear to be high in bonding capital—frequent contact with friends and family—but low in the bridging capital that connects individuals to civic institutions. For Gen Z, whose socialization increasingly occurs in homogeneous peer groups rather than in the institutionally diverse settings (churches, civic associations, workplaces) that older cohorts navigated, this distinction may be particularly consequential.</w:t>
      </w:r>
    </w:p>
    <w:p>
      <w:pPr>
        <w:spacing w:before="0" w:after="0" w:lineRule="auto" w:line="480"/>
        <w:ind w:firstLine="720"/>
        <w:jc w:val="left"/>
      </w:pPr>
      <w:r>
        <w:rPr>
          <w:rFonts w:ascii="Times New Roman" w:hAnsi="Times New Roman" w:cs="Times New Roman"/>
          <w:b w:val="0"/>
          <w:i w:val="0"/>
          <w:sz w:val="24"/>
        </w:rPr>
        <w:t>A temporal shift in the profile structure is also informative. Gen Z's representation in the Activist Boycotter profile doubled from 5.9% pre-COVID to 10.7% post-COVID, even as the Isolated Disengaged proportion remained stable. The post-2020 period catalyzed a politicization pathway for a subset of Gen Z without altering the broader pattern of civic disengagement. The Activist Boycotter profile, which emphasizes political consumption over institutional volunteering (volunteering rate: 46.9%), may represent an emerging civic pathway that operates alongside—rather than as a substitute for—traditional voluntarism.</w:t>
      </w:r>
    </w:p>
    <w:p>
      <w:pPr>
        <w:spacing w:before="0" w:after="0" w:lineRule="auto" w:line="480"/>
        <w:ind w:firstLine="720"/>
        <w:jc w:val="left"/>
      </w:pPr>
      <w:r>
        <w:rPr>
          <w:rFonts w:ascii="Times New Roman" w:hAnsi="Times New Roman" w:cs="Times New Roman"/>
          <w:b w:val="0"/>
          <w:i w:val="0"/>
          <w:sz w:val="24"/>
        </w:rPr>
        <w:t>Socialization's dominance for Gen Z was confirmed by a model with no imposed interaction structure. In the gradient boosting analysis, socialization ranked as the single most important predictor of volunteering for Gen Z, outranking education—the top predictor for every older generation . For older cohorts with established social networks, the traditional civic voluntarism resources of education and employment retain their predictive primacy (Verba et al., 1995). SHAP dependence plots independently recovered both the First Step Effect and the Gen Z plateau, confirming that these patterns are not artifacts of the parametric regression specification. The concave dose–response shape at the lowest socialization transition—not a statistically novel pattern in itself—carries civic implications that have not been previously documented across five generational cohorts.</w:t>
      </w:r>
    </w:p>
    <w:p>
      <w:pPr>
        <w:spacing w:before="0" w:after="0" w:lineRule="auto" w:line="480"/>
        <w:ind w:firstLine="720"/>
        <w:jc w:val="left"/>
      </w:pPr>
      <w:r>
        <w:rPr>
          <w:rFonts w:ascii="Times New Roman" w:hAnsi="Times New Roman" w:cs="Times New Roman"/>
          <w:b w:val="0"/>
          <w:i w:val="0"/>
          <w:sz w:val="24"/>
        </w:rPr>
        <w:t>These findings collectively challenge the prevailing narrative about generational differences in civic engagement. Dalton (2008) and others frame declining youth participation as a value shift from "duty-based" to "engaged" citizenship, in which younger cohorts express commitment through informal and digital channels. Our results point to a different explanation. Gen Z exhibited the highest predicted volunteering probability at zero socialization—27.3%, compared with 16.7% for similarly isolated Boomers (see Results). If declining youth volunteering reflected weakened civic motivation, one would expect lower baseline rates, not higher ones. Gen Z appears more civically motivated at the individual level but less able to convert that motivation into sustained participation. The plateau at moderate socialization levels is more consistent with an account in which Gen Z lacks the dense, multiplex social networks that Granovetter (1973) identified as conduits for weak-tie recruitment. In Putnam's (2000) formulation, they are not bowling alone by choice but rather scrolling together in a digital environment that sustains the perception of connection without generating the face-to-face encounters through which civic recruitment historically occurs.</w:t>
      </w:r>
    </w:p>
    <w:p>
      <w:pPr>
        <w:spacing w:before="0" w:after="0" w:lineRule="auto" w:line="480"/>
        <w:ind w:firstLine="720"/>
        <w:jc w:val="left"/>
      </w:pPr>
      <w:r>
        <w:rPr>
          <w:rFonts w:ascii="Times New Roman" w:hAnsi="Times New Roman" w:cs="Times New Roman"/>
          <w:b w:val="0"/>
          <w:i w:val="0"/>
          <w:sz w:val="24"/>
        </w:rPr>
        <w:t>The baseline paradox—Gen Z's higher volunteering probability at zero socialization—deserves further interpretation. One reading is that Gen Z possesses stronger intrinsic civic motivation, perhaps cultivated through increased exposure to social cause messaging in digital media and educational curricula that increasingly emphasize community service. An alternative reading is that the composition of completely isolated Gen Z respondents differs from that of completely isolated Boomers: an 18-year-old who reports no social contact may be a recently graduated high school student living with parents who volunteer, whereas a 65-year-old who reports no social contact may be a widowed retiree with genuinely no civic connections. The baseline comparison controls for demographics but cannot fully account for unobserved household-level civic socialization. Regardless of which interpretation holds, the more consequential finding is what happens above the baseline: Gen Z's volunteering probability plateaus where other generations' continues to climb, and it is this ceiling—not the floor—that explains the overall generational gap in volunteering rates.</w:t>
      </w:r>
    </w:p>
    <w:p>
      <w:pPr>
        <w:spacing w:before="0" w:after="0" w:lineRule="auto" w:line="480"/>
        <w:ind w:firstLine="720"/>
        <w:jc w:val="left"/>
      </w:pPr>
      <w:r>
        <w:rPr>
          <w:rFonts w:ascii="Times New Roman" w:hAnsi="Times New Roman" w:cs="Times New Roman"/>
          <w:b w:val="0"/>
          <w:i w:val="0"/>
          <w:sz w:val="24"/>
        </w:rPr>
        <w:t xml:space="preserve">The "scrolling together" metaphor captures a structural irony: Gen Z is the most </w:t>
      </w:r>
      <w:r>
        <w:rPr>
          <w:rFonts w:ascii="Times New Roman" w:hAnsi="Times New Roman" w:cs="Times New Roman"/>
          <w:b w:val="0"/>
          <w:i/>
          <w:sz w:val="24"/>
        </w:rPr>
        <w:t>connected</w:t>
      </w:r>
      <w:r>
        <w:rPr>
          <w:rFonts w:ascii="Times New Roman" w:hAnsi="Times New Roman" w:cs="Times New Roman"/>
          <w:b w:val="0"/>
          <w:i w:val="0"/>
          <w:sz w:val="24"/>
        </w:rPr>
        <w:t xml:space="preserve"> generation in terms of digital communication, yet the most </w:t>
      </w:r>
      <w:r>
        <w:rPr>
          <w:rFonts w:ascii="Times New Roman" w:hAnsi="Times New Roman" w:cs="Times New Roman"/>
          <w:b w:val="0"/>
          <w:i/>
          <w:sz w:val="24"/>
        </w:rPr>
        <w:t>disconnected</w:t>
      </w:r>
      <w:r>
        <w:rPr>
          <w:rFonts w:ascii="Times New Roman" w:hAnsi="Times New Roman" w:cs="Times New Roman"/>
          <w:b w:val="0"/>
          <w:i w:val="0"/>
          <w:sz w:val="24"/>
        </w:rPr>
        <w:t xml:space="preserve"> in terms of the face-to-face contact that drives civic recruitment. Social media platforms provide a continuous stream of information about social causes, volunteer opportunities, and community needs—but information alone does not substitute for the social obligation that arises from a face-to-face request.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this empirically: Gen Z members who actively use social media for civic purposes volunteer at the same rate as those who do not, once socialization frequency is controlled. Digital civic activity is not inert, but it does not function as a recruitment channel the way a personal encounter does. This disconnect between digital awareness and civic action may explain why Gen Z's volunteering probability plateaus at moderate socialization: those who socialize enough to encounter some recruitment opportunities do volunteer, but their social contexts—often peer-group gatherings without institutional anchoring—do not generate the escalating web of obligations and expectations that drove older cohorts toward progressively deeper civic engagement.</w:t>
      </w:r>
    </w:p>
    <w:p>
      <w:pPr>
        <w:spacing w:before="0" w:after="0" w:lineRule="auto" w:line="480"/>
        <w:jc w:val="left"/>
      </w:pPr>
      <w:r>
        <w:rPr>
          <w:rFonts w:ascii="Times New Roman" w:hAnsi="Times New Roman" w:cs="Times New Roman"/>
          <w:b/>
          <w:i w:val="0"/>
          <w:sz w:val="24"/>
        </w:rPr>
        <w:t>Practical Implications</w:t>
      </w:r>
    </w:p>
    <w:p>
      <w:pPr>
        <w:spacing w:before="0" w:after="0" w:lineRule="auto" w:line="480"/>
        <w:ind w:firstLine="720"/>
        <w:jc w:val="left"/>
      </w:pPr>
      <w:r>
        <w:rPr>
          <w:rFonts w:ascii="Times New Roman" w:hAnsi="Times New Roman" w:cs="Times New Roman"/>
          <w:b w:val="0"/>
          <w:i w:val="0"/>
          <w:sz w:val="24"/>
        </w:rPr>
        <w:t>What should practitioners do differently? The First Step Effect points to a clear answer: target the initial transition out of social isolation. Robustness analyses confirmed that this threshold is genuine rather than an artifact of scale concavity: the categorical 0-to-1 transition exceeded smooth log-linear predictions by 2.4 to 4.7 percentage points across all generations, with the excess largest for Gen Z. The practical upshot is direct. Low-threshold, single-contact strategies should be preferred over sustained-commitment appeals. Creating one opportunity for in-person contact matters more than intensifying recruitment among already-connected individuals. Digital-only campaigns offer no special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.969)—even for the cohort most dependent on digital communication. Volunteer organizations should invest in physical gathering spaces and initial-contact events, particularly on college campuses and in community settings where isolated young adults might be reached. Concretely, a campus volunteer center might host a monthly "coffee and causes" drop-in where students encounter service opportunities in a low-pressure social setting; a community organization could partner with local businesses to create "volunteer tasting" events where newcomers try a two-hour service project with no ongoing commitment; a library might embed volunteer sign-ups into existing social programming. The common thread is designing the social encounter first and the volunteer recruitment second—inverting the traditional model that assumes interested individuals will seek out opportunities on their own.</w:t>
      </w:r>
    </w:p>
    <w:p>
      <w:pPr>
        <w:spacing w:before="0" w:after="0" w:lineRule="auto" w:line="480"/>
        <w:ind w:firstLine="720"/>
        <w:jc w:val="left"/>
      </w:pPr>
      <w:r>
        <w:rPr>
          <w:rFonts w:ascii="Times New Roman" w:hAnsi="Times New Roman" w:cs="Times New Roman"/>
          <w:b w:val="0"/>
          <w:i w:val="0"/>
          <w:sz w:val="24"/>
        </w:rPr>
        <w:t>Community-based organizations occupy a strategic position in this landscape. Klinenberg's (2018) concept of "social infrastructure"—the physical spaces and institutions that facilitate social contact—provides a framework for understanding why investment in community gathering places, service-learning programs, and locally facilitated events may have civic returns that exceed their direct programmatic objectives. Cooperative Extension, embedded at the interface of campus and community, offers one institutional model: Extension educators could design programming that treats social connection not as a byproduct of volunteering but as a prerequisite for it. Other community-based institutions—libraries, recreation centers, faith communities, campus organizations—serve similar bridging functions and would benefit from the same reorientation.</w:t>
      </w:r>
    </w:p>
    <w:p>
      <w:pPr>
        <w:spacing w:before="0" w:after="0" w:lineRule="auto" w:line="480"/>
        <w:ind w:firstLine="720"/>
        <w:jc w:val="left"/>
      </w:pPr>
      <w:r>
        <w:rPr>
          <w:rFonts w:ascii="Times New Roman" w:hAnsi="Times New Roman" w:cs="Times New Roman"/>
          <w:b w:val="0"/>
          <w:i w:val="0"/>
          <w:sz w:val="24"/>
        </w:rPr>
        <w:t>For employers, the findings suggest that workplace-based volunteer programs may serve a dual function: they provide the structured social context that Gen Z respondents often lack outside the workplace, and they embed volunteer recruitment within the kind of organizationally anchored setting that the LPA analysis identified as critical. Companies that offer team-based volunteer days—where employees participate as a group rather than individually—may be more effective at engaging young workers precisely because they address the social barrier rather than relying solely on individual motivation.</w:t>
      </w:r>
    </w:p>
    <w:p>
      <w:pPr>
        <w:spacing w:before="0" w:after="0" w:lineRule="auto" w:line="480"/>
        <w:ind w:firstLine="720"/>
        <w:jc w:val="left"/>
      </w:pPr>
      <w:r>
        <w:rPr>
          <w:rFonts w:ascii="Times New Roman" w:hAnsi="Times New Roman" w:cs="Times New Roman"/>
          <w:b w:val="0"/>
          <w:i w:val="0"/>
          <w:sz w:val="24"/>
        </w:rPr>
        <w:t>At the policy level, the Surgeon General's 2023 advisory on loneliness and social isolation focused predominantly on health consequences. The present findings suggest extending that framing to encompass civic consequences: social disconnection does not merely increase the risk of heart disease and depression but also erodes the foundation on which democratic participation depends. Federal and state civic engagement initiatives—including AmeriCorps, national service programs, and campus-based volunteer centers—would benefit from incorporating a "social activation" component that addresses social isolation as a barrier to entry rather than assuming that motivation alone is sufficient to drive participation. The data also carry implications for how volunteering is measured and reported. Future measurement efforts should consider tracking not only whether individuals volunteer but the social pathway through which they were recruited—a distinction that the present findings suggest is essential for understanding generational differences in civic participation.</w:t>
      </w:r>
    </w:p>
    <w:p>
      <w:pPr>
        <w:spacing w:before="0" w:after="0" w:lineRule="auto" w:line="480"/>
        <w:jc w:val="left"/>
      </w:pPr>
      <w:r>
        <w:rPr>
          <w:rFonts w:ascii="Times New Roman" w:hAnsi="Times New Roman" w:cs="Times New Roman"/>
          <w:b/>
          <w:i w:val="0"/>
          <w:sz w:val="24"/>
        </w:rPr>
        <w:t>Limitations</w:t>
      </w:r>
    </w:p>
    <w:p>
      <w:pPr>
        <w:spacing w:before="0" w:after="0" w:lineRule="auto" w:line="480"/>
        <w:ind w:firstLine="720"/>
        <w:jc w:val="left"/>
      </w:pPr>
      <w:r>
        <w:rPr>
          <w:rFonts w:ascii="Times New Roman" w:hAnsi="Times New Roman" w:cs="Times New Roman"/>
          <w:b w:val="0"/>
          <w:i w:val="0"/>
          <w:sz w:val="24"/>
        </w:rPr>
        <w:t>Several limitations temper the strength of these claims. The most consequential is the threat of reverse causation. The pooled cross-sectional design cannot establish whether socialization leads to volunteering or volunteering generates social contact—or whether both reflect a common disposition such as extraversion. People who volunteer meet others through their service, which increases their socialization frequency; the entire gradient could be partly driven by this pathway. However, two features of the results provide partial leverage against a purely reverse-causal account. First, the nonlinear threshold shape of the First Step Effect is more consistent with a recruitment mechanism—in which initial contact triggers awareness of opportunities—than with reverse causation, which would predict a more linear association. Second, the temporal stability of the pattern across four waves suggests a durable relationship rather than a context-dependent artifact. Future research using true panel data or quasi-experimental designs—potentially leveraging the CPS rotation group structure—could more definitively establish directionality.</w:t>
      </w:r>
    </w:p>
    <w:p>
      <w:pPr>
        <w:spacing w:before="0" w:after="0" w:lineRule="auto" w:line="480"/>
        <w:ind w:firstLine="720"/>
        <w:jc w:val="left"/>
      </w:pPr>
      <w:r>
        <w:rPr>
          <w:rFonts w:ascii="Times New Roman" w:hAnsi="Times New Roman" w:cs="Times New Roman"/>
          <w:b w:val="0"/>
          <w:i w:val="0"/>
          <w:sz w:val="24"/>
        </w:rPr>
        <w:t>Measurement constraints introduce additional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The binary COVID coding (2017/2019 vs. 2021/2023) is approximate; the 2021 wave was administered during, not after, the pandemic. The PES16F variable measuring virtual versus in-person volunteering mode is available only for the 2023 wave, preventing systematic analysis of how volunteering modality interacts with social isolation.</w:t>
      </w:r>
    </w:p>
    <w:p>
      <w:pPr>
        <w:spacing w:before="0" w:after="0" w:lineRule="auto" w:line="480"/>
        <w:ind w:firstLine="720"/>
        <w:jc w:val="left"/>
      </w:pPr>
      <w:r>
        <w:rPr>
          <w:rFonts w:ascii="Times New Roman" w:hAnsi="Times New Roman" w:cs="Times New Roman"/>
          <w:b w:val="0"/>
          <w:i w:val="0"/>
          <w:sz w:val="24"/>
        </w:rPr>
        <w:t>Generational classification by birth cohort conflates age, period, and cohort effects. Supplementary analyses with nonlinear age controls (age-squared) confirmed that the socialization-by-generation interaction survived (</w:t>
      </w:r>
      <w:r>
        <w:rPr>
          <w:rFonts w:ascii="Times New Roman" w:hAnsi="Times New Roman" w:cs="Times New Roman"/>
          <w:b w:val="0"/>
          <w:i/>
          <w:sz w:val="24"/>
        </w:rPr>
        <w:t>p</w:t>
      </w:r>
      <w:r>
        <w:rPr>
          <w:rFonts w:ascii="Times New Roman" w:hAnsi="Times New Roman" w:cs="Times New Roman"/>
          <w:b w:val="0"/>
          <w:i w:val="0"/>
          <w:sz w:val="24"/>
        </w:rPr>
        <w:t xml:space="preserve"> &lt; .001), and the First Step AMEs were essentially unchanged, providing leverage against a purely age-based account—but a formal age-period-cohort decomposition would require additional data waves. All measures are self-reported and subject to social desirability bias, which may differentially affect reporting of socially valued behaviors such as volunteering.</w:t>
      </w:r>
    </w:p>
    <w:p>
      <w:pPr>
        <w:spacing w:before="0" w:after="0" w:lineRule="auto" w:line="480"/>
        <w:jc w:val="left"/>
      </w:pPr>
      <w:r>
        <w:rPr>
          <w:rFonts w:ascii="Times New Roman" w:hAnsi="Times New Roman" w:cs="Times New Roman"/>
          <w:b/>
          <w:i w:val="0"/>
          <w:sz w:val="24"/>
        </w:rPr>
        <w:t>Future Directions</w:t>
      </w:r>
    </w:p>
    <w:p>
      <w:pPr>
        <w:spacing w:before="0" w:after="0" w:lineRule="auto" w:line="480"/>
        <w:ind w:firstLine="720"/>
        <w:jc w:val="left"/>
      </w:pPr>
      <w:r>
        <w:rPr>
          <w:rFonts w:ascii="Times New Roman" w:hAnsi="Times New Roman" w:cs="Times New Roman"/>
          <w:b w:val="0"/>
          <w:i w:val="0"/>
          <w:sz w:val="24"/>
        </w:rPr>
        <w:t>These limitations point toward a productive research agenda. First and most critically, the causal question demands longitudinal data. The CPS rotation group structure—in which households remain in the sample for four months, leave for eight, and return for four—offers a quasi-panel design that could establish whether changes in socialization within individuals precede changes in volunteering behavior. True panel studies with repeated measures of both constructs, such as the Panel Study of Income Dynamics or the Understanding America Study, could provide more definitive evidence of directionality.</w:t>
      </w:r>
    </w:p>
    <w:p>
      <w:pPr>
        <w:spacing w:before="0" w:after="0" w:lineRule="auto" w:line="480"/>
        <w:ind w:firstLine="720"/>
        <w:jc w:val="left"/>
      </w:pPr>
      <w:r>
        <w:rPr>
          <w:rFonts w:ascii="Times New Roman" w:hAnsi="Times New Roman" w:cs="Times New Roman"/>
          <w:b w:val="0"/>
          <w:i w:val="0"/>
          <w:sz w:val="24"/>
        </w:rPr>
        <w:t>Second, the CESOCIALIZE measure's breadth obscures important distinctions. Future research should disaggregate socialization by context (kin vs. friend vs. neighbor), modality (one-on-one vs. group), and institutional setting (organizationally embedded vs. informal). If the theoretical account offered here is correct—that institutionally anchored socialization drives civic recruitment while purely social contact does not—then context-specific measures should reveal differential associations with volunteering that the composite measure cannot capture.</w:t>
      </w:r>
    </w:p>
    <w:p>
      <w:pPr>
        <w:spacing w:before="0" w:after="0" w:lineRule="auto" w:line="480"/>
        <w:ind w:firstLine="720"/>
        <w:jc w:val="left"/>
      </w:pPr>
      <w:r>
        <w:rPr>
          <w:rFonts w:ascii="Times New Roman" w:hAnsi="Times New Roman" w:cs="Times New Roman"/>
          <w:b w:val="0"/>
          <w:i w:val="0"/>
          <w:sz w:val="24"/>
        </w:rPr>
        <w:t xml:space="preserve">Third, the null finding for civic social media use raises as many questions as it answers. The present study measured whether individuals </w:t>
      </w:r>
      <w:r>
        <w:rPr>
          <w:rFonts w:ascii="Times New Roman" w:hAnsi="Times New Roman" w:cs="Times New Roman"/>
          <w:b w:val="0"/>
          <w:i/>
          <w:sz w:val="24"/>
        </w:rPr>
        <w:t>discuss civic topics</w:t>
      </w:r>
      <w:r>
        <w:rPr>
          <w:rFonts w:ascii="Times New Roman" w:hAnsi="Times New Roman" w:cs="Times New Roman"/>
          <w:b w:val="0"/>
          <w:i w:val="0"/>
          <w:sz w:val="24"/>
        </w:rPr>
        <w:t xml:space="preserve"> online, not whether they </w:t>
      </w:r>
      <w:r>
        <w:rPr>
          <w:rFonts w:ascii="Times New Roman" w:hAnsi="Times New Roman" w:cs="Times New Roman"/>
          <w:b w:val="0"/>
          <w:i/>
          <w:sz w:val="24"/>
        </w:rPr>
        <w:t>socialize</w:t>
      </w:r>
      <w:r>
        <w:rPr>
          <w:rFonts w:ascii="Times New Roman" w:hAnsi="Times New Roman" w:cs="Times New Roman"/>
          <w:b w:val="0"/>
          <w:i w:val="0"/>
          <w:sz w:val="24"/>
        </w:rPr>
        <w:t xml:space="preserve"> online. A direct comparison of digital versus in-person socialization effects on volunteering—using measures of social media-based relationship maintenance, online community participation, and digital group membership—would test whether digital social contact can serve as a functional substitute for face-to-face recruitment.</w:t>
      </w:r>
    </w:p>
    <w:p>
      <w:pPr>
        <w:spacing w:before="0" w:after="0" w:lineRule="auto" w:line="480"/>
        <w:ind w:firstLine="720"/>
        <w:jc w:val="left"/>
      </w:pPr>
      <w:r>
        <w:rPr>
          <w:rFonts w:ascii="Times New Roman" w:hAnsi="Times New Roman" w:cs="Times New Roman"/>
          <w:b w:val="0"/>
          <w:i w:val="0"/>
          <w:sz w:val="24"/>
        </w:rPr>
        <w:t>Finally, the First Step Effect implies a specific intervention design: low-threshold, single-contact programs that target socially isolated young adults. Randomized controlled trials of such interventions—comparing, for example, a campus program that creates structured social encounters (the "social activation" approach) with a traditional volunteer recruitment campaign—would test whether the cross-sectional associations documented here translate into causal effects on volunteering behavior.</w:t>
      </w:r>
    </w:p>
    <w:p>
      <w:pPr>
        <w:spacing w:before="0" w:after="0" w:lineRule="auto" w:line="480"/>
        <w:ind w:firstLine="720"/>
        <w:jc w:val="left"/>
      </w:pPr>
      <w:r>
        <w:rPr>
          <w:rFonts w:ascii="Times New Roman" w:hAnsi="Times New Roman" w:cs="Times New Roman"/>
          <w:b w:val="0"/>
          <w:i w:val="0"/>
          <w:sz w:val="24"/>
        </w:rPr>
        <w:t>A fifth direction concerns cross-national comparison. The decline in youth socialization documented by Twenge et al. (2019) has been observed primarily in the United States and other Anglophone countries; whether similar patterns hold in societies with stronger institutional frameworks for youth civic participation—such as the Scandinavian countries with their tradition of popular movements and mandatory civil service options—would test the generalizability of these findings and potentially identify institutional models that buffer against the civic consequences of social isolation.</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The social disconnection of Generation Z is a civic engagement challenge as much as a health challenge. What the data show, with consistent convergence across methods and time, is that one step out of isolation is associated with a larger civic return than any subsequent increase in social frequency. If these associations reflect causal pathways, the path to volunteering begins not with appeals to duty or digital campaigns, but with creating the physical social encounters that make civic recruitment possible—the kind Klinenberg (2018) called social infrastructure. The present study measured civic social media use rather than social media-based socialization per se; future research should examine whether digital socialization serves as a functional substitute for face-to-face contact in generating civic recruitment. Addressing the decline in youth volunteering requires not only rethinking recruitment strategies but also rebuilding the institutional foundations through which civic participation has historically been sustained. The title of this paper invokes Putnam's metaphor deliberately. In 2000, Americans were bowling alone—participating in activities outside the organizational structures that once facilitated civic life. A quarter century later, the youngest Americans are not even bowling. They are scrolling together—maintaining the appearance of social connection through digital platforms that sustain awareness of community needs without generating the face-to-face encounters that translate awareness into action. The gap between knowing and doing, between digital empathy and physical participation, is where the civic consequences of the loneliness epidemic are most visible.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