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Override PartName="/word/media/rId42.png" ContentType="image/png"/>
  <Override PartName="/word/media/rId45.png" ContentType="image/png"/>
  <Override PartName="/word/media/rId3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the Information Deficit: Epistemic Cognition, Education, and the Formation of Complex AI Attitudes Among U.S. Adults</w:t>
      </w:r>
    </w:p>
    <w:p>
      <w:pPr>
        <w:pStyle w:val="Author"/>
      </w:pPr>
      <w:r>
        <w:t xml:space="preserve">Hosung You</w:t>
      </w:r>
    </w:p>
    <w:p>
      <w:pPr>
        <w:pStyle w:val="Date"/>
      </w:pPr>
      <w:r>
        <w:t xml:space="preserve">2026</w:t>
      </w:r>
    </w:p>
    <w:bookmarkStart w:id="9" w:name="abstract"/>
    <w:p>
      <w:pPr>
        <w:pStyle w:val="Heading1"/>
      </w:pPr>
      <w:r>
        <w:t xml:space="preserve">Abstract</w:t>
      </w:r>
    </w:p>
    <w:p>
      <w:pPr>
        <w:pStyle w:val="FirstParagraph"/>
      </w:pPr>
      <w:r>
        <w:rPr>
          <w:b/>
          <w:bCs/>
        </w:rPr>
        <w:t xml:space="preserve">Purpose.</w:t>
      </w:r>
      <w:r>
        <w:t xml:space="preserve"> </w:t>
      </w:r>
      <w:r>
        <w:t xml:space="preserve">The prevailing information deficit model underlying most AI literacy initiatives assumes that more knowledge produces more favorable attitudes. We challenge that assumption by examining how educational attainment shapes the</w:t>
      </w:r>
      <w:r>
        <w:t xml:space="preserve"> </w:t>
      </w:r>
      <w:r>
        <w:rPr>
          <w:i/>
          <w:iCs/>
        </w:rPr>
        <w:t xml:space="preserve">complexity</w:t>
      </w:r>
      <w:r>
        <w:t xml:space="preserve"> </w:t>
      </w:r>
      <w:r>
        <w:t xml:space="preserve">of public attitudes toward artificial intelligence, not simply their direction. Drawing on epistemic cognition theory and the knowledge gap hypothesis, we reinterpret survey responses indicating simultaneous concern and excitement about AI as evidence of reflective judgment capacity, not mere ambivalence.</w:t>
      </w:r>
    </w:p>
    <w:p>
      <w:pPr>
        <w:pStyle w:val="BodyText"/>
      </w:pPr>
      <w:r>
        <w:rPr>
          <w:b/>
          <w:bCs/>
        </w:rPr>
        <w:t xml:space="preserve">Design/methodology/approach.</w:t>
      </w:r>
      <w:r>
        <w:t xml:space="preserve"> </w:t>
      </w:r>
      <w:r>
        <w:t xml:space="preserve">Secondary analysis of three waves of Pew Research Center American Trends Panel data (December 2022, raw</w:t>
      </w:r>
      <w:r>
        <w:t xml:space="preserve"> </w:t>
      </w:r>
      <w:r>
        <w:rPr>
          <w:i/>
          <w:iCs/>
        </w:rPr>
        <w:t xml:space="preserve">N</w:t>
      </w:r>
      <w:r>
        <w:t xml:space="preserve"> </w:t>
      </w:r>
      <w:r>
        <w:t xml:space="preserve">= 11,004; August 2023, raw</w:t>
      </w:r>
      <w:r>
        <w:t xml:space="preserve"> </w:t>
      </w:r>
      <w:r>
        <w:rPr>
          <w:i/>
          <w:iCs/>
        </w:rPr>
        <w:t xml:space="preserve">N</w:t>
      </w:r>
      <w:r>
        <w:t xml:space="preserve"> </w:t>
      </w:r>
      <w:r>
        <w:t xml:space="preserve">= 11,201; August 2024, raw</w:t>
      </w:r>
      <w:r>
        <w:t xml:space="preserve"> </w:t>
      </w:r>
      <w:r>
        <w:rPr>
          <w:i/>
          <w:iCs/>
        </w:rPr>
        <w:t xml:space="preserve">N</w:t>
      </w:r>
      <w:r>
        <w:t xml:space="preserve"> </w:t>
      </w:r>
      <w:r>
        <w:t xml:space="preserve">= 5,410; analytic</w:t>
      </w:r>
      <w:r>
        <w:t xml:space="preserve"> </w:t>
      </w:r>
      <w:r>
        <w:rPr>
          <w:i/>
          <w:iCs/>
        </w:rPr>
        <w:t xml:space="preserve">N</w:t>
      </w:r>
      <w:r>
        <w:t xml:space="preserve"> </w:t>
      </w:r>
      <w:r>
        <w:t xml:space="preserve">= 24,741 after listwise deletion and restriction to partisan leaners). Survey-weighted multinomial logistic regression models treat the</w:t>
      </w:r>
      <w:r>
        <w:t xml:space="preserve"> </w:t>
      </w:r>
      <w:r>
        <w:t xml:space="preserve">“equally concerned and excited”</w:t>
      </w:r>
      <w:r>
        <w:t xml:space="preserve"> </w:t>
      </w:r>
      <w:r>
        <w:t xml:space="preserve">response as the reference category, representing epistemic complexity. Analyses include cross-tabulation with Rao-Scott chi-square tests, interaction models, average marginal effects, and Blinder-Oaxaca decomposition.</w:t>
      </w:r>
    </w:p>
    <w:p>
      <w:pPr>
        <w:pStyle w:val="BodyText"/>
      </w:pPr>
      <w:r>
        <w:rPr>
          <w:b/>
          <w:bCs/>
        </w:rPr>
        <w:t xml:space="preserve">Findings.</w:t>
      </w:r>
      <w:r>
        <w:t xml:space="preserve"> </w:t>
      </w:r>
      <w:r>
        <w:t xml:space="preserve">College graduates were consistently the least likely to report categorical concern and the most likely to hold complex (</w:t>
      </w:r>
      <w:r>
        <w:t xml:space="preserve">“equally”</w:t>
      </w:r>
      <w:r>
        <w:t xml:space="preserve">) attitudes across all three waves. Adults with a high school education or less were significantly more likely to express categorical concern (OR = 1.35,</w:t>
      </w:r>
      <w:r>
        <w:t xml:space="preserve"> </w:t>
      </w:r>
      <w:r>
        <w:rPr>
          <w:i/>
          <w:iCs/>
        </w:rPr>
        <w:t xml:space="preserve">p</w:t>
      </w:r>
      <w:r>
        <w:t xml:space="preserve"> </w:t>
      </w:r>
      <w:r>
        <w:t xml:space="preserve">&lt; .001) relative to attitudinal complexity. The wave-by-education interaction was not significant (joint Wald</w:t>
      </w:r>
      <w:r>
        <w:t xml:space="preserve"> </w:t>
      </w:r>
      <w:r>
        <w:rPr>
          <w:i/>
          <w:iCs/>
        </w:rPr>
        <w:t xml:space="preserve">p</w:t>
      </w:r>
      <w:r>
        <w:t xml:space="preserve"> </w:t>
      </w:r>
      <w:r>
        <w:t xml:space="preserve">= .563), indicating that education-based differences in epistemic processing held steady across the study period. They neither widened nor narrowed despite the acceleration of AI discourse. Partisan identity remained the strongest single predictor (AME gap = 12.5 percentage points in December 2022), but this gap converged over time.</w:t>
      </w:r>
    </w:p>
    <w:p>
      <w:pPr>
        <w:pStyle w:val="BodyText"/>
      </w:pPr>
      <w:r>
        <w:rPr>
          <w:b/>
          <w:bCs/>
        </w:rPr>
        <w:t xml:space="preserve">Implications.</w:t>
      </w:r>
      <w:r>
        <w:t xml:space="preserve"> </w:t>
      </w:r>
      <w:r>
        <w:t xml:space="preserve">AI literacy programs in human resource development and adult education contexts should prioritize epistemic development, the capacity to hold productive tension between competing evaluations, over the pursuit of uniformly positive attitudes toward AI. Transformative learning pedagogy provides the design architecture for this shift.</w:t>
      </w:r>
    </w:p>
    <w:p>
      <w:pPr>
        <w:pStyle w:val="BodyText"/>
      </w:pPr>
      <w:r>
        <w:rPr>
          <w:b/>
          <w:bCs/>
        </w:rPr>
        <w:t xml:space="preserve">Originality/value.</w:t>
      </w:r>
      <w:r>
        <w:t xml:space="preserve"> </w:t>
      </w:r>
      <w:r>
        <w:t xml:space="preserve">The analysis applies epistemic cognition theory to public AI attitudes, reconceptualizing the</w:t>
      </w:r>
      <w:r>
        <w:t xml:space="preserve"> </w:t>
      </w:r>
      <w:r>
        <w:t xml:space="preserve">“equally concerned and excited”</w:t>
      </w:r>
      <w:r>
        <w:t xml:space="preserve"> </w:t>
      </w:r>
      <w:r>
        <w:t xml:space="preserve">response as an empirical signature of reflective judgment, not indecision. It provides an alternative to the deficit model that dominates current AI literacy policy.</w:t>
      </w:r>
    </w:p>
    <w:p>
      <w:pPr>
        <w:pStyle w:val="BodyText"/>
      </w:pPr>
      <w:r>
        <w:rPr>
          <w:b/>
          <w:bCs/>
        </w:rPr>
        <w:t xml:space="preserve">Keywords:</w:t>
      </w:r>
      <w:r>
        <w:t xml:space="preserve"> </w:t>
      </w:r>
      <w:r>
        <w:t xml:space="preserve">epistemic cognition, AI attitudes, reflective judgment, knowledge gap, AI literacy, adult education, human resource development</w:t>
      </w:r>
    </w:p>
    <w:bookmarkEnd w:id="9"/>
    <w:bookmarkStart w:id="10" w:name="introduction"/>
    <w:p>
      <w:pPr>
        <w:pStyle w:val="Heading1"/>
      </w:pPr>
      <w:r>
        <w:t xml:space="preserve">Introduction</w:t>
      </w:r>
    </w:p>
    <w:p>
      <w:pPr>
        <w:pStyle w:val="FirstParagraph"/>
      </w:pPr>
      <w:r>
        <w:t xml:space="preserve">In the spring of 2023, a corporate training manager told me that her company’s new AI literacy program was</w:t>
      </w:r>
      <w:r>
        <w:t xml:space="preserve"> </w:t>
      </w:r>
      <w:r>
        <w:t xml:space="preserve">“working”</w:t>
      </w:r>
      <w:r>
        <w:t xml:space="preserve"> </w:t>
      </w:r>
      <w:r>
        <w:t xml:space="preserve">because post-workshop surveys showed employees felt more positive about AI tools. When I asked whether the employees could articulate conditions under which those tools might fail or cause harm, she paused. That distinction, between feeling good about AI and thinking well about it, animates what follows.</w:t>
      </w:r>
    </w:p>
    <w:p>
      <w:pPr>
        <w:pStyle w:val="BodyText"/>
      </w:pPr>
      <w:r>
        <w:t xml:space="preserve">The assumption driving most AI literacy efforts is straightforward: more knowledge about AI will produce more favorable attitudes toward its adoption</w:t>
      </w:r>
      <w:r>
        <w:t xml:space="preserve"> </w:t>
      </w:r>
      <w:r>
        <w:t xml:space="preserve">[@long2020; @ng2021; @laupichler2022]</w:t>
      </w:r>
      <w:r>
        <w:t xml:space="preserve">. Public skepticism, on this view, stems from an information deficit that education can remedy. The premise echoes a longstanding paradigm in science communication, one that empirical evidence has repeatedly undermined</w:t>
      </w:r>
      <w:r>
        <w:t xml:space="preserve"> </w:t>
      </w:r>
      <w:r>
        <w:t xml:space="preserve">[@scheufele2005; @kahan2012]</w:t>
      </w:r>
      <w:r>
        <w:t xml:space="preserve">. And yet AI literacy initiatives continue to multiply under this logic, measuring success by whether participants come away with more positive views of AI, not more sophisticated ones.</w:t>
      </w:r>
    </w:p>
    <w:p>
      <w:pPr>
        <w:pStyle w:val="BodyText"/>
      </w:pPr>
      <w:r>
        <w:t xml:space="preserve">The stakes are not trivial. As AI systems become embedded in hiring processes, healthcare diagnostics, criminal sentencing, and educational assessment, public attitudes increasingly shape policy decisions, organizational adoption patterns, and individual career choices</w:t>
      </w:r>
      <w:r>
        <w:t xml:space="preserve"> </w:t>
      </w:r>
      <w:r>
        <w:t xml:space="preserve">[@brynjolfsson2014; @frey2017; @parker2022]</w:t>
      </w:r>
      <w:r>
        <w:t xml:space="preserve">. If AI education simply swaps skepticism for enthusiasm without building the capacity for careful, differentiated evaluation, the result may be a workforce that complies with AI integration but cannot critically assess when such integration serves human interests and when it does not.</w:t>
      </w:r>
    </w:p>
    <w:p>
      <w:pPr>
        <w:pStyle w:val="BodyText"/>
      </w:pPr>
      <w:r>
        <w:t xml:space="preserve">Recent nationally representative data from the Pew Research Center present a puzzle the information deficit model cannot resolve. Between December 2022 and August 2024, a period of unprecedented public exposure to AI through ChatGPT and similar systems, the proportion of American adults expressing concern about increased AI use rose sharply from 38.2% to 50.9%, while excitement declined from 15.5% to 10.9%</w:t>
      </w:r>
      <w:r>
        <w:t xml:space="preserve"> </w:t>
      </w:r>
      <w:r>
        <w:t xml:space="preserve">[@pew2023; @pew2024]</w:t>
      </w:r>
      <w:r>
        <w:t xml:space="preserve">. If more information straightforwardly led to more positive attitudes, the massive increase in public AI awareness during this period should have produced the opposite pattern. Even those who reported having heard</w:t>
      </w:r>
      <w:r>
        <w:t xml:space="preserve"> </w:t>
      </w:r>
      <w:r>
        <w:t xml:space="preserve">“a lot”</w:t>
      </w:r>
      <w:r>
        <w:t xml:space="preserve"> </w:t>
      </w:r>
      <w:r>
        <w:t xml:space="preserve">about AI grew more concerned over time, cutting against the core prediction of the deficit model.</w:t>
      </w:r>
    </w:p>
    <w:p>
      <w:pPr>
        <w:pStyle w:val="BodyText"/>
      </w:pPr>
      <w:r>
        <w:t xml:space="preserve">What the deficit model misses is a third category in the Pew survey: respondents who reported feeling</w:t>
      </w:r>
      <w:r>
        <w:t xml:space="preserve"> </w:t>
      </w:r>
      <w:r>
        <w:t xml:space="preserve">“equally concerned and excited”</w:t>
      </w:r>
      <w:r>
        <w:t xml:space="preserve"> </w:t>
      </w:r>
      <w:r>
        <w:t xml:space="preserve">about the increased use of AI in daily life. This group constituted 46.3% of respondents in December 2022 and 38.3% by August 2024. Prior analyses have treated them as a residual middle category, people who simply could not decide. We propose a different reading. Decades of research in epistemic cognition and reflective judgment</w:t>
      </w:r>
      <w:r>
        <w:t xml:space="preserve"> </w:t>
      </w:r>
      <w:r>
        <w:t xml:space="preserve">[@king1994; @kuhn1991; @perry1970]</w:t>
      </w:r>
      <w:r>
        <w:t xml:space="preserve"> </w:t>
      </w:r>
      <w:r>
        <w:t xml:space="preserve">suggest that the capacity to simultaneously hold both concern and excitement about a complex, uncertain phenomenon represents the</w:t>
      </w:r>
      <w:r>
        <w:t xml:space="preserve"> </w:t>
      </w:r>
      <w:r>
        <w:rPr>
          <w:i/>
          <w:iCs/>
        </w:rPr>
        <w:t xml:space="preserve">highest</w:t>
      </w:r>
      <w:r>
        <w:t xml:space="preserve"> </w:t>
      </w:r>
      <w:r>
        <w:t xml:space="preserve">level of epistemic processing, not the lowest. Holding AI’s transformative potential and its risks in productive tension demands cognitive sophistication that categorical responses, whether purely excited or purely concerned, do not require.</w:t>
      </w:r>
    </w:p>
    <w:p>
      <w:pPr>
        <w:pStyle w:val="BodyText"/>
      </w:pPr>
      <w:r>
        <w:t xml:space="preserve">This reframing changes how we should design and evaluate AI literacy programs. If the</w:t>
      </w:r>
      <w:r>
        <w:t xml:space="preserve"> </w:t>
      </w:r>
      <w:r>
        <w:t xml:space="preserve">“equally”</w:t>
      </w:r>
      <w:r>
        <w:t xml:space="preserve"> </w:t>
      </w:r>
      <w:r>
        <w:t xml:space="preserve">response reflects epistemic complexity, then AI education should not aim to move people from concern to excitement. It should develop the epistemic capacity that enables careful evaluation of technologies whose consequences remain genuinely uncertain. The question shifts from</w:t>
      </w:r>
      <w:r>
        <w:t xml:space="preserve"> </w:t>
      </w:r>
      <w:r>
        <w:t xml:space="preserve">“How do we make people more positive about AI?”</w:t>
      </w:r>
      <w:r>
        <w:t xml:space="preserve"> </w:t>
      </w:r>
      <w:r>
        <w:t xml:space="preserve">to</w:t>
      </w:r>
      <w:r>
        <w:t xml:space="preserve"> </w:t>
      </w:r>
      <w:r>
        <w:t xml:space="preserve">“How do we help people think more complexly about AI?”</w:t>
      </w:r>
    </w:p>
    <w:p>
      <w:pPr>
        <w:pStyle w:val="BodyText"/>
      </w:pPr>
      <w:r>
        <w:t xml:space="preserve">The most conspicuous gap in the existing literature is the absence of epistemic cognition theory from the study of public AI attitudes, despite the natural fit between reflective judgment models and the challenge of evaluating a technology characterized by deep uncertainty. The knowledge gap hypothesis</w:t>
      </w:r>
      <w:r>
        <w:t xml:space="preserve"> </w:t>
      </w:r>
      <w:r>
        <w:t xml:space="preserve">[@tichenor1970; @hwang2009]</w:t>
      </w:r>
      <w:r>
        <w:t xml:space="preserve"> </w:t>
      </w:r>
      <w:r>
        <w:t xml:space="preserve">has been applied to AI attitude formation, but it predicts widening differences in knowledge acquisition without theorizing how education shapes the</w:t>
      </w:r>
      <w:r>
        <w:t xml:space="preserve"> </w:t>
      </w:r>
      <w:r>
        <w:rPr>
          <w:i/>
          <w:iCs/>
        </w:rPr>
        <w:t xml:space="preserve">quality</w:t>
      </w:r>
      <w:r>
        <w:t xml:space="preserve"> </w:t>
      </w:r>
      <w:r>
        <w:t xml:space="preserve">of attitude formation. Meanwhile, current AI literacy frameworks emphasize technical competencies, understanding what AI can do, how it works, and where it is applied</w:t>
      </w:r>
      <w:r>
        <w:t xml:space="preserve"> </w:t>
      </w:r>
      <w:r>
        <w:t xml:space="preserve">[@long2020; @ng2021]</w:t>
      </w:r>
      <w:r>
        <w:t xml:space="preserve">, while largely neglecting the epistemic dispositions that enable adults to evaluate AI’s societal implications. And there is simply no empirical evidence on whether education-based differences in AI attitudes are static or dynamic across a period of rapidly expanding AI discourse.</w:t>
      </w:r>
    </w:p>
    <w:p>
      <w:pPr>
        <w:pStyle w:val="BodyText"/>
      </w:pPr>
      <w:r>
        <w:t xml:space="preserve">Using three waves of Pew American Trends Panel data spanning the launch and normalization of generative AI (</w:t>
      </w:r>
      <w:r>
        <w:rPr>
          <w:i/>
          <w:iCs/>
        </w:rPr>
        <w:t xml:space="preserve">N</w:t>
      </w:r>
      <w:r>
        <w:t xml:space="preserve"> </w:t>
      </w:r>
      <w:r>
        <w:t xml:space="preserve">= 24,741), we test five hypotheses derived from epistemic cognition theory and the knowledge gap hypothesis. The results show that education creates durable differences in the</w:t>
      </w:r>
      <w:r>
        <w:t xml:space="preserve"> </w:t>
      </w:r>
      <w:r>
        <w:rPr>
          <w:i/>
          <w:iCs/>
        </w:rPr>
        <w:t xml:space="preserve">type</w:t>
      </w:r>
      <w:r>
        <w:t xml:space="preserve"> </w:t>
      </w:r>
      <w:r>
        <w:t xml:space="preserve">of AI attitudes people hold. College graduates consistently favor epistemic complexity. These differences do not merely shift the direction of attitudes along a positive-negative continuum. The findings challenge the information deficit model and offer an alternative theoretical foundation for AI literacy programming in human resource development (HRD) and adult education contexts.</w:t>
      </w:r>
    </w:p>
    <w:bookmarkEnd w:id="10"/>
    <w:bookmarkStart w:id="16" w:name="theoretical-framework-and-hypotheses"/>
    <w:p>
      <w:pPr>
        <w:pStyle w:val="Heading1"/>
      </w:pPr>
      <w:r>
        <w:t xml:space="preserve">Theoretical Framework and Hypotheses</w:t>
      </w:r>
    </w:p>
    <w:bookmarkStart w:id="11" w:name="X1c141476d3cea9294df394697f5c9be997d9cfe"/>
    <w:p>
      <w:pPr>
        <w:pStyle w:val="Heading2"/>
      </w:pPr>
      <w:r>
        <w:t xml:space="preserve">The Information Deficit Model and Its Limitations</w:t>
      </w:r>
    </w:p>
    <w:p>
      <w:pPr>
        <w:pStyle w:val="FirstParagraph"/>
      </w:pPr>
      <w:r>
        <w:t xml:space="preserve">When organizations roll out AI training, they almost always start with the same playbook: explain what AI is, demonstrate what it can do, and address misconceptions. The implicit theory is that resistance will dissolve once people understand the technology. This approach reflects the information deficit model, which has dominated science communication scholarship and practice for decades. Its logic is simple: public opposition to science and technology stems from inadequate knowledge, so providing more and better information will align public attitudes with expert consensus</w:t>
      </w:r>
      <w:r>
        <w:t xml:space="preserve"> </w:t>
      </w:r>
      <w:r>
        <w:t xml:space="preserve">[@scheufele2005]</w:t>
      </w:r>
      <w:r>
        <w:t xml:space="preserve">. Applied to artificial intelligence, the model predicts that AI literacy education will reduce anxiety and increase acceptance. This assumption drives the rapid expansion of AI literacy curricula in corporate training programs, higher education, and public policy initiatives worldwide</w:t>
      </w:r>
      <w:r>
        <w:t xml:space="preserve"> </w:t>
      </w:r>
      <w:r>
        <w:t xml:space="preserve">[@laupichler2022; @selwyn2022]</w:t>
      </w:r>
      <w:r>
        <w:t xml:space="preserve">.</w:t>
      </w:r>
    </w:p>
    <w:p>
      <w:pPr>
        <w:pStyle w:val="BodyText"/>
      </w:pPr>
      <w:r>
        <w:t xml:space="preserve">The empirical record tells a different story.</w:t>
      </w:r>
      <w:r>
        <w:t xml:space="preserve"> </w:t>
      </w:r>
      <w:r>
        <w:t xml:space="preserve">@kahan2012</w:t>
      </w:r>
      <w:r>
        <w:t xml:space="preserve"> </w:t>
      </w:r>
      <w:r>
        <w:t xml:space="preserve">demonstrated that individuals with higher science literacy and numeracy were</w:t>
      </w:r>
      <w:r>
        <w:t xml:space="preserve"> </w:t>
      </w:r>
      <w:r>
        <w:rPr>
          <w:i/>
          <w:iCs/>
        </w:rPr>
        <w:t xml:space="preserve">more</w:t>
      </w:r>
      <w:r>
        <w:t xml:space="preserve">, not less, politically polarized on climate change risks, suggesting that knowledge enhances the capacity for motivated reasoning, not that it simply corrects misperceptions. In the case of nanotechnology, a technology that, like AI, was marked by novelty, uncertainty, and significant transformative potential,</w:t>
      </w:r>
      <w:r>
        <w:t xml:space="preserve"> </w:t>
      </w:r>
      <w:r>
        <w:t xml:space="preserve">@scheufele2005</w:t>
      </w:r>
      <w:r>
        <w:t xml:space="preserve"> </w:t>
      </w:r>
      <w:r>
        <w:t xml:space="preserve">found that public attitudes were shaped far more by value predispositions and trust in institutions than by factual knowledge.</w:t>
      </w:r>
      <w:r>
        <w:t xml:space="preserve"> </w:t>
      </w:r>
      <w:r>
        <w:t xml:space="preserve">@bonfadelli2002</w:t>
      </w:r>
      <w:r>
        <w:t xml:space="preserve"> </w:t>
      </w:r>
      <w:r>
        <w:t xml:space="preserve">extended these findings to the digital context, showing that internet access alone did not close knowledge gaps and that pre-existing cognitive resources shaped how individuals processed new information.</w:t>
      </w:r>
    </w:p>
    <w:p>
      <w:pPr>
        <w:pStyle w:val="BodyText"/>
      </w:pPr>
      <w:r>
        <w:t xml:space="preserve">The Pew data examined here offer particularly striking evidence against the deficit model in the AI domain. Between December 2022 and August 2023, a period during which public awareness of AI surged following the release of ChatGPT, the proportion of adults who had heard</w:t>
      </w:r>
      <w:r>
        <w:t xml:space="preserve"> </w:t>
      </w:r>
      <w:r>
        <w:t xml:space="preserve">“a lot”</w:t>
      </w:r>
      <w:r>
        <w:t xml:space="preserve"> </w:t>
      </w:r>
      <w:r>
        <w:t xml:space="preserve">about AI jumped. Yet concern about AI</w:t>
      </w:r>
      <w:r>
        <w:t xml:space="preserve"> </w:t>
      </w:r>
      <w:r>
        <w:rPr>
          <w:i/>
          <w:iCs/>
        </w:rPr>
        <w:t xml:space="preserve">also</w:t>
      </w:r>
      <w:r>
        <w:t xml:space="preserve"> </w:t>
      </w:r>
      <w:r>
        <w:t xml:space="preserve">rose sharply, from 38.2% to 53.2%. Under the deficit model, increased awareness should have eased concern; instead, awareness and concern climbed in tandem. Even among those reporting the highest levels of AI awareness, concern increased by a large margin. More information about AI does not automatically produce more positive attitudes. Under certain conditions, it may instead produce more</w:t>
      </w:r>
      <w:r>
        <w:t xml:space="preserve"> </w:t>
      </w:r>
      <w:r>
        <w:rPr>
          <w:i/>
          <w:iCs/>
        </w:rPr>
        <w:t xml:space="preserve">differentiated</w:t>
      </w:r>
      <w:r>
        <w:t xml:space="preserve"> </w:t>
      </w:r>
      <w:r>
        <w:t xml:space="preserve">attitudes that include heightened appreciation of both benefits and risks.</w:t>
      </w:r>
    </w:p>
    <w:bookmarkEnd w:id="11"/>
    <w:bookmarkStart w:id="12" w:name="the-knowledge-gap-hypothesis"/>
    <w:p>
      <w:pPr>
        <w:pStyle w:val="Heading2"/>
      </w:pPr>
      <w:r>
        <w:t xml:space="preserve">The Knowledge Gap Hypothesis</w:t>
      </w:r>
    </w:p>
    <w:p>
      <w:pPr>
        <w:pStyle w:val="FirstParagraph"/>
      </w:pPr>
      <w:r>
        <w:t xml:space="preserve">While the information deficit model focuses on the aggregate relationship between knowledge and attitudes, the knowledge gap hypothesis addresses how information is differentially acquired and processed across social strata. Originally formulated by</w:t>
      </w:r>
      <w:r>
        <w:t xml:space="preserve"> </w:t>
      </w:r>
      <w:r>
        <w:t xml:space="preserve">@tichenor1970</w:t>
      </w:r>
      <w:r>
        <w:t xml:space="preserve">, the hypothesis proposes that as the infusion of mass media information into a social system increases, segments of the population with higher socioeconomic status tend to acquire this information faster than lower-status segments, so that the gap in knowledge between these segments tends to increase. Education is the primary mechanism: formal education provides not only factual knowledge but also the cognitive skills, media literacy, and social networks that facilitate information processing</w:t>
      </w:r>
      <w:r>
        <w:t xml:space="preserve"> </w:t>
      </w:r>
      <w:r>
        <w:t xml:space="preserve">[@viswanath1996; @gaziano1997]</w:t>
      </w:r>
      <w:r>
        <w:t xml:space="preserve">.</w:t>
      </w:r>
    </w:p>
    <w:p>
      <w:pPr>
        <w:pStyle w:val="BodyText"/>
      </w:pPr>
      <w:r>
        <w:t xml:space="preserve">Applied to AI, the knowledge gap hypothesis generates important but incomplete predictions. It suggests that as AI discourse proliferates through news media, social platforms, and workplace communications, college-educated adults will develop more sophisticated understandings of AI more rapidly than those with less formal education.</w:t>
      </w:r>
      <w:r>
        <w:t xml:space="preserve"> </w:t>
      </w:r>
      <w:r>
        <w:t xml:space="preserve">@hwang2009</w:t>
      </w:r>
      <w:r>
        <w:t xml:space="preserve">, in a meta-analysis spanning 35 years of knowledge gap research, confirmed that the gap is robust across diverse topics and information environments, with education consistently emerging as the strongest predictor of differential knowledge acquisition.</w:t>
      </w:r>
      <w:r>
        <w:t xml:space="preserve"> </w:t>
      </w:r>
      <w:r>
        <w:t xml:space="preserve">@bonfadelli2002</w:t>
      </w:r>
      <w:r>
        <w:t xml:space="preserve"> </w:t>
      </w:r>
      <w:r>
        <w:t xml:space="preserve">showed that the knowledge gap extends to digital technologies, where access inequalities compound informational ones.</w:t>
      </w:r>
    </w:p>
    <w:p>
      <w:pPr>
        <w:pStyle w:val="BodyText"/>
      </w:pPr>
      <w:r>
        <w:t xml:space="preserve">The traditional knowledge gap hypothesis, however, theorizes differences in the</w:t>
      </w:r>
      <w:r>
        <w:t xml:space="preserve"> </w:t>
      </w:r>
      <w:r>
        <w:rPr>
          <w:i/>
          <w:iCs/>
        </w:rPr>
        <w:t xml:space="preserve">quantity</w:t>
      </w:r>
      <w:r>
        <w:t xml:space="preserve"> </w:t>
      </w:r>
      <w:r>
        <w:t xml:space="preserve">of knowledge, not the</w:t>
      </w:r>
      <w:r>
        <w:t xml:space="preserve"> </w:t>
      </w:r>
      <w:r>
        <w:rPr>
          <w:i/>
          <w:iCs/>
        </w:rPr>
        <w:t xml:space="preserve">quality</w:t>
      </w:r>
      <w:r>
        <w:t xml:space="preserve"> </w:t>
      </w:r>
      <w:r>
        <w:t xml:space="preserve">of processing. It predicts that college-educated adults will know more about AI but does not specify how this knowledge advantage translates into attitude formation. A person might know more about AI and become more excited about its potential. Or they might know more and become more concerned about its risks. Or they might know more and develop the capacity to hold both evaluations simultaneously. The knowledge gap hypothesis, as originally formulated, cannot discriminate among these possibilities.</w:t>
      </w:r>
    </w:p>
    <w:p>
      <w:pPr>
        <w:pStyle w:val="BodyText"/>
      </w:pPr>
      <w:r>
        <w:t xml:space="preserve">We extend the knowledge gap framework by proposing that the education gap in AI attitudes operates primarily through</w:t>
      </w:r>
      <w:r>
        <w:t xml:space="preserve"> </w:t>
      </w:r>
      <w:r>
        <w:rPr>
          <w:i/>
          <w:iCs/>
        </w:rPr>
        <w:t xml:space="preserve">processing complexity</w:t>
      </w:r>
      <w:r>
        <w:t xml:space="preserve">. The argument is that formal education, particularly higher education, develops not just knowledge but epistemic capacities that shape how individuals engage with inherently uncertain and contested claims about AI’s societal implications. This reconceptualization shifts attention from what people know about AI to</w:t>
      </w:r>
      <w:r>
        <w:t xml:space="preserve"> </w:t>
      </w:r>
      <w:r>
        <w:rPr>
          <w:i/>
          <w:iCs/>
        </w:rPr>
        <w:t xml:space="preserve">how they know</w:t>
      </w:r>
      <w:r>
        <w:t xml:space="preserve">, that is, the epistemic frameworks through which they evaluate competing claims.</w:t>
      </w:r>
    </w:p>
    <w:bookmarkEnd w:id="12"/>
    <w:bookmarkStart w:id="13" w:name="epistemic-cognition-development"/>
    <w:p>
      <w:pPr>
        <w:pStyle w:val="Heading2"/>
      </w:pPr>
      <w:r>
        <w:t xml:space="preserve">Epistemic Cognition Development</w:t>
      </w:r>
    </w:p>
    <w:p>
      <w:pPr>
        <w:pStyle w:val="FirstParagraph"/>
      </w:pPr>
      <w:r>
        <w:t xml:space="preserve">What explains why two adults with the same factual knowledge about AI can arrive at such different attitudes? Epistemic cognition, how individuals think about knowledge and knowing, offers an answer. The concept encompasses assumptions about the certainty, simplicity, sources, and justification of knowledge claims</w:t>
      </w:r>
      <w:r>
        <w:t xml:space="preserve"> </w:t>
      </w:r>
      <w:r>
        <w:t xml:space="preserve">[@hofer1997]</w:t>
      </w:r>
      <w:r>
        <w:t xml:space="preserve">. The field has produced several influential developmental models that, despite differences in terminology and emphasis, converge on a common trajectory from naive to sophisticated epistemological understanding.</w:t>
      </w:r>
    </w:p>
    <w:p>
      <w:pPr>
        <w:pStyle w:val="BodyText"/>
      </w:pPr>
      <w:r>
        <w:t xml:space="preserve">@king1994</w:t>
      </w:r>
      <w:r>
        <w:t xml:space="preserve"> </w:t>
      </w:r>
      <w:r>
        <w:t xml:space="preserve">proposed the Reflective Judgment Model (RJM), which identifies seven stages grouped into three broad levels of epistemic development. At the</w:t>
      </w:r>
      <w:r>
        <w:t xml:space="preserve"> </w:t>
      </w:r>
      <w:r>
        <w:rPr>
          <w:i/>
          <w:iCs/>
        </w:rPr>
        <w:t xml:space="preserve">pre-reflective</w:t>
      </w:r>
      <w:r>
        <w:t xml:space="preserve"> </w:t>
      </w:r>
      <w:r>
        <w:t xml:space="preserve">level (stages 1–3), individuals assume that knowledge is certain, directly observable, and dictated by authorities. When confronted with ill-structured problems, that is, problems for which evidence is incomplete, experts disagree, and reasonable people can reach different conclusions, pre-reflective thinkers either defer to authority or deny the legitimacy of the uncertainty itself. At the</w:t>
      </w:r>
      <w:r>
        <w:t xml:space="preserve"> </w:t>
      </w:r>
      <w:r>
        <w:rPr>
          <w:i/>
          <w:iCs/>
        </w:rPr>
        <w:t xml:space="preserve">quasi-reflective</w:t>
      </w:r>
      <w:r>
        <w:t xml:space="preserve"> </w:t>
      </w:r>
      <w:r>
        <w:t xml:space="preserve">level (stages 4–5), individuals recognize that knowledge is uncertain and that evidence can be interpreted differently, but they cannot yet articulate how competing interpretations should be evaluated and integrated. At the</w:t>
      </w:r>
      <w:r>
        <w:t xml:space="preserve"> </w:t>
      </w:r>
      <w:r>
        <w:rPr>
          <w:i/>
          <w:iCs/>
        </w:rPr>
        <w:t xml:space="preserve">reflective</w:t>
      </w:r>
      <w:r>
        <w:t xml:space="preserve"> </w:t>
      </w:r>
      <w:r>
        <w:t xml:space="preserve">level (stages 6–7), individuals understand that knowledge is constructed through inquiry, that competing claims must be evaluated using available evidence and reasoned argument, and that well-justified conclusions can be reached even in the face of genuine uncertainty.</w:t>
      </w:r>
    </w:p>
    <w:p>
      <w:pPr>
        <w:pStyle w:val="BodyText"/>
      </w:pPr>
      <w:r>
        <w:t xml:space="preserve">@perry1970</w:t>
      </w:r>
      <w:r>
        <w:t xml:space="preserve">, working specifically in the higher education context, described a parallel developmental trajectory from dualistic thinking (knowledge is right or wrong; authorities determine truth) through multiplistic thinking (all opinions are equally valid; knowledge is subjective) to contextual relativism (knowledge claims must be evaluated against evidence within particular frameworks).</w:t>
      </w:r>
      <w:r>
        <w:t xml:space="preserve"> </w:t>
      </w:r>
      <w:r>
        <w:t xml:space="preserve">@baxtermagolda2001</w:t>
      </w:r>
      <w:r>
        <w:t xml:space="preserve">, building on Perry’s work, introduced the concept of</w:t>
      </w:r>
      <w:r>
        <w:t xml:space="preserve"> </w:t>
      </w:r>
      <w:r>
        <w:rPr>
          <w:i/>
          <w:iCs/>
        </w:rPr>
        <w:t xml:space="preserve">self-authorship</w:t>
      </w:r>
      <w:r>
        <w:t xml:space="preserve">, the capacity to construct one’s own knowledge frameworks through internal validation, as the hallmark of mature epistemic functioning.</w:t>
      </w:r>
      <w:r>
        <w:t xml:space="preserve"> </w:t>
      </w:r>
      <w:r>
        <w:t xml:space="preserve">@kuhn1991</w:t>
      </w:r>
      <w:r>
        <w:t xml:space="preserve"> </w:t>
      </w:r>
      <w:r>
        <w:t xml:space="preserve">provided extensive empirical evidence that the skills of argumentation, specifically the capacity to construct and evaluate evidence-based arguments about uncertain claims, develop unevenly across the adult population and are significantly related to educational attainment.</w:t>
      </w:r>
    </w:p>
    <w:p>
      <w:pPr>
        <w:pStyle w:val="BodyText"/>
      </w:pPr>
      <w:r>
        <w:t xml:space="preserve">These developmental models share a key implication for understanding AI attitudes: the capacity to simultaneously hold competing evaluations of AI, recognizing both its transformative potential and its genuine risks, is itself an</w:t>
      </w:r>
      <w:r>
        <w:t xml:space="preserve"> </w:t>
      </w:r>
      <w:r>
        <w:rPr>
          <w:i/>
          <w:iCs/>
        </w:rPr>
        <w:t xml:space="preserve">achievement</w:t>
      </w:r>
      <w:r>
        <w:t xml:space="preserve"> </w:t>
      </w:r>
      <w:r>
        <w:t xml:space="preserve">of epistemic development, not a failure of opinion formation. Pre-reflective thinkers, confronted with the inherently ill-structured question of whether AI will be beneficial or harmful, are likely to resolve the uncertainty categorically: AI is either good (exciting) or bad (concerning). Reflective thinkers, by contrast, can sustain the epistemic stance that AI is</w:t>
      </w:r>
      <w:r>
        <w:t xml:space="preserve"> </w:t>
      </w:r>
      <w:r>
        <w:rPr>
          <w:i/>
          <w:iCs/>
        </w:rPr>
        <w:t xml:space="preserve">both</w:t>
      </w:r>
      <w:r>
        <w:t xml:space="preserve"> </w:t>
      </w:r>
      <w:r>
        <w:t xml:space="preserve">promising and threatening, and that the relationship between these evaluations must be worked out contextually.</w:t>
      </w:r>
    </w:p>
    <w:p>
      <w:pPr>
        <w:pStyle w:val="BodyText"/>
      </w:pPr>
      <w:r>
        <w:t xml:space="preserve">@hofer1997</w:t>
      </w:r>
      <w:r>
        <w:t xml:space="preserve">, in their comprehensive review of epistemological theories, identified four dimensions of epistemic beliefs: the certainty of knowledge, the simplicity of knowledge, the source of knowledge, and the justification of knowledge. Each dimension has implications for AI attitude formation. Individuals who believe knowledge is certain and simple are likely to seek definitive answers to the question</w:t>
      </w:r>
      <w:r>
        <w:t xml:space="preserve"> </w:t>
      </w:r>
      <w:r>
        <w:t xml:space="preserve">“Is AI good or bad?”</w:t>
      </w:r>
      <w:r>
        <w:t xml:space="preserve">, and the categorical response options of</w:t>
      </w:r>
      <w:r>
        <w:t xml:space="preserve"> </w:t>
      </w:r>
      <w:r>
        <w:t xml:space="preserve">“excited”</w:t>
      </w:r>
      <w:r>
        <w:t xml:space="preserve"> </w:t>
      </w:r>
      <w:r>
        <w:t xml:space="preserve">or</w:t>
      </w:r>
      <w:r>
        <w:t xml:space="preserve"> </w:t>
      </w:r>
      <w:r>
        <w:t xml:space="preserve">“concerned”</w:t>
      </w:r>
      <w:r>
        <w:t xml:space="preserve"> </w:t>
      </w:r>
      <w:r>
        <w:t xml:space="preserve">satisfy this epistemic need. Those who believe knowledge is complex and justified through evidence and argument are more likely to recognize that AI’s impact depends on context, implementation, and governance, a recognition captured by the</w:t>
      </w:r>
      <w:r>
        <w:t xml:space="preserve"> </w:t>
      </w:r>
      <w:r>
        <w:t xml:space="preserve">“equally”</w:t>
      </w:r>
      <w:r>
        <w:t xml:space="preserve"> </w:t>
      </w:r>
      <w:r>
        <w:t xml:space="preserve">response.</w:t>
      </w:r>
    </w:p>
    <w:p>
      <w:pPr>
        <w:pStyle w:val="BodyText"/>
      </w:pPr>
      <w:r>
        <w:t xml:space="preserve">@bendixen2004</w:t>
      </w:r>
      <w:r>
        <w:t xml:space="preserve"> </w:t>
      </w:r>
      <w:r>
        <w:t xml:space="preserve">offered an integrative model identifying epistemic doubt, the discomfort that arises when existing epistemic assumptions prove inadequate, as a key mechanism of epistemic change. The rapid proliferation of AI in daily life, particularly the public release of large language models, represents this kind of disruption, the sort that can trigger epistemic doubt.</w:t>
      </w:r>
      <w:r>
        <w:t xml:space="preserve"> </w:t>
      </w:r>
      <w:r>
        <w:t xml:space="preserve">@bromme2010</w:t>
      </w:r>
      <w:r>
        <w:t xml:space="preserve"> </w:t>
      </w:r>
      <w:r>
        <w:t xml:space="preserve">cautioned, however, that epistemic doubt does not automatically lead to epistemic growth; without adequate scaffolding, it may instead produce defensive retreat into more rigid epistemic positions.</w:t>
      </w:r>
      <w:r>
        <w:t xml:space="preserve"> </w:t>
      </w:r>
      <w:r>
        <w:t xml:space="preserve">@barzilai2018</w:t>
      </w:r>
      <w:r>
        <w:t xml:space="preserve"> </w:t>
      </w:r>
      <w:r>
        <w:t xml:space="preserve">proposed the concept of</w:t>
      </w:r>
      <w:r>
        <w:t xml:space="preserve"> </w:t>
      </w:r>
      <w:r>
        <w:rPr>
          <w:i/>
          <w:iCs/>
        </w:rPr>
        <w:t xml:space="preserve">apt epistemic performance</w:t>
      </w:r>
      <w:r>
        <w:t xml:space="preserve">, the capacity to deploy appropriate epistemic practices in response to specific knowledge challenges, as the proper goal of epistemic education, a framework directly applicable to AI literacy.</w:t>
      </w:r>
    </w:p>
    <w:bookmarkEnd w:id="13"/>
    <w:bookmarkStart w:id="14" w:name="ai-literacy-as-epistemic-development"/>
    <w:p>
      <w:pPr>
        <w:pStyle w:val="Heading2"/>
      </w:pPr>
      <w:r>
        <w:t xml:space="preserve">AI Literacy as Epistemic Development</w:t>
      </w:r>
    </w:p>
    <w:p>
      <w:pPr>
        <w:pStyle w:val="FirstParagraph"/>
      </w:pPr>
      <w:r>
        <w:t xml:space="preserve">What would it mean to teach AI literacy as epistemic development? Current AI literacy frameworks, while valuable, focus on competencies that map primarily onto the knowledge dimension.</w:t>
      </w:r>
      <w:r>
        <w:t xml:space="preserve"> </w:t>
      </w:r>
      <w:r>
        <w:t xml:space="preserve">@long2020</w:t>
      </w:r>
      <w:r>
        <w:t xml:space="preserve"> </w:t>
      </w:r>
      <w:r>
        <w:t xml:space="preserve">identified 17 AI literacy competencies organized around five themes: recognizing AI, understanding AI, using AI, evaluating AI, and creating with AI.</w:t>
      </w:r>
      <w:r>
        <w:t xml:space="preserve"> </w:t>
      </w:r>
      <w:r>
        <w:t xml:space="preserve">@ng2021</w:t>
      </w:r>
      <w:r>
        <w:t xml:space="preserve">, in a systematic review, conceptualized AI literacy as encompassing technical understanding, practical application, and ethical awareness. These frameworks matter, but they are insufficient if the goal extends beyond knowledge acquisition to epistemic development.</w:t>
      </w:r>
    </w:p>
    <w:p>
      <w:pPr>
        <w:pStyle w:val="BodyText"/>
      </w:pPr>
      <w:r>
        <w:t xml:space="preserve">The adult education literature provides theoretical resources for this extension.</w:t>
      </w:r>
      <w:r>
        <w:t xml:space="preserve"> </w:t>
      </w:r>
      <w:r>
        <w:t xml:space="preserve">@mezirow1991</w:t>
      </w:r>
      <w:r>
        <w:t xml:space="preserve"> </w:t>
      </w:r>
      <w:r>
        <w:t xml:space="preserve">described transformative learning as a process through which adults critically examine and revise their meaning perspectives, the habitual frames of reference through which they interpret experience. AI presents what Mezirow would call a</w:t>
      </w:r>
      <w:r>
        <w:t xml:space="preserve"> </w:t>
      </w:r>
      <w:r>
        <w:rPr>
          <w:i/>
          <w:iCs/>
        </w:rPr>
        <w:t xml:space="preserve">disorienting dilemma</w:t>
      </w:r>
      <w:r>
        <w:t xml:space="preserve">: an experience that cannot be assimilated into existing meaning structures without fundamental revision of assumptions about work, expertise, creativity, and human uniqueness</w:t>
      </w:r>
      <w:r>
        <w:t xml:space="preserve"> </w:t>
      </w:r>
      <w:r>
        <w:t xml:space="preserve">[@mezirow2000]</w:t>
      </w:r>
      <w:r>
        <w:t xml:space="preserve">.</w:t>
      </w:r>
      <w:r>
        <w:t xml:space="preserve"> </w:t>
      </w:r>
      <w:r>
        <w:t xml:space="preserve">@cranton2006</w:t>
      </w:r>
      <w:r>
        <w:t xml:space="preserve">, translating Mezirow’s theory into pedagogical practice, emphasized that transformative learning requires not only exposure to new information but also critical reflection on the assumptions that structure one’s interpretation of that information. The</w:t>
      </w:r>
      <w:r>
        <w:t xml:space="preserve"> </w:t>
      </w:r>
      <w:r>
        <w:t xml:space="preserve">“equally”</w:t>
      </w:r>
      <w:r>
        <w:t xml:space="preserve"> </w:t>
      </w:r>
      <w:r>
        <w:t xml:space="preserve">response may reflect this kind of epistemic work.</w:t>
      </w:r>
    </w:p>
    <w:p>
      <w:pPr>
        <w:pStyle w:val="BodyText"/>
      </w:pPr>
      <w:r>
        <w:t xml:space="preserve">The connection between formal education and epistemic development is well documented but not deterministic.</w:t>
      </w:r>
      <w:r>
        <w:t xml:space="preserve"> </w:t>
      </w:r>
      <w:r>
        <w:t xml:space="preserve">@king1994</w:t>
      </w:r>
      <w:r>
        <w:t xml:space="preserve"> </w:t>
      </w:r>
      <w:r>
        <w:t xml:space="preserve">found that reflective judgment scores were significantly correlated with educational level, with the most dramatic gains occurring during and immediately after college. They also found substantial within-level variation, though, indicating that education creates</w:t>
      </w:r>
      <w:r>
        <w:t xml:space="preserve"> </w:t>
      </w:r>
      <w:r>
        <w:rPr>
          <w:i/>
          <w:iCs/>
        </w:rPr>
        <w:t xml:space="preserve">opportunities</w:t>
      </w:r>
      <w:r>
        <w:t xml:space="preserve"> </w:t>
      </w:r>
      <w:r>
        <w:t xml:space="preserve">for epistemic development without guaranteeing it.</w:t>
      </w:r>
      <w:r>
        <w:t xml:space="preserve"> </w:t>
      </w:r>
      <w:r>
        <w:t xml:space="preserve">@merriam2007</w:t>
      </w:r>
      <w:r>
        <w:t xml:space="preserve"> </w:t>
      </w:r>
      <w:r>
        <w:t xml:space="preserve">noted that adult learning contexts vary dramatically in their capacity to support epistemic growth, with some educational environments reinforcing pre-reflective thinking patterns.</w:t>
      </w:r>
      <w:r>
        <w:t xml:space="preserve"> </w:t>
      </w:r>
      <w:r>
        <w:t xml:space="preserve">@jarvis2006</w:t>
      </w:r>
      <w:r>
        <w:t xml:space="preserve"> </w:t>
      </w:r>
      <w:r>
        <w:t xml:space="preserve">argued that meaningful learning requires engagement with experiences that disrupt existing knowledge frameworks, not merely information transfer.</w:t>
      </w:r>
    </w:p>
    <w:p>
      <w:pPr>
        <w:pStyle w:val="BodyText"/>
      </w:pPr>
      <w:r>
        <w:t xml:space="preserve">For human resource development, this theoretical integration suggests that organizational AI training programs face a choice between two goals that differ not in degree but in kind. The deficit model goal is to help employees understand and accept AI tools, reducing resistance and increasing adoption. The epistemic development goal is to help employees develop the capacity to evaluate AI applications critically and contextually, to hold excitement about AI’s potential and concern about its risks in productive tension. Technical training can achieve the first goal. The second requires a deeper engagement with the epistemic dispositions through which adults construct their understanding of technological change</w:t>
      </w:r>
      <w:r>
        <w:t xml:space="preserve"> </w:t>
      </w:r>
      <w:r>
        <w:t xml:space="preserve">[@knowles1980; @freire1970]</w:t>
      </w:r>
      <w:r>
        <w:t xml:space="preserve">.</w:t>
      </w:r>
    </w:p>
    <w:bookmarkEnd w:id="14"/>
    <w:bookmarkStart w:id="15" w:name="hypotheses"/>
    <w:p>
      <w:pPr>
        <w:pStyle w:val="Heading2"/>
      </w:pPr>
      <w:r>
        <w:t xml:space="preserve">Hypotheses</w:t>
      </w:r>
    </w:p>
    <w:p>
      <w:pPr>
        <w:pStyle w:val="FirstParagraph"/>
      </w:pPr>
      <w:r>
        <w:t xml:space="preserve">Drawing on the integrated theoretical framework of epistemic cognition development and the knowledge gap hypothesis, the following five hypotheses are proposed:</w:t>
      </w:r>
    </w:p>
    <w:p>
      <w:pPr>
        <w:pStyle w:val="BodyText"/>
      </w:pPr>
      <w:r>
        <w:rPr>
          <w:b/>
          <w:bCs/>
        </w:rPr>
        <w:t xml:space="preserve">H1 (Epistemic Complexity Gradient):</w:t>
      </w:r>
      <w:r>
        <w:t xml:space="preserve"> </w:t>
      </w:r>
      <w:r>
        <w:t xml:space="preserve">Higher educational attainment will be associated with a higher probability of reporting</w:t>
      </w:r>
      <w:r>
        <w:t xml:space="preserve"> </w:t>
      </w:r>
      <w:r>
        <w:t xml:space="preserve">“equally concerned and excited”</w:t>
      </w:r>
      <w:r>
        <w:t xml:space="preserve"> </w:t>
      </w:r>
      <w:r>
        <w:t xml:space="preserve">attitudes toward AI (epistemic complexity), net of demographic controls. Specifically, college graduates will show higher rates of the</w:t>
      </w:r>
      <w:r>
        <w:t xml:space="preserve"> </w:t>
      </w:r>
      <w:r>
        <w:t xml:space="preserve">“equally”</w:t>
      </w:r>
      <w:r>
        <w:t xml:space="preserve"> </w:t>
      </w:r>
      <w:r>
        <w:t xml:space="preserve">response compared to those with some college experience or a high school education or less.</w:t>
      </w:r>
    </w:p>
    <w:p>
      <w:pPr>
        <w:pStyle w:val="BodyText"/>
      </w:pPr>
      <w:r>
        <w:rPr>
          <w:i/>
          <w:iCs/>
        </w:rPr>
        <w:t xml:space="preserve">Rationale:</w:t>
      </w:r>
      <w:r>
        <w:t xml:space="preserve"> </w:t>
      </w:r>
      <w:r>
        <w:t xml:space="preserve">Epistemic cognition research consistently demonstrates that formal education, particularly higher education, is associated with more advanced levels of reflective judgment</w:t>
      </w:r>
      <w:r>
        <w:t xml:space="preserve"> </w:t>
      </w:r>
      <w:r>
        <w:t xml:space="preserve">[@king1994; @kuhn1991]</w:t>
      </w:r>
      <w:r>
        <w:t xml:space="preserve">. Simultaneously holding concern and excitement about AI requires comfort with uncertainty and the integration of competing evaluations, capacities that higher education develops.</w:t>
      </w:r>
    </w:p>
    <w:p>
      <w:pPr>
        <w:pStyle w:val="BodyText"/>
      </w:pPr>
      <w:r>
        <w:rPr>
          <w:b/>
          <w:bCs/>
        </w:rPr>
        <w:t xml:space="preserve">H2 (Knowledge Gap in Complexity):</w:t>
      </w:r>
      <w:r>
        <w:t xml:space="preserve"> </w:t>
      </w:r>
      <w:r>
        <w:t xml:space="preserve">The education gap in the</w:t>
      </w:r>
      <w:r>
        <w:t xml:space="preserve"> </w:t>
      </w:r>
      <w:r>
        <w:t xml:space="preserve">“equally”</w:t>
      </w:r>
      <w:r>
        <w:t xml:space="preserve"> </w:t>
      </w:r>
      <w:r>
        <w:t xml:space="preserve">(complex) response will be larger than the education gap in either categorical concern or categorical excitement.</w:t>
      </w:r>
    </w:p>
    <w:p>
      <w:pPr>
        <w:pStyle w:val="BodyText"/>
      </w:pPr>
      <w:r>
        <w:t xml:space="preserve">If the processing capacities fostered by education operate through epistemic complexity, as</w:t>
      </w:r>
      <w:r>
        <w:t xml:space="preserve"> </w:t>
      </w:r>
      <w:r>
        <w:t xml:space="preserve">@tichenor1970</w:t>
      </w:r>
      <w:r>
        <w:t xml:space="preserve"> </w:t>
      </w:r>
      <w:r>
        <w:t xml:space="preserve">and</w:t>
      </w:r>
      <w:r>
        <w:t xml:space="preserve"> </w:t>
      </w:r>
      <w:r>
        <w:t xml:space="preserve">@hwang2009</w:t>
      </w:r>
      <w:r>
        <w:t xml:space="preserve"> </w:t>
      </w:r>
      <w:r>
        <w:t xml:space="preserve">would predict, then the education gap should be most pronounced in the response category demanding the most epistemic sophistication.</w:t>
      </w:r>
    </w:p>
    <w:p>
      <w:pPr>
        <w:pStyle w:val="BodyText"/>
      </w:pPr>
      <w:r>
        <w:rPr>
          <w:b/>
          <w:bCs/>
        </w:rPr>
        <w:t xml:space="preserve">H3 (Awareness-Education Interaction):</w:t>
      </w:r>
      <w:r>
        <w:t xml:space="preserve"> </w:t>
      </w:r>
      <w:r>
        <w:t xml:space="preserve">The highest rates of</w:t>
      </w:r>
      <w:r>
        <w:t xml:space="preserve"> </w:t>
      </w:r>
      <w:r>
        <w:t xml:space="preserve">“equally”</w:t>
      </w:r>
      <w:r>
        <w:t xml:space="preserve"> </w:t>
      </w:r>
      <w:r>
        <w:t xml:space="preserve">responses will be observed among respondents with both high educational attainment and high AI awareness, reflecting the joint contribution of epistemic capacity (education) and domain-specific knowledge (awareness).</w:t>
      </w:r>
    </w:p>
    <w:p>
      <w:pPr>
        <w:pStyle w:val="BodyText"/>
      </w:pPr>
      <w:r>
        <w:rPr>
          <w:i/>
          <w:iCs/>
        </w:rPr>
        <w:t xml:space="preserve">Rationale:</w:t>
      </w:r>
      <w:r>
        <w:t xml:space="preserve"> </w:t>
      </w:r>
      <w:r>
        <w:t xml:space="preserve">Epistemic complexity requires both the cognitive framework to manage competing evaluations (developed through education) and sufficient domain knowledge to generate those evaluations (acquired through AI awareness). Neither factor alone should be sufficient; their interaction should produce the strongest effects. One might object, however, that high awareness could also produce stronger categorical responses if people encounter predominantly one-sided information. The hypothesis assumes that awareness brings exposure to</w:t>
      </w:r>
      <w:r>
        <w:t xml:space="preserve"> </w:t>
      </w:r>
      <w:r>
        <w:rPr>
          <w:i/>
          <w:iCs/>
        </w:rPr>
        <w:t xml:space="preserve">both</w:t>
      </w:r>
      <w:r>
        <w:t xml:space="preserve"> </w:t>
      </w:r>
      <w:r>
        <w:t xml:space="preserve">benefits and risks.</w:t>
      </w:r>
    </w:p>
    <w:p>
      <w:pPr>
        <w:pStyle w:val="BodyText"/>
      </w:pPr>
      <w:r>
        <w:rPr>
          <w:b/>
          <w:bCs/>
        </w:rPr>
        <w:t xml:space="preserve">H4 (Partisan Heuristic Dependency):</w:t>
      </w:r>
      <w:r>
        <w:t xml:space="preserve"> </w:t>
      </w:r>
      <w:r>
        <w:t xml:space="preserve">Partisan identification will be a stronger predictor of AI attitudes among respondents with lower educational attainment, reflecting greater reliance on partisan heuristics as a substitute for independent epistemic evaluation.</w:t>
      </w:r>
    </w:p>
    <w:p>
      <w:pPr>
        <w:pStyle w:val="BodyText"/>
      </w:pPr>
      <w:r>
        <w:t xml:space="preserve">@zaller1992</w:t>
      </w:r>
      <w:r>
        <w:t xml:space="preserve"> </w:t>
      </w:r>
      <w:r>
        <w:t xml:space="preserve">and</w:t>
      </w:r>
      <w:r>
        <w:t xml:space="preserve"> </w:t>
      </w:r>
      <w:r>
        <w:t xml:space="preserve">@druckman2013</w:t>
      </w:r>
      <w:r>
        <w:t xml:space="preserve"> </w:t>
      </w:r>
      <w:r>
        <w:t xml:space="preserve">demonstrated that individuals with lower political sophistication are more likely to rely on partisan cues when forming attitudes about complex issues.</w:t>
      </w:r>
      <w:r>
        <w:t xml:space="preserve"> </w:t>
      </w:r>
      <w:r>
        <w:t xml:space="preserve">@bolsen2014</w:t>
      </w:r>
      <w:r>
        <w:t xml:space="preserve"> </w:t>
      </w:r>
      <w:r>
        <w:t xml:space="preserve">showed that motivated reasoning intensifies when individuals lack the informational resources to evaluate claims independently. Applied to AI, this predicts that lower-education adults will lean more heavily on partisan identity to structure their AI attitudes.</w:t>
      </w:r>
    </w:p>
    <w:p>
      <w:pPr>
        <w:pStyle w:val="BodyText"/>
      </w:pPr>
      <w:r>
        <w:rPr>
          <w:b/>
          <w:bCs/>
        </w:rPr>
        <w:t xml:space="preserve">H5 (Temporal Stability of Epistemic Processing):</w:t>
      </w:r>
      <w:r>
        <w:t xml:space="preserve"> </w:t>
      </w:r>
      <w:r>
        <w:t xml:space="preserve">Education-based differences in AI attitudes will remain stable across survey waves, because the epistemic processing capacities that education develops are established prior to and independently of the AI information environment.</w:t>
      </w:r>
    </w:p>
    <w:p>
      <w:pPr>
        <w:pStyle w:val="BodyText"/>
      </w:pPr>
      <w:r>
        <w:rPr>
          <w:i/>
          <w:iCs/>
        </w:rPr>
        <w:t xml:space="preserve">Rationale:</w:t>
      </w:r>
      <w:r>
        <w:t xml:space="preserve"> </w:t>
      </w:r>
      <w:r>
        <w:t xml:space="preserve">Unlike factual knowledge, which can shift rapidly with new information exposure, epistemic capacities are developmental achievements that change slowly if at all in adulthood</w:t>
      </w:r>
      <w:r>
        <w:t xml:space="preserve"> </w:t>
      </w:r>
      <w:r>
        <w:t xml:space="preserve">[@king1994; @baxtermagolda2001]</w:t>
      </w:r>
      <w:r>
        <w:t xml:space="preserve">. The education gradient should therefore be largely invariant to the dramatic changes in AI discourse between December 2022 and August 2024. If instead the gradient shifted markedly, that would favor a knowledge-quantity explanation over an epistemic-processing one.</w:t>
      </w:r>
    </w:p>
    <w:bookmarkEnd w:id="15"/>
    <w:bookmarkEnd w:id="16"/>
    <w:bookmarkStart w:id="24" w:name="method"/>
    <w:p>
      <w:pPr>
        <w:pStyle w:val="Heading1"/>
      </w:pPr>
      <w:r>
        <w:t xml:space="preserve">Method</w:t>
      </w:r>
    </w:p>
    <w:bookmarkStart w:id="17" w:name="data-source"/>
    <w:p>
      <w:pPr>
        <w:pStyle w:val="Heading2"/>
      </w:pPr>
      <w:r>
        <w:t xml:space="preserve">Data Source</w:t>
      </w:r>
    </w:p>
    <w:p>
      <w:pPr>
        <w:pStyle w:val="FirstParagraph"/>
      </w:pPr>
      <w:r>
        <w:t xml:space="preserve">The analysis uses data from the Pew Research Center’s American Trends Panel (ATP), a national probability-based panel of U.S. adults recruited through address-based sampling with known probabilities of selection. Three survey waves containing the identical AI attitudes question were analyzed: Wave 119 (fielded December 12–18, 2022;</w:t>
      </w:r>
      <w:r>
        <w:t xml:space="preserve"> </w:t>
      </w:r>
      <w:r>
        <w:rPr>
          <w:i/>
          <w:iCs/>
        </w:rPr>
        <w:t xml:space="preserve">N</w:t>
      </w:r>
      <w:r>
        <w:t xml:space="preserve"> </w:t>
      </w:r>
      <w:r>
        <w:t xml:space="preserve">= 11,004), Wave 132 (fielded August 7–27, 2023;</w:t>
      </w:r>
      <w:r>
        <w:t xml:space="preserve"> </w:t>
      </w:r>
      <w:r>
        <w:rPr>
          <w:i/>
          <w:iCs/>
        </w:rPr>
        <w:t xml:space="preserve">N</w:t>
      </w:r>
      <w:r>
        <w:t xml:space="preserve"> </w:t>
      </w:r>
      <w:r>
        <w:t xml:space="preserve">= 11,201), and Wave 152 (fielded August 5–11, 2024;</w:t>
      </w:r>
      <w:r>
        <w:t xml:space="preserve"> </w:t>
      </w:r>
      <w:r>
        <w:rPr>
          <w:i/>
          <w:iCs/>
        </w:rPr>
        <w:t xml:space="preserve">N</w:t>
      </w:r>
      <w:r>
        <w:t xml:space="preserve"> </w:t>
      </w:r>
      <w:r>
        <w:t xml:space="preserve">= 5,410). The combined dataset comprises 27,615 respondents, with an analytic sample of</w:t>
      </w:r>
      <w:r>
        <w:t xml:space="preserve"> </w:t>
      </w:r>
      <w:r>
        <w:rPr>
          <w:i/>
          <w:iCs/>
        </w:rPr>
        <w:t xml:space="preserve">N</w:t>
      </w:r>
      <w:r>
        <w:t xml:space="preserve"> </w:t>
      </w:r>
      <w:r>
        <w:t xml:space="preserve">= 24,741 after listwise deletion of cases with missing values on key variables and restriction to respondents with partisan lean (Democrat/Lean Democrat or Republican/Lean Republican).</w:t>
      </w:r>
    </w:p>
    <w:p>
      <w:pPr>
        <w:pStyle w:val="BodyText"/>
      </w:pPr>
      <w:r>
        <w:t xml:space="preserve">The ATP is recruited through national, random sampling of residential addresses, ensuring representativeness of the U.S. adult population including those without internet access (who are provided tablets). Survey weights adjust for differential nonresponse and non-coverage using benchmarks from the U.S. Census Bureau’s American Community Survey and the Current Population Survey. This design makes the ATP particularly well-suited for examining educational equity in AI attitude formation, as it includes adults across the full educational spectrum, including those who are typically underrepresented in opt-in online panels.</w:t>
      </w:r>
    </w:p>
    <w:p>
      <w:pPr>
        <w:pStyle w:val="BodyText"/>
      </w:pPr>
      <w:r>
        <w:t xml:space="preserve">The three waves span a period of exceptional change in public AI discourse. Wave 1 was fielded two weeks after the public release of ChatGPT (November 30, 2022), capturing attitudes at the very onset of the generative AI era. Wave 2 followed eight months of intense media coverage, widespread experimentation with AI tools, and emerging policy debate. Wave 3 was fielded after AI had become embedded in consumer products, workplace tools, and political campaigns, representing a period of normalization following the initial shock of generative AI’s capabilities.</w:t>
      </w:r>
    </w:p>
    <w:bookmarkEnd w:id="17"/>
    <w:bookmarkStart w:id="22" w:name="measures"/>
    <w:p>
      <w:pPr>
        <w:pStyle w:val="Heading2"/>
      </w:pPr>
      <w:r>
        <w:t xml:space="preserve">Measures</w:t>
      </w:r>
    </w:p>
    <w:bookmarkStart w:id="18" w:name="dependent-variable"/>
    <w:p>
      <w:pPr>
        <w:pStyle w:val="Heading3"/>
      </w:pPr>
      <w:r>
        <w:t xml:space="preserve">Dependent Variable</w:t>
      </w:r>
    </w:p>
    <w:p>
      <w:pPr>
        <w:pStyle w:val="FirstParagraph"/>
      </w:pPr>
      <w:r>
        <w:t xml:space="preserve">The primary outcome measure is a three-category item asking respondents:</w:t>
      </w:r>
      <w:r>
        <w:t xml:space="preserve"> </w:t>
      </w:r>
      <w:r>
        <w:t xml:space="preserve">“Overall, how much do you feel about the increased use of artificial intelligence?”</w:t>
      </w:r>
      <w:r>
        <w:t xml:space="preserve"> </w:t>
      </w:r>
      <w:r>
        <w:t xml:space="preserve">with response options of (a)</w:t>
      </w:r>
      <w:r>
        <w:t xml:space="preserve"> </w:t>
      </w:r>
      <w:r>
        <w:rPr>
          <w:i/>
          <w:iCs/>
        </w:rPr>
        <w:t xml:space="preserve">more excited than concerned</w:t>
      </w:r>
      <w:r>
        <w:t xml:space="preserve">, (b)</w:t>
      </w:r>
      <w:r>
        <w:t xml:space="preserve"> </w:t>
      </w:r>
      <w:r>
        <w:rPr>
          <w:i/>
          <w:iCs/>
        </w:rPr>
        <w:t xml:space="preserve">more concerned than excited</w:t>
      </w:r>
      <w:r>
        <w:t xml:space="preserve">, and (c)</w:t>
      </w:r>
      <w:r>
        <w:t xml:space="preserve"> </w:t>
      </w:r>
      <w:r>
        <w:rPr>
          <w:i/>
          <w:iCs/>
        </w:rPr>
        <w:t xml:space="preserve">equally concerned and excited</w:t>
      </w:r>
      <w:r>
        <w:t xml:space="preserve"> </w:t>
      </w:r>
      <w:r>
        <w:t xml:space="preserve">(hereafter</w:t>
      </w:r>
      <w:r>
        <w:t xml:space="preserve"> </w:t>
      </w:r>
      <w:r>
        <w:t xml:space="preserve">“Excited,”</w:t>
      </w:r>
      <w:r>
        <w:t xml:space="preserve"> </w:t>
      </w:r>
      <w:r>
        <w:t xml:space="preserve">“Concerned,”</w:t>
      </w:r>
      <w:r>
        <w:t xml:space="preserve"> </w:t>
      </w:r>
      <w:r>
        <w:t xml:space="preserve">and</w:t>
      </w:r>
      <w:r>
        <w:t xml:space="preserve"> </w:t>
      </w:r>
      <w:r>
        <w:t xml:space="preserve">“Equally,”</w:t>
      </w:r>
      <w:r>
        <w:t xml:space="preserve"> </w:t>
      </w:r>
      <w:r>
        <w:t xml:space="preserve">respectively). This measure was identical across all three waves, enabling direct comparison.</w:t>
      </w:r>
    </w:p>
    <w:p>
      <w:pPr>
        <w:pStyle w:val="BodyText"/>
      </w:pPr>
      <w:r>
        <w:t xml:space="preserve">The</w:t>
      </w:r>
      <w:r>
        <w:t xml:space="preserve"> </w:t>
      </w:r>
      <w:r>
        <w:t xml:space="preserve">“Equally”</w:t>
      </w:r>
      <w:r>
        <w:t xml:space="preserve"> </w:t>
      </w:r>
      <w:r>
        <w:t xml:space="preserve">response serves as the reference category in multinomial models, reversing the conventional analytic approach. This is not merely a statistical decision; it reflects the theoretical argument that the</w:t>
      </w:r>
      <w:r>
        <w:t xml:space="preserve"> </w:t>
      </w:r>
      <w:r>
        <w:t xml:space="preserve">“Equally”</w:t>
      </w:r>
      <w:r>
        <w:t xml:space="preserve"> </w:t>
      </w:r>
      <w:r>
        <w:t xml:space="preserve">response represents the empirical signature of epistemic complexity, the capacity to hold competing evaluations of AI simultaneously, and that deviations from this category (toward either pure excitement or pure concern) represent categorical simplification.</w:t>
      </w:r>
    </w:p>
    <w:p>
      <w:pPr>
        <w:pStyle w:val="BodyText"/>
      </w:pPr>
      <w:r>
        <w:t xml:space="preserve">A binary measure of concern (Concerned = 1 vs. Excited or Equally = 0) was also constructed for binary logistic regression analyses, interaction models, and Blinder-Oaxaca decomposition.</w:t>
      </w:r>
    </w:p>
    <w:bookmarkEnd w:id="18"/>
    <w:bookmarkStart w:id="19" w:name="primary-independent-variable-education"/>
    <w:p>
      <w:pPr>
        <w:pStyle w:val="Heading3"/>
      </w:pPr>
      <w:r>
        <w:t xml:space="preserve">Primary Independent Variable: Education</w:t>
      </w:r>
    </w:p>
    <w:p>
      <w:pPr>
        <w:pStyle w:val="FirstParagraph"/>
      </w:pPr>
      <w:r>
        <w:t xml:space="preserve">Educational attainment was measured using a three-category variable:</w:t>
      </w:r>
      <w:r>
        <w:t xml:space="preserve"> </w:t>
      </w:r>
      <w:r>
        <w:rPr>
          <w:i/>
          <w:iCs/>
        </w:rPr>
        <w:t xml:space="preserve">College graduate or more</w:t>
      </w:r>
      <w:r>
        <w:t xml:space="preserve"> </w:t>
      </w:r>
      <w:r>
        <w:t xml:space="preserve">(bachelor’s degree or higher),</w:t>
      </w:r>
      <w:r>
        <w:t xml:space="preserve"> </w:t>
      </w:r>
      <w:r>
        <w:rPr>
          <w:i/>
          <w:iCs/>
        </w:rPr>
        <w:t xml:space="preserve">Some college</w:t>
      </w:r>
      <w:r>
        <w:t xml:space="preserve"> </w:t>
      </w:r>
      <w:r>
        <w:t xml:space="preserve">(associate degree or some college experience without completing a bachelor’s degree), and</w:t>
      </w:r>
      <w:r>
        <w:t xml:space="preserve"> </w:t>
      </w:r>
      <w:r>
        <w:rPr>
          <w:i/>
          <w:iCs/>
        </w:rPr>
        <w:t xml:space="preserve">High school graduate or less</w:t>
      </w:r>
      <w:r>
        <w:t xml:space="preserve"> </w:t>
      </w:r>
      <w:r>
        <w:t xml:space="preserve">(high school diploma, GED, or less than high school education). College graduate served as the reference category. A six-category detailed education variable was also available for robustness checks, distinguishing among less than high school, high school graduate, some college, associate degree, bachelor’s degree, and postgraduate degree.</w:t>
      </w:r>
    </w:p>
    <w:bookmarkEnd w:id="19"/>
    <w:bookmarkStart w:id="20" w:name="ai-awareness"/>
    <w:p>
      <w:pPr>
        <w:pStyle w:val="Heading3"/>
      </w:pPr>
      <w:r>
        <w:t xml:space="preserve">AI Awareness</w:t>
      </w:r>
    </w:p>
    <w:p>
      <w:pPr>
        <w:pStyle w:val="FirstParagraph"/>
      </w:pPr>
      <w:r>
        <w:t xml:space="preserve">Self-reported AI awareness was measured with the question</w:t>
      </w:r>
      <w:r>
        <w:t xml:space="preserve"> </w:t>
      </w:r>
      <w:r>
        <w:t xml:space="preserve">“How much have you heard or read about artificial intelligence?”</w:t>
      </w:r>
      <w:r>
        <w:t xml:space="preserve"> </w:t>
      </w:r>
      <w:r>
        <w:t xml:space="preserve">with three response levels:</w:t>
      </w:r>
      <w:r>
        <w:t xml:space="preserve"> </w:t>
      </w:r>
      <w:r>
        <w:rPr>
          <w:i/>
          <w:iCs/>
        </w:rPr>
        <w:t xml:space="preserve">A lot</w:t>
      </w:r>
      <w:r>
        <w:t xml:space="preserve">,</w:t>
      </w:r>
      <w:r>
        <w:t xml:space="preserve"> </w:t>
      </w:r>
      <w:r>
        <w:rPr>
          <w:i/>
          <w:iCs/>
        </w:rPr>
        <w:t xml:space="preserve">A little</w:t>
      </w:r>
      <w:r>
        <w:t xml:space="preserve">, and</w:t>
      </w:r>
      <w:r>
        <w:t xml:space="preserve"> </w:t>
      </w:r>
      <w:r>
        <w:rPr>
          <w:i/>
          <w:iCs/>
        </w:rPr>
        <w:t xml:space="preserve">Nothing at all</w:t>
      </w:r>
      <w:r>
        <w:t xml:space="preserve">.</w:t>
      </w:r>
      <w:r>
        <w:t xml:space="preserve"> </w:t>
      </w:r>
      <w:r>
        <w:t xml:space="preserve">“A lot”</w:t>
      </w:r>
      <w:r>
        <w:t xml:space="preserve"> </w:t>
      </w:r>
      <w:r>
        <w:t xml:space="preserve">served as the reference category. This variable serves as a proxy for domain-specific information exposure, distinct from the epistemic processing capacity that education is hypothesized to develop.</w:t>
      </w:r>
    </w:p>
    <w:bookmarkEnd w:id="20"/>
    <w:bookmarkStart w:id="21" w:name="control-variables"/>
    <w:p>
      <w:pPr>
        <w:pStyle w:val="Heading3"/>
      </w:pPr>
      <w:r>
        <w:t xml:space="preserve">Control Variables</w:t>
      </w:r>
    </w:p>
    <w:p>
      <w:pPr>
        <w:pStyle w:val="FirstParagraph"/>
      </w:pPr>
      <w:r>
        <w:t xml:space="preserve">Demographic controls included age (18–29, 30–49 [reference], 50–64, 65+), gender (male [reference], female, other), race/ethnicity (White non-Hispanic [reference], Black non-Hispanic, Hispanic, Asian non-Hispanic, other non-Hispanic), partisan identification (Democrat/Lean Democrat [reference], Republican/Lean Republican), household income tier (lower, middle [reference], upper), and region (Northeast, Midwest, South [reference], West). A four-category party-ideology variable (Liberal Democrat, Moderate/Conservative Democrat, Moderate/Liberal Republican, Conservative Republican) was available for supplementary analyses.</w:t>
      </w:r>
    </w:p>
    <w:bookmarkEnd w:id="21"/>
    <w:bookmarkEnd w:id="22"/>
    <w:bookmarkStart w:id="23" w:name="analytic-strategy"/>
    <w:p>
      <w:pPr>
        <w:pStyle w:val="Heading2"/>
      </w:pPr>
      <w:r>
        <w:t xml:space="preserve">Analytic Strategy</w:t>
      </w:r>
    </w:p>
    <w:p>
      <w:pPr>
        <w:pStyle w:val="FirstParagraph"/>
      </w:pPr>
      <w:r>
        <w:t xml:space="preserve">All analyses incorporated survey weights to produce nationally representative estimates. We implemented complex survey procedures using the</w:t>
      </w:r>
      <w:r>
        <w:t xml:space="preserve"> </w:t>
      </w:r>
      <w:r>
        <w:rPr>
          <w:rStyle w:val="VerbatimChar"/>
        </w:rPr>
        <w:t xml:space="preserve">survey</w:t>
      </w:r>
      <w:r>
        <w:t xml:space="preserve"> </w:t>
      </w:r>
      <w:r>
        <w:t xml:space="preserve">package in R</w:t>
      </w:r>
      <w:r>
        <w:t xml:space="preserve"> </w:t>
      </w:r>
      <w:r>
        <w:t xml:space="preserve">[@lumley2004; @lumley2010]</w:t>
      </w:r>
      <w:r>
        <w:t xml:space="preserve">.</w:t>
      </w:r>
    </w:p>
    <w:p>
      <w:pPr>
        <w:pStyle w:val="BodyText"/>
      </w:pPr>
      <w:r>
        <w:rPr>
          <w:b/>
          <w:bCs/>
        </w:rPr>
        <w:t xml:space="preserve">Descriptive analysis.</w:t>
      </w:r>
      <w:r>
        <w:t xml:space="preserve"> </w:t>
      </w:r>
      <w:r>
        <w:t xml:space="preserve">Weighted proportions with 95% confidence intervals were computed for the three-category AI attitude measure by wave and by education level. Rao-Scott design-adjusted chi-square tests assessed the independence of attitude distributions across educational categories within each wave.</w:t>
      </w:r>
    </w:p>
    <w:p>
      <w:pPr>
        <w:pStyle w:val="BodyText"/>
      </w:pPr>
      <w:r>
        <w:rPr>
          <w:b/>
          <w:bCs/>
        </w:rPr>
        <w:t xml:space="preserve">Multinomial logistic regression.</w:t>
      </w:r>
      <w:r>
        <w:t xml:space="preserve"> </w:t>
      </w:r>
      <w:r>
        <w:t xml:space="preserve">The core analysis employed multinomial logistic regression with the</w:t>
      </w:r>
      <w:r>
        <w:t xml:space="preserve"> </w:t>
      </w:r>
      <w:r>
        <w:t xml:space="preserve">“Equally”</w:t>
      </w:r>
      <w:r>
        <w:t xml:space="preserve"> </w:t>
      </w:r>
      <w:r>
        <w:t xml:space="preserve">category as the reference, yielding two equations: Excited versus Equally and Concerned versus Equally. This parameterization directly tests whether educational attainment predicts the probability of categorical attitudes (either Excited or Concerned) relative to the complex attitude (Equally). The full model included wave, education, AI awareness, and all demographic controls. Odds ratios below 1.0 for higher education indicate that college graduates are</w:t>
      </w:r>
      <w:r>
        <w:t xml:space="preserve"> </w:t>
      </w:r>
      <w:r>
        <w:rPr>
          <w:i/>
          <w:iCs/>
        </w:rPr>
        <w:t xml:space="preserve">less likely</w:t>
      </w:r>
      <w:r>
        <w:t xml:space="preserve"> </w:t>
      </w:r>
      <w:r>
        <w:t xml:space="preserve">to leave the Equally (complex) category.</w:t>
      </w:r>
    </w:p>
    <w:p>
      <w:pPr>
        <w:pStyle w:val="BodyText"/>
      </w:pPr>
      <w:r>
        <w:rPr>
          <w:b/>
          <w:bCs/>
        </w:rPr>
        <w:t xml:space="preserve">Binary logistic models.</w:t>
      </w:r>
      <w:r>
        <w:t xml:space="preserve"> </w:t>
      </w:r>
      <w:r>
        <w:t xml:space="preserve">Survey-weighted binary logistic regression (</w:t>
      </w:r>
      <w:r>
        <w:rPr>
          <w:rStyle w:val="VerbatimChar"/>
        </w:rPr>
        <w:t xml:space="preserve">svyglm</w:t>
      </w:r>
      <w:r>
        <w:t xml:space="preserve"> </w:t>
      </w:r>
      <w:r>
        <w:t xml:space="preserve">with quasibinomial family) modeled Concerned versus Not Concerned, both pooled and stratified by wave, to examine predictors of the most common categorical attitude.</w:t>
      </w:r>
    </w:p>
    <w:p>
      <w:pPr>
        <w:pStyle w:val="BodyText"/>
      </w:pPr>
      <w:r>
        <w:rPr>
          <w:b/>
          <w:bCs/>
        </w:rPr>
        <w:t xml:space="preserve">Interaction models.</w:t>
      </w:r>
      <w:r>
        <w:t xml:space="preserve"> </w:t>
      </w:r>
      <w:r>
        <w:t xml:space="preserve">Wave-by-education interaction models tested H5 (temporal stability). Joint Wald tests (</w:t>
      </w:r>
      <w:r>
        <w:rPr>
          <w:rStyle w:val="VerbatimChar"/>
        </w:rPr>
        <w:t xml:space="preserve">regTermTest</w:t>
      </w:r>
      <w:r>
        <w:t xml:space="preserve">) assessed the simultaneous significance of all interaction terms. Education-by-AI-awareness cross-tabulations tested H3.</w:t>
      </w:r>
    </w:p>
    <w:p>
      <w:pPr>
        <w:pStyle w:val="BodyText"/>
      </w:pPr>
      <w:r>
        <w:rPr>
          <w:b/>
          <w:bCs/>
        </w:rPr>
        <w:t xml:space="preserve">Average marginal effects.</w:t>
      </w:r>
      <w:r>
        <w:t xml:space="preserve"> </w:t>
      </w:r>
      <w:r>
        <w:t xml:space="preserve">We computed AMEs using the</w:t>
      </w:r>
      <w:r>
        <w:t xml:space="preserve"> </w:t>
      </w:r>
      <w:r>
        <w:rPr>
          <w:rStyle w:val="VerbatimChar"/>
        </w:rPr>
        <w:t xml:space="preserve">marginaleffects</w:t>
      </w:r>
      <w:r>
        <w:t xml:space="preserve"> </w:t>
      </w:r>
      <w:r>
        <w:t xml:space="preserve">package to provide probability-scale estimates that are comparable across models and intuitively interpretable</w:t>
      </w:r>
      <w:r>
        <w:t xml:space="preserve"> </w:t>
      </w:r>
      <w:r>
        <w:t xml:space="preserve">[@mize2019]</w:t>
      </w:r>
      <w:r>
        <w:t xml:space="preserve">.</w:t>
      </w:r>
    </w:p>
    <w:p>
      <w:pPr>
        <w:pStyle w:val="BodyText"/>
      </w:pPr>
      <w:r>
        <w:rPr>
          <w:b/>
          <w:bCs/>
        </w:rPr>
        <w:t xml:space="preserve">Blinder-Oaxaca decomposition.</w:t>
      </w:r>
      <w:r>
        <w:t xml:space="preserve"> </w:t>
      </w:r>
      <w:r>
        <w:t xml:space="preserve">Following</w:t>
      </w:r>
      <w:r>
        <w:t xml:space="preserve"> </w:t>
      </w:r>
      <w:r>
        <w:t xml:space="preserve">@fairlie2005</w:t>
      </w:r>
      <w:r>
        <w:t xml:space="preserve">, the change in predicted concern between Wave 1 and Wave 3 was decomposed into a</w:t>
      </w:r>
      <w:r>
        <w:t xml:space="preserve"> </w:t>
      </w:r>
      <w:r>
        <w:rPr>
          <w:i/>
          <w:iCs/>
        </w:rPr>
        <w:t xml:space="preserve">composition effect</w:t>
      </w:r>
      <w:r>
        <w:t xml:space="preserve"> </w:t>
      </w:r>
      <w:r>
        <w:t xml:space="preserve">(attributable to changes in the demographic composition of the sample) and a</w:t>
      </w:r>
      <w:r>
        <w:t xml:space="preserve"> </w:t>
      </w:r>
      <w:r>
        <w:rPr>
          <w:i/>
          <w:iCs/>
        </w:rPr>
        <w:t xml:space="preserve">coefficient effect</w:t>
      </w:r>
      <w:r>
        <w:t xml:space="preserve"> </w:t>
      </w:r>
      <w:r>
        <w:t xml:space="preserve">(attributable to changes in the relationships between predictors and the outcome). This decomposition addresses whether the overall shift toward concern reflects genuine attitude change or merely compositional shifts.</w:t>
      </w:r>
    </w:p>
    <w:p>
      <w:pPr>
        <w:pStyle w:val="BodyText"/>
      </w:pPr>
      <w:r>
        <w:rPr>
          <w:b/>
          <w:bCs/>
        </w:rPr>
        <w:t xml:space="preserve">Robustness checks.</w:t>
      </w:r>
      <w:r>
        <w:t xml:space="preserve"> </w:t>
      </w:r>
      <w:r>
        <w:t xml:space="preserve">Results were verified using (a) unweighted models, (b) the alternative dependent variable (Excited vs. Not), (c) detailed six-category education, and (d) wave-pair comparisons (Wave 1 vs. Wave 2; Wave 2 vs. Wave 3).</w:t>
      </w:r>
    </w:p>
    <w:bookmarkEnd w:id="23"/>
    <w:bookmarkEnd w:id="24"/>
    <w:bookmarkStart w:id="51" w:name="results"/>
    <w:p>
      <w:pPr>
        <w:pStyle w:val="Heading1"/>
      </w:pPr>
      <w:r>
        <w:t xml:space="preserve">Results</w:t>
      </w:r>
    </w:p>
    <w:bookmarkStart w:id="31" w:name="descriptive-trends"/>
    <w:p>
      <w:pPr>
        <w:pStyle w:val="Heading2"/>
      </w:pPr>
      <w:r>
        <w:t xml:space="preserve">Descriptive Trends</w:t>
      </w:r>
    </w:p>
    <w:p>
      <w:pPr>
        <w:pStyle w:val="FirstParagraph"/>
      </w:pPr>
      <w:r>
        <w:t xml:space="preserve">Table 1 presents the weighted distribution of AI attitudes across the three survey waves. The proportion of adults expressing concern about increased AI use rose sharply from 38.2% in December 2022 to 53.2% in August 2023, with a slight moderation to 50.9% by August 2024. Excitement declined from 15.5% to 10.3% and remained low at 10.9%. The</w:t>
      </w:r>
      <w:r>
        <w:t xml:space="preserve"> </w:t>
      </w:r>
      <w:r>
        <w:t xml:space="preserve">“Equally”</w:t>
      </w:r>
      <w:r>
        <w:t xml:space="preserve"> </w:t>
      </w:r>
      <w:r>
        <w:t xml:space="preserve">response, the focal category in this analysis, decreased from 46.3% to 36.5% between the first two waves, then recovered slightly to 38.3%.</w:t>
      </w:r>
    </w:p>
    <w:p>
      <w:pPr>
        <w:pStyle w:val="BodyText"/>
      </w:pPr>
      <w:r>
        <w:rPr>
          <w:b/>
          <w:bCs/>
        </w:rPr>
        <w:t xml:space="preserve">Table 1</w:t>
      </w:r>
    </w:p>
    <w:p>
      <w:pPr>
        <w:pStyle w:val="BodyText"/>
      </w:pPr>
      <w:r>
        <w:rPr>
          <w:i/>
          <w:iCs/>
        </w:rPr>
        <w:t xml:space="preserve">Weighted Distribution of AI Attitudes Across Three Survey Waves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Wave</w:t>
            </w:r>
          </w:p>
        </w:tc>
        <w:tc>
          <w:tcPr/>
          <w:p>
            <w:pPr>
              <w:pStyle w:val="Compact"/>
            </w:pPr>
            <w:r>
              <w:t xml:space="preserve">Excited</w:t>
            </w:r>
          </w:p>
        </w:tc>
        <w:tc>
          <w:tcPr/>
          <w:p>
            <w:pPr>
              <w:pStyle w:val="Compact"/>
            </w:pPr>
            <w:r>
              <w:t xml:space="preserve">Concerned</w:t>
            </w:r>
          </w:p>
        </w:tc>
        <w:tc>
          <w:tcPr/>
          <w:p>
            <w:pPr>
              <w:pStyle w:val="Compact"/>
            </w:pPr>
            <w:r>
              <w:t xml:space="preserve">Equally</w:t>
            </w:r>
          </w:p>
        </w:tc>
        <w:tc>
          <w:tcPr/>
          <w:p>
            <w:pPr>
              <w:pStyle w:val="Compact"/>
            </w:pPr>
            <w:r>
              <w:rPr>
                <w:i/>
                <w:iCs/>
              </w:rPr>
              <w:t xml:space="preserve">N</w:t>
            </w:r>
          </w:p>
        </w:tc>
      </w:tr>
      <w:tr>
        <w:tc>
          <w:tcPr/>
          <w:p>
            <w:pPr>
              <w:pStyle w:val="Compact"/>
            </w:pPr>
            <w:r>
              <w:t xml:space="preserve">Dec 2022 (W1)</w:t>
            </w:r>
          </w:p>
        </w:tc>
        <w:tc>
          <w:tcPr/>
          <w:p>
            <w:pPr>
              <w:pStyle w:val="Compact"/>
            </w:pPr>
            <w:r>
              <w:t xml:space="preserve">15.5</w:t>
            </w:r>
          </w:p>
        </w:tc>
        <w:tc>
          <w:tcPr/>
          <w:p>
            <w:pPr>
              <w:pStyle w:val="Compact"/>
            </w:pPr>
            <w:r>
              <w:t xml:space="preserve">38.2</w:t>
            </w:r>
          </w:p>
        </w:tc>
        <w:tc>
          <w:tcPr/>
          <w:p>
            <w:pPr>
              <w:pStyle w:val="Compact"/>
            </w:pPr>
            <w:r>
              <w:t xml:space="preserve">46.3</w:t>
            </w:r>
          </w:p>
        </w:tc>
        <w:tc>
          <w:tcPr/>
          <w:p>
            <w:pPr>
              <w:pStyle w:val="Compact"/>
            </w:pPr>
            <w:r>
              <w:t xml:space="preserve">11,004</w:t>
            </w:r>
          </w:p>
        </w:tc>
      </w:tr>
      <w:tr>
        <w:tc>
          <w:tcPr/>
          <w:p>
            <w:pPr>
              <w:pStyle w:val="Compact"/>
            </w:pPr>
            <w:r>
              <w:t xml:space="preserve">Aug 2023 (W2)</w:t>
            </w:r>
          </w:p>
        </w:tc>
        <w:tc>
          <w:tcPr/>
          <w:p>
            <w:pPr>
              <w:pStyle w:val="Compact"/>
            </w:pPr>
            <w:r>
              <w:t xml:space="preserve">10.3</w:t>
            </w:r>
          </w:p>
        </w:tc>
        <w:tc>
          <w:tcPr/>
          <w:p>
            <w:pPr>
              <w:pStyle w:val="Compact"/>
            </w:pPr>
            <w:r>
              <w:t xml:space="preserve">53.2</w:t>
            </w:r>
          </w:p>
        </w:tc>
        <w:tc>
          <w:tcPr/>
          <w:p>
            <w:pPr>
              <w:pStyle w:val="Compact"/>
            </w:pPr>
            <w:r>
              <w:t xml:space="preserve">36.5</w:t>
            </w:r>
          </w:p>
        </w:tc>
        <w:tc>
          <w:tcPr/>
          <w:p>
            <w:pPr>
              <w:pStyle w:val="Compact"/>
            </w:pPr>
            <w:r>
              <w:t xml:space="preserve">11,201</w:t>
            </w:r>
          </w:p>
        </w:tc>
      </w:tr>
      <w:tr>
        <w:tc>
          <w:tcPr/>
          <w:p>
            <w:pPr>
              <w:pStyle w:val="Compact"/>
            </w:pPr>
            <w:r>
              <w:t xml:space="preserve">Aug 2024 (W3)</w:t>
            </w:r>
          </w:p>
        </w:tc>
        <w:tc>
          <w:tcPr/>
          <w:p>
            <w:pPr>
              <w:pStyle w:val="Compact"/>
            </w:pPr>
            <w:r>
              <w:t xml:space="preserve">10.9</w:t>
            </w:r>
          </w:p>
        </w:tc>
        <w:tc>
          <w:tcPr/>
          <w:p>
            <w:pPr>
              <w:pStyle w:val="Compact"/>
            </w:pPr>
            <w:r>
              <w:t xml:space="preserve">50.9</w:t>
            </w:r>
          </w:p>
        </w:tc>
        <w:tc>
          <w:tcPr/>
          <w:p>
            <w:pPr>
              <w:pStyle w:val="Compact"/>
            </w:pPr>
            <w:r>
              <w:t xml:space="preserve">38.3</w:t>
            </w:r>
          </w:p>
        </w:tc>
        <w:tc>
          <w:tcPr/>
          <w:p>
            <w:pPr>
              <w:pStyle w:val="Compact"/>
            </w:pPr>
            <w:r>
              <w:t xml:space="preserve">5,410</w:t>
            </w:r>
          </w:p>
        </w:tc>
      </w:tr>
    </w:tbl>
    <w:p>
      <w:pPr>
        <w:pStyle w:val="CaptionedFigure"/>
      </w:pPr>
      <w:r>
        <w:drawing>
          <wp:inline>
            <wp:extent cx="5943600" cy="3714749"/>
            <wp:effectExtent b="0" l="0" r="0" t="0"/>
            <wp:docPr descr="Figure 1. Trend in AI Attitude Categories Across Three Survey Waves (Weighted Proportions)" title="" id="26" name="Picture"/>
            <a:graphic>
              <a:graphicData uri="http://schemas.openxmlformats.org/drawingml/2006/picture">
                <pic:pic>
                  <pic:nvPicPr>
                    <pic:cNvPr descr="fig1_cncexc_trend.png" id="27" name="Picture"/>
                    <pic:cNvPicPr>
                      <a:picLocks noChangeArrowheads="1" noChangeAspect="1"/>
                    </pic:cNvPicPr>
                  </pic:nvPicPr>
                  <pic:blipFill>
                    <a:blip r:embed="rId25"/>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1. Trend in AI Attitude Categories Across Three Survey Waves (Weighted Proportions)</w:t>
      </w:r>
    </w:p>
    <w:p>
      <w:pPr>
        <w:pStyle w:val="BodyText"/>
      </w:pPr>
      <w:r>
        <w:rPr>
          <w:i/>
          <w:iCs/>
        </w:rPr>
        <w:t xml:space="preserve">Note.</w:t>
      </w:r>
      <w:r>
        <w:t xml:space="preserve"> </w:t>
      </w:r>
      <w:r>
        <w:t xml:space="preserve">Estimates are survey-weighted. Source: Pew Research Center American Trends Panel.</w:t>
      </w:r>
    </w:p>
    <w:p>
      <w:pPr>
        <w:pStyle w:val="CaptionedFigure"/>
      </w:pPr>
      <w:r>
        <w:drawing>
          <wp:inline>
            <wp:extent cx="5943600" cy="6686549"/>
            <wp:effectExtent b="0" l="0" r="0" t="0"/>
            <wp:docPr descr="Figure 6. Shannon Entropy and Polarization Metrics Across Survey Waves" title="" id="29" name="Picture"/>
            <a:graphic>
              <a:graphicData uri="http://schemas.openxmlformats.org/drawingml/2006/picture">
                <pic:pic>
                  <pic:nvPicPr>
                    <pic:cNvPr descr="fig6_polarization.png" id="30" name="Picture"/>
                    <pic:cNvPicPr>
                      <a:picLocks noChangeArrowheads="1" noChangeAspect="1"/>
                    </pic:cNvPicPr>
                  </pic:nvPicPr>
                  <pic:blipFill>
                    <a:blip r:embed="rId28"/>
                    <a:stretch>
                      <a:fillRect/>
                    </a:stretch>
                  </pic:blipFill>
                  <pic:spPr bwMode="auto">
                    <a:xfrm>
                      <a:off x="0" y="0"/>
                      <a:ext cx="5943600" cy="6686549"/>
                    </a:xfrm>
                    <a:prstGeom prst="rect">
                      <a:avLst/>
                    </a:prstGeom>
                    <a:noFill/>
                    <a:ln w="9525">
                      <a:noFill/>
                      <a:headEnd/>
                      <a:tailEnd/>
                    </a:ln>
                  </pic:spPr>
                </pic:pic>
              </a:graphicData>
            </a:graphic>
          </wp:inline>
        </w:drawing>
      </w:r>
    </w:p>
    <w:p>
      <w:pPr>
        <w:pStyle w:val="ImageCaption"/>
      </w:pPr>
      <w:r>
        <w:t xml:space="preserve">Figure 6. Shannon Entropy and Polarization Metrics Across Survey Waves</w:t>
      </w:r>
    </w:p>
    <w:p>
      <w:pPr>
        <w:pStyle w:val="BodyText"/>
      </w:pPr>
      <w:r>
        <w:t xml:space="preserve">Shannon entropy for the overall attitude distribution decreased from 1.02 in December 2022 to 0.94 in August 2024, indicating that the distribution concentrated toward the Concerned category over time and that attitudinal diversity declined.</w:t>
      </w:r>
    </w:p>
    <w:bookmarkEnd w:id="31"/>
    <w:bookmarkStart w:id="35" w:name="education-and-ai-attitudes"/>
    <w:p>
      <w:pPr>
        <w:pStyle w:val="Heading2"/>
      </w:pPr>
      <w:r>
        <w:t xml:space="preserve">Education and AI Attitudes</w:t>
      </w:r>
    </w:p>
    <w:p>
      <w:pPr>
        <w:pStyle w:val="FirstParagraph"/>
      </w:pPr>
      <w:r>
        <w:t xml:space="preserve">Table 2 presents the cross-tabulation of AI attitudes by educational attainment across waves. A consistent gradient emerged: college graduates were the least likely to express categorical concern and the most likely to hold complex (Equally) attitudes, while adults with a high school education or less showed the highest rates of concern and the lowest rates of the Equally response.</w:t>
      </w:r>
    </w:p>
    <w:p>
      <w:pPr>
        <w:pStyle w:val="BodyText"/>
      </w:pPr>
      <w:r>
        <w:rPr>
          <w:b/>
          <w:bCs/>
        </w:rPr>
        <w:t xml:space="preserve">Table 2</w:t>
      </w:r>
    </w:p>
    <w:p>
      <w:pPr>
        <w:pStyle w:val="BodyText"/>
      </w:pPr>
      <w:r>
        <w:rPr>
          <w:i/>
          <w:iCs/>
        </w:rPr>
        <w:t xml:space="preserve">Weighted AI Attitude Distribution by Education Level and Wave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Education</w:t>
            </w:r>
          </w:p>
        </w:tc>
        <w:tc>
          <w:tcPr/>
          <w:p>
            <w:pPr>
              <w:pStyle w:val="Compact"/>
            </w:pPr>
            <w:r>
              <w:t xml:space="preserve">Wave</w:t>
            </w:r>
          </w:p>
        </w:tc>
        <w:tc>
          <w:tcPr/>
          <w:p>
            <w:pPr>
              <w:pStyle w:val="Compact"/>
            </w:pPr>
            <w:r>
              <w:t xml:space="preserve">Excited</w:t>
            </w:r>
          </w:p>
        </w:tc>
        <w:tc>
          <w:tcPr/>
          <w:p>
            <w:pPr>
              <w:pStyle w:val="Compact"/>
            </w:pPr>
            <w:r>
              <w:t xml:space="preserve">Concerned</w:t>
            </w:r>
          </w:p>
        </w:tc>
        <w:tc>
          <w:tcPr/>
          <w:p>
            <w:pPr>
              <w:pStyle w:val="Compact"/>
            </w:pPr>
            <w:r>
              <w:t xml:space="preserve">Equally</w:t>
            </w:r>
          </w:p>
        </w:tc>
      </w:tr>
      <w:tr>
        <w:tc>
          <w:tcPr/>
          <w:p>
            <w:pPr>
              <w:pStyle w:val="Compact"/>
            </w:pPr>
            <w:r>
              <w:t xml:space="preserve">College graduate+</w:t>
            </w:r>
          </w:p>
        </w:tc>
        <w:tc>
          <w:tcPr/>
          <w:p>
            <w:pPr>
              <w:pStyle w:val="Compact"/>
            </w:pPr>
            <w:r>
              <w:t xml:space="preserve">Dec 2022</w:t>
            </w:r>
          </w:p>
        </w:tc>
        <w:tc>
          <w:tcPr/>
          <w:p>
            <w:pPr>
              <w:pStyle w:val="Compact"/>
            </w:pPr>
            <w:r>
              <w:t xml:space="preserve">17.8</w:t>
            </w:r>
          </w:p>
        </w:tc>
        <w:tc>
          <w:tcPr/>
          <w:p>
            <w:pPr>
              <w:pStyle w:val="Compact"/>
            </w:pPr>
            <w:r>
              <w:t xml:space="preserve">32.5</w:t>
            </w:r>
          </w:p>
        </w:tc>
        <w:tc>
          <w:tcPr/>
          <w:p>
            <w:pPr>
              <w:pStyle w:val="Compact"/>
            </w:pPr>
            <w:r>
              <w:t xml:space="preserve">49.7</w:t>
            </w:r>
          </w:p>
        </w:tc>
      </w:tr>
      <w:tr>
        <w:tc>
          <w:tcPr/>
          <w:p>
            <w:pPr>
              <w:pStyle w:val="Compact"/>
            </w:pPr>
            <w:r>
              <w:t xml:space="preserve">College graduate+</w:t>
            </w:r>
          </w:p>
        </w:tc>
        <w:tc>
          <w:tcPr/>
          <w:p>
            <w:pPr>
              <w:pStyle w:val="Compact"/>
            </w:pPr>
            <w:r>
              <w:t xml:space="preserve">Aug 2023</w:t>
            </w:r>
          </w:p>
        </w:tc>
        <w:tc>
          <w:tcPr/>
          <w:p>
            <w:pPr>
              <w:pStyle w:val="Compact"/>
            </w:pPr>
            <w:r>
              <w:t xml:space="preserve">12.1</w:t>
            </w:r>
          </w:p>
        </w:tc>
        <w:tc>
          <w:tcPr/>
          <w:p>
            <w:pPr>
              <w:pStyle w:val="Compact"/>
            </w:pPr>
            <w:r>
              <w:t xml:space="preserve">47.2</w:t>
            </w:r>
          </w:p>
        </w:tc>
        <w:tc>
          <w:tcPr/>
          <w:p>
            <w:pPr>
              <w:pStyle w:val="Compact"/>
            </w:pPr>
            <w:r>
              <w:t xml:space="preserve">40.7</w:t>
            </w:r>
          </w:p>
        </w:tc>
      </w:tr>
      <w:tr>
        <w:tc>
          <w:tcPr/>
          <w:p>
            <w:pPr>
              <w:pStyle w:val="Compact"/>
            </w:pPr>
            <w:r>
              <w:t xml:space="preserve">College graduate+</w:t>
            </w:r>
          </w:p>
        </w:tc>
        <w:tc>
          <w:tcPr/>
          <w:p>
            <w:pPr>
              <w:pStyle w:val="Compact"/>
            </w:pPr>
            <w:r>
              <w:t xml:space="preserve">Aug 2024</w:t>
            </w:r>
          </w:p>
        </w:tc>
        <w:tc>
          <w:tcPr/>
          <w:p>
            <w:pPr>
              <w:pStyle w:val="Compact"/>
            </w:pPr>
            <w:r>
              <w:t xml:space="preserve">12.4</w:t>
            </w:r>
          </w:p>
        </w:tc>
        <w:tc>
          <w:tcPr/>
          <w:p>
            <w:pPr>
              <w:pStyle w:val="Compact"/>
            </w:pPr>
            <w:r>
              <w:t xml:space="preserve">45.3</w:t>
            </w:r>
          </w:p>
        </w:tc>
        <w:tc>
          <w:tcPr/>
          <w:p>
            <w:pPr>
              <w:pStyle w:val="Compact"/>
            </w:pPr>
            <w:r>
              <w:t xml:space="preserve">42.3</w:t>
            </w:r>
          </w:p>
        </w:tc>
      </w:tr>
      <w:tr>
        <w:tc>
          <w:tcPr/>
          <w:p>
            <w:pPr>
              <w:pStyle w:val="Compact"/>
            </w:pPr>
            <w:r>
              <w:t xml:space="preserve">Some college</w:t>
            </w:r>
          </w:p>
        </w:tc>
        <w:tc>
          <w:tcPr/>
          <w:p>
            <w:pPr>
              <w:pStyle w:val="Compact"/>
            </w:pPr>
            <w:r>
              <w:t xml:space="preserve">Dec 2022</w:t>
            </w:r>
          </w:p>
        </w:tc>
        <w:tc>
          <w:tcPr/>
          <w:p>
            <w:pPr>
              <w:pStyle w:val="Compact"/>
            </w:pPr>
            <w:r>
              <w:t xml:space="preserve">14.9</w:t>
            </w:r>
          </w:p>
        </w:tc>
        <w:tc>
          <w:tcPr/>
          <w:p>
            <w:pPr>
              <w:pStyle w:val="Compact"/>
            </w:pPr>
            <w:r>
              <w:t xml:space="preserve">38.9</w:t>
            </w:r>
          </w:p>
        </w:tc>
        <w:tc>
          <w:tcPr/>
          <w:p>
            <w:pPr>
              <w:pStyle w:val="Compact"/>
            </w:pPr>
            <w:r>
              <w:t xml:space="preserve">46.2</w:t>
            </w:r>
          </w:p>
        </w:tc>
      </w:tr>
      <w:tr>
        <w:tc>
          <w:tcPr/>
          <w:p>
            <w:pPr>
              <w:pStyle w:val="Compact"/>
            </w:pPr>
            <w:r>
              <w:t xml:space="preserve">Some college</w:t>
            </w:r>
          </w:p>
        </w:tc>
        <w:tc>
          <w:tcPr/>
          <w:p>
            <w:pPr>
              <w:pStyle w:val="Compact"/>
            </w:pPr>
            <w:r>
              <w:t xml:space="preserve">Aug 2023</w:t>
            </w:r>
          </w:p>
        </w:tc>
        <w:tc>
          <w:tcPr/>
          <w:p>
            <w:pPr>
              <w:pStyle w:val="Compact"/>
            </w:pPr>
            <w:r>
              <w:t xml:space="preserve">9.8</w:t>
            </w:r>
          </w:p>
        </w:tc>
        <w:tc>
          <w:tcPr/>
          <w:p>
            <w:pPr>
              <w:pStyle w:val="Compact"/>
            </w:pPr>
            <w:r>
              <w:t xml:space="preserve">54.1</w:t>
            </w:r>
          </w:p>
        </w:tc>
        <w:tc>
          <w:tcPr/>
          <w:p>
            <w:pPr>
              <w:pStyle w:val="Compact"/>
            </w:pPr>
            <w:r>
              <w:t xml:space="preserve">36.1</w:t>
            </w:r>
          </w:p>
        </w:tc>
      </w:tr>
      <w:tr>
        <w:tc>
          <w:tcPr/>
          <w:p>
            <w:pPr>
              <w:pStyle w:val="Compact"/>
            </w:pPr>
            <w:r>
              <w:t xml:space="preserve">Some college</w:t>
            </w:r>
          </w:p>
        </w:tc>
        <w:tc>
          <w:tcPr/>
          <w:p>
            <w:pPr>
              <w:pStyle w:val="Compact"/>
            </w:pPr>
            <w:r>
              <w:t xml:space="preserve">Aug 2024</w:t>
            </w:r>
          </w:p>
        </w:tc>
        <w:tc>
          <w:tcPr/>
          <w:p>
            <w:pPr>
              <w:pStyle w:val="Compact"/>
            </w:pPr>
            <w:r>
              <w:t xml:space="preserve">10.6</w:t>
            </w:r>
          </w:p>
        </w:tc>
        <w:tc>
          <w:tcPr/>
          <w:p>
            <w:pPr>
              <w:pStyle w:val="Compact"/>
            </w:pPr>
            <w:r>
              <w:t xml:space="preserve">51.8</w:t>
            </w:r>
          </w:p>
        </w:tc>
        <w:tc>
          <w:tcPr/>
          <w:p>
            <w:pPr>
              <w:pStyle w:val="Compact"/>
            </w:pPr>
            <w:r>
              <w:t xml:space="preserve">37.6</w:t>
            </w:r>
          </w:p>
        </w:tc>
      </w:tr>
      <w:tr>
        <w:tc>
          <w:tcPr/>
          <w:p>
            <w:pPr>
              <w:pStyle w:val="Compact"/>
            </w:pPr>
            <w:r>
              <w:t xml:space="preserve">HS grad or less</w:t>
            </w:r>
          </w:p>
        </w:tc>
        <w:tc>
          <w:tcPr/>
          <w:p>
            <w:pPr>
              <w:pStyle w:val="Compact"/>
            </w:pPr>
            <w:r>
              <w:t xml:space="preserve">Dec 2022</w:t>
            </w:r>
          </w:p>
        </w:tc>
        <w:tc>
          <w:tcPr/>
          <w:p>
            <w:pPr>
              <w:pStyle w:val="Compact"/>
            </w:pPr>
            <w:r>
              <w:t xml:space="preserve">13.4</w:t>
            </w:r>
          </w:p>
        </w:tc>
        <w:tc>
          <w:tcPr/>
          <w:p>
            <w:pPr>
              <w:pStyle w:val="Compact"/>
            </w:pPr>
            <w:r>
              <w:t xml:space="preserve">43.7</w:t>
            </w:r>
          </w:p>
        </w:tc>
        <w:tc>
          <w:tcPr/>
          <w:p>
            <w:pPr>
              <w:pStyle w:val="Compact"/>
            </w:pPr>
            <w:r>
              <w:t xml:space="preserve">42.9</w:t>
            </w:r>
          </w:p>
        </w:tc>
      </w:tr>
      <w:tr>
        <w:tc>
          <w:tcPr/>
          <w:p>
            <w:pPr>
              <w:pStyle w:val="Compact"/>
            </w:pPr>
            <w:r>
              <w:t xml:space="preserve">HS grad or less</w:t>
            </w:r>
          </w:p>
        </w:tc>
        <w:tc>
          <w:tcPr/>
          <w:p>
            <w:pPr>
              <w:pStyle w:val="Compact"/>
            </w:pPr>
            <w:r>
              <w:t xml:space="preserve">Aug 2023</w:t>
            </w:r>
          </w:p>
        </w:tc>
        <w:tc>
          <w:tcPr/>
          <w:p>
            <w:pPr>
              <w:pStyle w:val="Compact"/>
            </w:pPr>
            <w:r>
              <w:t xml:space="preserve">8.6</w:t>
            </w:r>
          </w:p>
        </w:tc>
        <w:tc>
          <w:tcPr/>
          <w:p>
            <w:pPr>
              <w:pStyle w:val="Compact"/>
            </w:pPr>
            <w:r>
              <w:t xml:space="preserve">58.9</w:t>
            </w:r>
          </w:p>
        </w:tc>
        <w:tc>
          <w:tcPr/>
          <w:p>
            <w:pPr>
              <w:pStyle w:val="Compact"/>
            </w:pPr>
            <w:r>
              <w:t xml:space="preserve">32.5</w:t>
            </w:r>
          </w:p>
        </w:tc>
      </w:tr>
      <w:tr>
        <w:tc>
          <w:tcPr/>
          <w:p>
            <w:pPr>
              <w:pStyle w:val="Compact"/>
            </w:pPr>
            <w:r>
              <w:t xml:space="preserve">HS grad or less</w:t>
            </w:r>
          </w:p>
        </w:tc>
        <w:tc>
          <w:tcPr/>
          <w:p>
            <w:pPr>
              <w:pStyle w:val="Compact"/>
            </w:pPr>
            <w:r>
              <w:t xml:space="preserve">Aug 2024</w:t>
            </w:r>
          </w:p>
        </w:tc>
        <w:tc>
          <w:tcPr/>
          <w:p>
            <w:pPr>
              <w:pStyle w:val="Compact"/>
            </w:pPr>
            <w:r>
              <w:t xml:space="preserve">9.3</w:t>
            </w:r>
          </w:p>
        </w:tc>
        <w:tc>
          <w:tcPr/>
          <w:p>
            <w:pPr>
              <w:pStyle w:val="Compact"/>
            </w:pPr>
            <w:r>
              <w:t xml:space="preserve">56.2</w:t>
            </w:r>
          </w:p>
        </w:tc>
        <w:tc>
          <w:tcPr/>
          <w:p>
            <w:pPr>
              <w:pStyle w:val="Compact"/>
            </w:pPr>
            <w:r>
              <w:t xml:space="preserve">34.5</w:t>
            </w:r>
          </w:p>
        </w:tc>
      </w:tr>
    </w:tbl>
    <w:p>
      <w:pPr>
        <w:pStyle w:val="BodyText"/>
      </w:pPr>
      <w:r>
        <w:rPr>
          <w:i/>
          <w:iCs/>
        </w:rPr>
        <w:t xml:space="preserve">Note.</w:t>
      </w:r>
      <w:r>
        <w:t xml:space="preserve"> </w:t>
      </w:r>
      <w:r>
        <w:t xml:space="preserve">Estimates are survey-weighted. Rao-Scott chi-square tests indicated significant associations between education and AI attitudes at each wave (</w:t>
      </w:r>
      <w:r>
        <w:rPr>
          <w:i/>
          <w:iCs/>
        </w:rPr>
        <w:t xml:space="preserve">p</w:t>
      </w:r>
      <w:r>
        <w:t xml:space="preserve"> </w:t>
      </w:r>
      <w:r>
        <w:t xml:space="preserve">&lt; .001).</w:t>
      </w:r>
    </w:p>
    <w:p>
      <w:pPr>
        <w:pStyle w:val="CaptionedFigure"/>
      </w:pPr>
      <w:r>
        <w:drawing>
          <wp:inline>
            <wp:extent cx="5943600" cy="3566160"/>
            <wp:effectExtent b="0" l="0" r="0" t="0"/>
            <wp:docPr descr="Figure 2. AI Attitude Distribution by Education Level Across Survey Waves" title="" id="33" name="Picture"/>
            <a:graphic>
              <a:graphicData uri="http://schemas.openxmlformats.org/drawingml/2006/picture">
                <pic:pic>
                  <pic:nvPicPr>
                    <pic:cNvPr descr="fig2_education_gap.png" id="34" name="Picture"/>
                    <pic:cNvPicPr>
                      <a:picLocks noChangeArrowheads="1" noChangeAspect="1"/>
                    </pic:cNvPicPr>
                  </pic:nvPicPr>
                  <pic:blipFill>
                    <a:blip r:embed="rId32"/>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 2. AI Attitude Distribution by Education Level Across Survey Waves</w:t>
      </w:r>
    </w:p>
    <w:p>
      <w:pPr>
        <w:pStyle w:val="BodyText"/>
      </w:pPr>
      <w:r>
        <w:t xml:space="preserve">Across all three waves, college graduates were approximately 7–8 percentage points more likely than adults with high school or less education to report the Equally response. The gradient held even as all education groups shifted toward greater concern between Waves 1 and 2. That consistency matters: the structure of the education gradient survived a seismic shift in the overall attitude distribution.</w:t>
      </w:r>
    </w:p>
    <w:bookmarkEnd w:id="35"/>
    <w:bookmarkStart w:id="36" w:name="multinomial-logistic-regression"/>
    <w:p>
      <w:pPr>
        <w:pStyle w:val="Heading2"/>
      </w:pPr>
      <w:r>
        <w:t xml:space="preserve">Multinomial Logistic Regression</w:t>
      </w:r>
    </w:p>
    <w:p>
      <w:pPr>
        <w:pStyle w:val="FirstParagraph"/>
      </w:pPr>
      <w:r>
        <w:t xml:space="preserve">Table 3 presents the multinomial logistic regression results, with Equally as the reference category. This parameterization directly tests whether education predicts the probability of categorical (non-complex) attitudes relative to attitudinal complexity.</w:t>
      </w:r>
    </w:p>
    <w:p>
      <w:pPr>
        <w:pStyle w:val="BodyText"/>
      </w:pPr>
      <w:r>
        <w:rPr>
          <w:b/>
          <w:bCs/>
        </w:rPr>
        <w:t xml:space="preserve">Table 3</w:t>
      </w:r>
    </w:p>
    <w:p>
      <w:pPr>
        <w:pStyle w:val="BodyText"/>
      </w:pPr>
      <w:r>
        <w:rPr>
          <w:i/>
          <w:iCs/>
        </w:rPr>
        <w:t xml:space="preserve">Multinomial Logistic Regression: Predictors of AI Attitude Category (Reference: Equally)</w:t>
      </w:r>
    </w:p>
    <w:tbl>
      <w:tblPr>
        <w:tblStyle w:val="Table"/>
        <w:tblW w:type="pct" w:w="5000"/>
        <w:tblLayout w:type="fixed"/>
        <w:tblLook w:firstRow="1" w:lastRow="0" w:firstColumn="0" w:lastColumn="0" w:noHBand="0" w:noVBand="0" w:val="0020"/>
      </w:tblPr>
      <w:tblGrid>
        <w:gridCol w:w="2233"/>
        <w:gridCol w:w="1421"/>
        <w:gridCol w:w="1218"/>
        <w:gridCol w:w="1827"/>
        <w:gridCol w:w="1218"/>
      </w:tblGrid>
      <w:tr>
        <w:trPr>
          <w:tblHeader w:val="on"/>
        </w:trPr>
        <w:tc>
          <w:tcPr/>
          <w:p>
            <w:pPr>
              <w:pStyle w:val="Compact"/>
            </w:pPr>
            <w:r>
              <w:t xml:space="preserve">Predictor</w:t>
            </w:r>
          </w:p>
        </w:tc>
        <w:tc>
          <w:tcPr/>
          <w:p>
            <w:pPr>
              <w:pStyle w:val="Compact"/>
            </w:pPr>
            <w:r>
              <w:t xml:space="preserve">Excited vs. Equally</w:t>
            </w:r>
          </w:p>
        </w:tc>
        <w:tc>
          <w:tcPr/>
          <w:p>
            <w:pPr>
              <w:pStyle w:val="Compact"/>
            </w:pPr>
          </w:p>
        </w:tc>
        <w:tc>
          <w:tcPr/>
          <w:p>
            <w:pPr>
              <w:pStyle w:val="Compact"/>
            </w:pPr>
            <w:r>
              <w:t xml:space="preserve">Concerned vs. Equally</w:t>
            </w:r>
          </w:p>
        </w:tc>
        <w:tc>
          <w:tcPr/>
          <w:p>
            <w:pPr>
              <w:pStyle w:val="Compact"/>
            </w:pPr>
          </w:p>
        </w:tc>
      </w:tr>
      <w:tr>
        <w:tc>
          <w:tcPr/>
          <w:p>
            <w:pPr>
              <w:pStyle w:val="Compact"/>
            </w:pPr>
          </w:p>
        </w:tc>
        <w:tc>
          <w:tcPr/>
          <w:p>
            <w:pPr>
              <w:pStyle w:val="Compact"/>
            </w:pPr>
            <w:r>
              <w:t xml:space="preserve">OR [95% CI]</w:t>
            </w:r>
          </w:p>
        </w:tc>
        <w:tc>
          <w:tcPr/>
          <w:p>
            <w:pPr>
              <w:pStyle w:val="Compact"/>
            </w:pPr>
            <w:r>
              <w:rPr>
                <w:i/>
                <w:iCs/>
              </w:rPr>
              <w:t xml:space="preserve">p</w:t>
            </w:r>
          </w:p>
        </w:tc>
        <w:tc>
          <w:tcPr/>
          <w:p>
            <w:pPr>
              <w:pStyle w:val="Compact"/>
            </w:pPr>
            <w:r>
              <w:t xml:space="preserve">OR [95% CI]</w:t>
            </w:r>
          </w:p>
        </w:tc>
        <w:tc>
          <w:tcPr/>
          <w:p>
            <w:pPr>
              <w:pStyle w:val="Compact"/>
            </w:pPr>
            <w:r>
              <w:rPr>
                <w:i/>
                <w:iCs/>
              </w:rPr>
              <w:t xml:space="preserve">p</w:t>
            </w:r>
          </w:p>
        </w:tc>
      </w:tr>
      <w:tr>
        <w:tc>
          <w:tcPr/>
          <w:p>
            <w:pPr>
              <w:pStyle w:val="Compact"/>
            </w:pPr>
            <w:r>
              <w:rPr>
                <w:b/>
                <w:bCs/>
              </w:rPr>
              <w:t xml:space="preserve">Wave (ref: Dec 2022)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Aug 2023</w:t>
            </w:r>
          </w:p>
        </w:tc>
        <w:tc>
          <w:tcPr/>
          <w:p>
            <w:pPr>
              <w:pStyle w:val="Compact"/>
            </w:pPr>
            <w:r>
              <w:t xml:space="preserve">0.67 [0.59, 0.76]</w:t>
            </w:r>
          </w:p>
        </w:tc>
        <w:tc>
          <w:tcPr/>
          <w:p>
            <w:pPr>
              <w:pStyle w:val="Compact"/>
            </w:pPr>
            <w:r>
              <w:t xml:space="preserve">&lt; .001</w:t>
            </w:r>
          </w:p>
        </w:tc>
        <w:tc>
          <w:tcPr/>
          <w:p>
            <w:pPr>
              <w:pStyle w:val="Compact"/>
            </w:pPr>
            <w:r>
              <w:t xml:space="preserve">1.76 [1.64, 1.90]</w:t>
            </w:r>
          </w:p>
        </w:tc>
        <w:tc>
          <w:tcPr/>
          <w:p>
            <w:pPr>
              <w:pStyle w:val="Compact"/>
            </w:pPr>
            <w:r>
              <w:t xml:space="preserve">&lt; .001</w:t>
            </w:r>
          </w:p>
        </w:tc>
      </w:tr>
      <w:tr>
        <w:tc>
          <w:tcPr/>
          <w:p>
            <w:pPr>
              <w:pStyle w:val="Compact"/>
            </w:pPr>
            <w:r>
              <w:t xml:space="preserve">Aug 2024</w:t>
            </w:r>
          </w:p>
        </w:tc>
        <w:tc>
          <w:tcPr/>
          <w:p>
            <w:pPr>
              <w:pStyle w:val="Compact"/>
            </w:pPr>
            <w:r>
              <w:t xml:space="preserve">0.69 [0.59, 0.81]</w:t>
            </w:r>
          </w:p>
        </w:tc>
        <w:tc>
          <w:tcPr/>
          <w:p>
            <w:pPr>
              <w:pStyle w:val="Compact"/>
            </w:pPr>
            <w:r>
              <w:t xml:space="preserve">&lt; .001</w:t>
            </w:r>
          </w:p>
        </w:tc>
        <w:tc>
          <w:tcPr/>
          <w:p>
            <w:pPr>
              <w:pStyle w:val="Compact"/>
            </w:pPr>
            <w:r>
              <w:t xml:space="preserve">1.61 [1.46, 1.76]</w:t>
            </w:r>
          </w:p>
        </w:tc>
        <w:tc>
          <w:tcPr/>
          <w:p>
            <w:pPr>
              <w:pStyle w:val="Compact"/>
            </w:pPr>
            <w:r>
              <w:t xml:space="preserve">&lt; .001</w:t>
            </w:r>
          </w:p>
        </w:tc>
      </w:tr>
      <w:tr>
        <w:tc>
          <w:tcPr/>
          <w:p>
            <w:pPr>
              <w:pStyle w:val="Compact"/>
            </w:pPr>
            <w:r>
              <w:rPr>
                <w:b/>
                <w:bCs/>
              </w:rPr>
              <w:t xml:space="preserve">Education (ref: College grad+)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Some college</w:t>
            </w:r>
          </w:p>
        </w:tc>
        <w:tc>
          <w:tcPr/>
          <w:p>
            <w:pPr>
              <w:pStyle w:val="Compact"/>
            </w:pPr>
            <w:r>
              <w:t xml:space="preserve">0.92 [0.82, 1.04]</w:t>
            </w:r>
          </w:p>
        </w:tc>
        <w:tc>
          <w:tcPr/>
          <w:p>
            <w:pPr>
              <w:pStyle w:val="Compact"/>
            </w:pPr>
            <w:r>
              <w:t xml:space="preserve">.183</w:t>
            </w:r>
          </w:p>
        </w:tc>
        <w:tc>
          <w:tcPr/>
          <w:p>
            <w:pPr>
              <w:pStyle w:val="Compact"/>
            </w:pPr>
            <w:r>
              <w:t xml:space="preserve">1.18 [1.09, 1.28]</w:t>
            </w:r>
          </w:p>
        </w:tc>
        <w:tc>
          <w:tcPr/>
          <w:p>
            <w:pPr>
              <w:pStyle w:val="Compact"/>
            </w:pPr>
            <w:r>
              <w:t xml:space="preserve">&lt; .001</w:t>
            </w:r>
          </w:p>
        </w:tc>
      </w:tr>
      <w:tr>
        <w:tc>
          <w:tcPr/>
          <w:p>
            <w:pPr>
              <w:pStyle w:val="Compact"/>
            </w:pPr>
            <w:r>
              <w:t xml:space="preserve">HS grad or less</w:t>
            </w:r>
          </w:p>
        </w:tc>
        <w:tc>
          <w:tcPr/>
          <w:p>
            <w:pPr>
              <w:pStyle w:val="Compact"/>
            </w:pPr>
            <w:r>
              <w:t xml:space="preserve">0.90 [0.79, 1.02]</w:t>
            </w:r>
          </w:p>
        </w:tc>
        <w:tc>
          <w:tcPr/>
          <w:p>
            <w:pPr>
              <w:pStyle w:val="Compact"/>
            </w:pPr>
            <w:r>
              <w:t xml:space="preserve">.096</w:t>
            </w:r>
          </w:p>
        </w:tc>
        <w:tc>
          <w:tcPr/>
          <w:p>
            <w:pPr>
              <w:pStyle w:val="Compact"/>
            </w:pPr>
            <w:r>
              <w:t xml:space="preserve">1.35 [1.24, 1.47]</w:t>
            </w:r>
          </w:p>
        </w:tc>
        <w:tc>
          <w:tcPr/>
          <w:p>
            <w:pPr>
              <w:pStyle w:val="Compact"/>
            </w:pPr>
            <w:r>
              <w:t xml:space="preserve">&lt; .001</w:t>
            </w:r>
          </w:p>
        </w:tc>
      </w:tr>
      <w:tr>
        <w:tc>
          <w:tcPr/>
          <w:p>
            <w:pPr>
              <w:pStyle w:val="Compact"/>
            </w:pPr>
            <w:r>
              <w:rPr>
                <w:b/>
                <w:bCs/>
              </w:rPr>
              <w:t xml:space="preserve">AI awareness (ref: A lot)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 little</w:t>
            </w:r>
          </w:p>
        </w:tc>
        <w:tc>
          <w:tcPr/>
          <w:p>
            <w:pPr>
              <w:pStyle w:val="Compact"/>
            </w:pPr>
            <w:r>
              <w:t xml:space="preserve">0.55 [0.49, 0.62]</w:t>
            </w:r>
          </w:p>
        </w:tc>
        <w:tc>
          <w:tcPr/>
          <w:p>
            <w:pPr>
              <w:pStyle w:val="Compact"/>
            </w:pPr>
            <w:r>
              <w:t xml:space="preserve">&lt; .001</w:t>
            </w:r>
          </w:p>
        </w:tc>
        <w:tc>
          <w:tcPr/>
          <w:p>
            <w:pPr>
              <w:pStyle w:val="Compact"/>
            </w:pPr>
            <w:r>
              <w:t xml:space="preserve">0.91 [0.84, 0.99]</w:t>
            </w:r>
          </w:p>
        </w:tc>
        <w:tc>
          <w:tcPr/>
          <w:p>
            <w:pPr>
              <w:pStyle w:val="Compact"/>
            </w:pPr>
            <w:r>
              <w:t xml:space="preserve">.031</w:t>
            </w:r>
          </w:p>
        </w:tc>
      </w:tr>
      <w:tr>
        <w:tc>
          <w:tcPr/>
          <w:p>
            <w:pPr>
              <w:pStyle w:val="Compact"/>
            </w:pPr>
            <w:r>
              <w:t xml:space="preserve">Nothing</w:t>
            </w:r>
          </w:p>
        </w:tc>
        <w:tc>
          <w:tcPr/>
          <w:p>
            <w:pPr>
              <w:pStyle w:val="Compact"/>
            </w:pPr>
            <w:r>
              <w:t xml:space="preserve">0.32 [0.24, 0.43]</w:t>
            </w:r>
          </w:p>
        </w:tc>
        <w:tc>
          <w:tcPr/>
          <w:p>
            <w:pPr>
              <w:pStyle w:val="Compact"/>
            </w:pPr>
            <w:r>
              <w:t xml:space="preserve">&lt; .001</w:t>
            </w:r>
          </w:p>
        </w:tc>
        <w:tc>
          <w:tcPr/>
          <w:p>
            <w:pPr>
              <w:pStyle w:val="Compact"/>
            </w:pPr>
            <w:r>
              <w:t xml:space="preserve">0.87 [0.75, 1.01]</w:t>
            </w:r>
          </w:p>
        </w:tc>
        <w:tc>
          <w:tcPr/>
          <w:p>
            <w:pPr>
              <w:pStyle w:val="Compact"/>
            </w:pPr>
            <w:r>
              <w:t xml:space="preserve">.074</w:t>
            </w:r>
          </w:p>
        </w:tc>
      </w:tr>
      <w:tr>
        <w:tc>
          <w:tcPr/>
          <w:p>
            <w:pPr>
              <w:pStyle w:val="Compact"/>
            </w:pPr>
            <w:r>
              <w:rPr>
                <w:b/>
                <w:bCs/>
              </w:rPr>
              <w:t xml:space="preserve">Party (ref: Dem/Lean Dem)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Rep/Lean Rep</w:t>
            </w:r>
          </w:p>
        </w:tc>
        <w:tc>
          <w:tcPr/>
          <w:p>
            <w:pPr>
              <w:pStyle w:val="Compact"/>
            </w:pPr>
            <w:r>
              <w:t xml:space="preserve">1.48 [1.33, 1.65]</w:t>
            </w:r>
          </w:p>
        </w:tc>
        <w:tc>
          <w:tcPr/>
          <w:p>
            <w:pPr>
              <w:pStyle w:val="Compact"/>
            </w:pPr>
            <w:r>
              <w:t xml:space="preserve">&lt; .001</w:t>
            </w:r>
          </w:p>
        </w:tc>
        <w:tc>
          <w:tcPr/>
          <w:p>
            <w:pPr>
              <w:pStyle w:val="Compact"/>
            </w:pPr>
            <w:r>
              <w:t xml:space="preserve">0.68 [0.63, 0.73]</w:t>
            </w:r>
          </w:p>
        </w:tc>
        <w:tc>
          <w:tcPr/>
          <w:p>
            <w:pPr>
              <w:pStyle w:val="Compact"/>
            </w:pPr>
            <w:r>
              <w:t xml:space="preserve">&lt; .001</w:t>
            </w:r>
          </w:p>
        </w:tc>
      </w:tr>
      <w:tr>
        <w:tc>
          <w:tcPr/>
          <w:p>
            <w:pPr>
              <w:pStyle w:val="Compact"/>
            </w:pPr>
            <w:r>
              <w:rPr>
                <w:b/>
                <w:bCs/>
              </w:rPr>
              <w:t xml:space="preserve">Age (ref: 30-49)</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18–29</w:t>
            </w:r>
          </w:p>
        </w:tc>
        <w:tc>
          <w:tcPr/>
          <w:p>
            <w:pPr>
              <w:pStyle w:val="Compact"/>
            </w:pPr>
            <w:r>
              <w:t xml:space="preserve">1.52 [1.29, 1.79]</w:t>
            </w:r>
          </w:p>
        </w:tc>
        <w:tc>
          <w:tcPr/>
          <w:p>
            <w:pPr>
              <w:pStyle w:val="Compact"/>
            </w:pPr>
            <w:r>
              <w:t xml:space="preserve">&lt; .001</w:t>
            </w:r>
          </w:p>
        </w:tc>
        <w:tc>
          <w:tcPr/>
          <w:p>
            <w:pPr>
              <w:pStyle w:val="Compact"/>
            </w:pPr>
            <w:r>
              <w:t xml:space="preserve">0.79 [0.71, 0.88]</w:t>
            </w:r>
          </w:p>
        </w:tc>
        <w:tc>
          <w:tcPr/>
          <w:p>
            <w:pPr>
              <w:pStyle w:val="Compact"/>
            </w:pPr>
            <w:r>
              <w:t xml:space="preserve">&lt; .001</w:t>
            </w:r>
          </w:p>
        </w:tc>
      </w:tr>
      <w:tr>
        <w:tc>
          <w:tcPr/>
          <w:p>
            <w:pPr>
              <w:pStyle w:val="Compact"/>
            </w:pPr>
            <w:r>
              <w:t xml:space="preserve">50–64</w:t>
            </w:r>
          </w:p>
        </w:tc>
        <w:tc>
          <w:tcPr/>
          <w:p>
            <w:pPr>
              <w:pStyle w:val="Compact"/>
            </w:pPr>
            <w:r>
              <w:t xml:space="preserve">0.74 [0.64, 0.85]</w:t>
            </w:r>
          </w:p>
        </w:tc>
        <w:tc>
          <w:tcPr/>
          <w:p>
            <w:pPr>
              <w:pStyle w:val="Compact"/>
            </w:pPr>
            <w:r>
              <w:t xml:space="preserve">&lt; .001</w:t>
            </w:r>
          </w:p>
        </w:tc>
        <w:tc>
          <w:tcPr/>
          <w:p>
            <w:pPr>
              <w:pStyle w:val="Compact"/>
            </w:pPr>
            <w:r>
              <w:t xml:space="preserve">1.22 [1.12, 1.33]</w:t>
            </w:r>
          </w:p>
        </w:tc>
        <w:tc>
          <w:tcPr/>
          <w:p>
            <w:pPr>
              <w:pStyle w:val="Compact"/>
            </w:pPr>
            <w:r>
              <w:t xml:space="preserve">&lt; .001</w:t>
            </w:r>
          </w:p>
        </w:tc>
      </w:tr>
      <w:tr>
        <w:tc>
          <w:tcPr/>
          <w:p>
            <w:pPr>
              <w:pStyle w:val="Compact"/>
            </w:pPr>
            <w:r>
              <w:t xml:space="preserve">65+</w:t>
            </w:r>
          </w:p>
        </w:tc>
        <w:tc>
          <w:tcPr/>
          <w:p>
            <w:pPr>
              <w:pStyle w:val="Compact"/>
            </w:pPr>
            <w:r>
              <w:t xml:space="preserve">0.56 [0.48, 0.66]</w:t>
            </w:r>
          </w:p>
        </w:tc>
        <w:tc>
          <w:tcPr/>
          <w:p>
            <w:pPr>
              <w:pStyle w:val="Compact"/>
            </w:pPr>
            <w:r>
              <w:t xml:space="preserve">&lt; .001</w:t>
            </w:r>
          </w:p>
        </w:tc>
        <w:tc>
          <w:tcPr/>
          <w:p>
            <w:pPr>
              <w:pStyle w:val="Compact"/>
            </w:pPr>
            <w:r>
              <w:t xml:space="preserve">1.54 [1.41, 1.69]</w:t>
            </w:r>
          </w:p>
        </w:tc>
        <w:tc>
          <w:tcPr/>
          <w:p>
            <w:pPr>
              <w:pStyle w:val="Compact"/>
            </w:pPr>
            <w:r>
              <w:t xml:space="preserve">&lt; .001</w:t>
            </w:r>
          </w:p>
        </w:tc>
      </w:tr>
      <w:tr>
        <w:tc>
          <w:tcPr/>
          <w:p>
            <w:pPr>
              <w:pStyle w:val="Compact"/>
            </w:pPr>
            <w:r>
              <w:rPr>
                <w:b/>
                <w:bCs/>
              </w:rPr>
              <w:t xml:space="preserve">Gender (ref: Male)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Female</w:t>
            </w:r>
          </w:p>
        </w:tc>
        <w:tc>
          <w:tcPr/>
          <w:p>
            <w:pPr>
              <w:pStyle w:val="Compact"/>
            </w:pPr>
            <w:r>
              <w:t xml:space="preserve">0.59 [0.53, 0.66]</w:t>
            </w:r>
          </w:p>
        </w:tc>
        <w:tc>
          <w:tcPr/>
          <w:p>
            <w:pPr>
              <w:pStyle w:val="Compact"/>
            </w:pPr>
            <w:r>
              <w:t xml:space="preserve">&lt; .001</w:t>
            </w:r>
          </w:p>
        </w:tc>
        <w:tc>
          <w:tcPr/>
          <w:p>
            <w:pPr>
              <w:pStyle w:val="Compact"/>
            </w:pPr>
            <w:r>
              <w:t xml:space="preserve">1.41 [1.31, 1.51]</w:t>
            </w:r>
          </w:p>
        </w:tc>
        <w:tc>
          <w:tcPr/>
          <w:p>
            <w:pPr>
              <w:pStyle w:val="Compact"/>
            </w:pPr>
            <w:r>
              <w:t xml:space="preserve">&lt; .001</w:t>
            </w:r>
          </w:p>
        </w:tc>
      </w:tr>
      <w:tr>
        <w:tc>
          <w:tcPr/>
          <w:p>
            <w:pPr>
              <w:pStyle w:val="Compact"/>
            </w:pPr>
            <w:r>
              <w:rPr>
                <w:b/>
                <w:bCs/>
              </w:rPr>
              <w:t xml:space="preserve">Income (ref: Middle)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Lower</w:t>
            </w:r>
          </w:p>
        </w:tc>
        <w:tc>
          <w:tcPr/>
          <w:p>
            <w:pPr>
              <w:pStyle w:val="Compact"/>
            </w:pPr>
            <w:r>
              <w:t xml:space="preserve">0.89 [0.78, 1.02]</w:t>
            </w:r>
          </w:p>
        </w:tc>
        <w:tc>
          <w:tcPr/>
          <w:p>
            <w:pPr>
              <w:pStyle w:val="Compact"/>
            </w:pPr>
            <w:r>
              <w:t xml:space="preserve">.098</w:t>
            </w:r>
          </w:p>
        </w:tc>
        <w:tc>
          <w:tcPr/>
          <w:p>
            <w:pPr>
              <w:pStyle w:val="Compact"/>
            </w:pPr>
            <w:r>
              <w:t xml:space="preserve">1.12 [1.03, 1.22]</w:t>
            </w:r>
          </w:p>
        </w:tc>
        <w:tc>
          <w:tcPr/>
          <w:p>
            <w:pPr>
              <w:pStyle w:val="Compact"/>
            </w:pPr>
            <w:r>
              <w:t xml:space="preserve">.011</w:t>
            </w:r>
          </w:p>
        </w:tc>
      </w:tr>
      <w:tr>
        <w:tc>
          <w:tcPr/>
          <w:p>
            <w:pPr>
              <w:pStyle w:val="Compact"/>
            </w:pPr>
            <w:r>
              <w:t xml:space="preserve">Upper</w:t>
            </w:r>
          </w:p>
        </w:tc>
        <w:tc>
          <w:tcPr/>
          <w:p>
            <w:pPr>
              <w:pStyle w:val="Compact"/>
            </w:pPr>
            <w:r>
              <w:t xml:space="preserve">1.08 [0.96, 1.22]</w:t>
            </w:r>
          </w:p>
        </w:tc>
        <w:tc>
          <w:tcPr/>
          <w:p>
            <w:pPr>
              <w:pStyle w:val="Compact"/>
            </w:pPr>
            <w:r>
              <w:t xml:space="preserve">.204</w:t>
            </w:r>
          </w:p>
        </w:tc>
        <w:tc>
          <w:tcPr/>
          <w:p>
            <w:pPr>
              <w:pStyle w:val="Compact"/>
            </w:pPr>
            <w:r>
              <w:t xml:space="preserve">0.78 [0.72, 0.85]</w:t>
            </w:r>
          </w:p>
        </w:tc>
        <w:tc>
          <w:tcPr/>
          <w:p>
            <w:pPr>
              <w:pStyle w:val="Compact"/>
            </w:pPr>
            <w:r>
              <w:t xml:space="preserve">&lt; .001</w:t>
            </w:r>
          </w:p>
        </w:tc>
      </w:tr>
    </w:tbl>
    <w:p>
      <w:pPr>
        <w:pStyle w:val="BodyText"/>
      </w:pPr>
      <w:r>
        <w:rPr>
          <w:i/>
          <w:iCs/>
        </w:rPr>
        <w:t xml:space="preserve">Note.</w:t>
      </w:r>
      <w:r>
        <w:t xml:space="preserve"> </w:t>
      </w:r>
      <w:r>
        <w:t xml:space="preserve">OR = odds ratio. Reference category for the dependent variable is</w:t>
      </w:r>
      <w:r>
        <w:t xml:space="preserve"> </w:t>
      </w:r>
      <w:r>
        <w:t xml:space="preserve">“Equally concerned and excited.”</w:t>
      </w:r>
      <w:r>
        <w:t xml:space="preserve"> </w:t>
      </w:r>
      <w:r>
        <w:rPr>
          <w:i/>
          <w:iCs/>
        </w:rPr>
        <w:t xml:space="preserve">N</w:t>
      </w:r>
      <w:r>
        <w:t xml:space="preserve"> </w:t>
      </w:r>
      <w:r>
        <w:t xml:space="preserve">= 24,741. Survey-weighted multinomial logistic regression.</w:t>
      </w:r>
    </w:p>
    <w:p>
      <w:pPr>
        <w:pStyle w:val="BodyText"/>
      </w:pPr>
      <w:r>
        <w:t xml:space="preserve">The education gradient is asymmetric. Both lower education categories showed significantly elevated odds of being in the Concerned category relative to Equally. Adults with a high school education or less had 35% higher odds of being Concerned relative to Equally (OR = 1.35,</w:t>
      </w:r>
      <w:r>
        <w:t xml:space="preserve"> </w:t>
      </w:r>
      <w:r>
        <w:rPr>
          <w:i/>
          <w:iCs/>
        </w:rPr>
        <w:t xml:space="preserve">p</w:t>
      </w:r>
      <w:r>
        <w:t xml:space="preserve"> </w:t>
      </w:r>
      <w:r>
        <w:t xml:space="preserve">&lt; .001), while those with some college had 18% higher odds (OR = 1.18,</w:t>
      </w:r>
      <w:r>
        <w:t xml:space="preserve"> </w:t>
      </w:r>
      <w:r>
        <w:rPr>
          <w:i/>
          <w:iCs/>
        </w:rPr>
        <w:t xml:space="preserve">p</w:t>
      </w:r>
      <w:r>
        <w:t xml:space="preserve"> </w:t>
      </w:r>
      <w:r>
        <w:t xml:space="preserve">&lt; .001). But lower education was not significantly associated with being Excited relative to Equally. Education, in other words, differentiates between complex and concerned attitudes specifically, not between complex and excited ones.</w:t>
      </w:r>
    </w:p>
    <w:p>
      <w:pPr>
        <w:pStyle w:val="BodyText"/>
      </w:pPr>
      <w:r>
        <w:t xml:space="preserve">AI awareness displayed a distinctive and somewhat counterintuitive pattern. Having heard</w:t>
      </w:r>
      <w:r>
        <w:t xml:space="preserve"> </w:t>
      </w:r>
      <w:r>
        <w:t xml:space="preserve">“a little”</w:t>
      </w:r>
      <w:r>
        <w:t xml:space="preserve"> </w:t>
      </w:r>
      <w:r>
        <w:t xml:space="preserve">or</w:t>
      </w:r>
      <w:r>
        <w:t xml:space="preserve"> </w:t>
      </w:r>
      <w:r>
        <w:t xml:space="preserve">“nothing”</w:t>
      </w:r>
      <w:r>
        <w:t xml:space="preserve"> </w:t>
      </w:r>
      <w:r>
        <w:t xml:space="preserve">about AI was associated with much lower odds of being Excited relative to Equally (ORs = 0.55 and 0.32, respectively), but was not significantly associated with the Concerned versus Equally comparison. Awareness produces</w:t>
      </w:r>
      <w:r>
        <w:t xml:space="preserve"> </w:t>
      </w:r>
      <w:r>
        <w:rPr>
          <w:i/>
          <w:iCs/>
        </w:rPr>
        <w:t xml:space="preserve">differentiation</w:t>
      </w:r>
      <w:r>
        <w:t xml:space="preserve">: higher-awareness adults develop stronger specific attitudes (both excited and concerned), while lower-awareness adults default to the middle category. That default may reflect</w:t>
      </w:r>
      <w:r>
        <w:t xml:space="preserve"> </w:t>
      </w:r>
      <w:r>
        <w:rPr>
          <w:i/>
          <w:iCs/>
        </w:rPr>
        <w:t xml:space="preserve">indifference</w:t>
      </w:r>
      <w:r>
        <w:t xml:space="preserve"> </w:t>
      </w:r>
      <w:r>
        <w:t xml:space="preserve">instead of epistemic complexity, an important distinction addressed in the Discussion.</w:t>
      </w:r>
    </w:p>
    <w:p>
      <w:pPr>
        <w:pStyle w:val="BodyText"/>
      </w:pPr>
      <w:r>
        <w:t xml:space="preserve">Partisan identification was the strongest single predictor, with Republicans showing 48% higher odds of being Excited versus Equally and 32% lower odds of being Concerned versus Equally, compared to Democrats. This confirms the substantial partisan structure of AI attitudes documented in prior research</w:t>
      </w:r>
      <w:r>
        <w:t xml:space="preserve"> </w:t>
      </w:r>
      <w:r>
        <w:t xml:space="preserve">[@schiff2024]</w:t>
      </w:r>
      <w:r>
        <w:t xml:space="preserve">.</w:t>
      </w:r>
    </w:p>
    <w:bookmarkEnd w:id="36"/>
    <w:bookmarkStart w:id="40" w:name="education-and-ai-awareness-interaction"/>
    <w:p>
      <w:pPr>
        <w:pStyle w:val="Heading2"/>
      </w:pPr>
      <w:r>
        <w:t xml:space="preserve">Education and AI Awareness Interaction</w:t>
      </w:r>
    </w:p>
    <w:p>
      <w:pPr>
        <w:pStyle w:val="FirstParagraph"/>
      </w:pPr>
      <w:r>
        <w:t xml:space="preserve">Table 4 presents the cross-tabulation of AI attitudes by education and AI awareness, pooled across waves, to assess H3.</w:t>
      </w:r>
    </w:p>
    <w:p>
      <w:pPr>
        <w:pStyle w:val="BodyText"/>
      </w:pPr>
      <w:r>
        <w:rPr>
          <w:b/>
          <w:bCs/>
        </w:rPr>
        <w:t xml:space="preserve">Table 4</w:t>
      </w:r>
    </w:p>
    <w:p>
      <w:pPr>
        <w:pStyle w:val="BodyText"/>
      </w:pPr>
      <w:r>
        <w:rPr>
          <w:i/>
          <w:iCs/>
        </w:rPr>
        <w:t xml:space="preserve">Weighted AI Attitude Distribution by Education and AI Awareness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Education</w:t>
            </w:r>
          </w:p>
        </w:tc>
        <w:tc>
          <w:tcPr/>
          <w:p>
            <w:pPr>
              <w:pStyle w:val="Compact"/>
            </w:pPr>
            <w:r>
              <w:t xml:space="preserve">AI Awareness</w:t>
            </w:r>
          </w:p>
        </w:tc>
        <w:tc>
          <w:tcPr/>
          <w:p>
            <w:pPr>
              <w:pStyle w:val="Compact"/>
            </w:pPr>
            <w:r>
              <w:t xml:space="preserve">Excited</w:t>
            </w:r>
          </w:p>
        </w:tc>
        <w:tc>
          <w:tcPr/>
          <w:p>
            <w:pPr>
              <w:pStyle w:val="Compact"/>
            </w:pPr>
            <w:r>
              <w:t xml:space="preserve">Concerned</w:t>
            </w:r>
          </w:p>
        </w:tc>
        <w:tc>
          <w:tcPr/>
          <w:p>
            <w:pPr>
              <w:pStyle w:val="Compact"/>
            </w:pPr>
            <w:r>
              <w:t xml:space="preserve">Equally</w:t>
            </w:r>
          </w:p>
        </w:tc>
      </w:tr>
      <w:tr>
        <w:tc>
          <w:tcPr/>
          <w:p>
            <w:pPr>
              <w:pStyle w:val="Compact"/>
            </w:pPr>
            <w:r>
              <w:t xml:space="preserve">College grad+</w:t>
            </w:r>
          </w:p>
        </w:tc>
        <w:tc>
          <w:tcPr/>
          <w:p>
            <w:pPr>
              <w:pStyle w:val="Compact"/>
            </w:pPr>
            <w:r>
              <w:t xml:space="preserve">A lot</w:t>
            </w:r>
          </w:p>
        </w:tc>
        <w:tc>
          <w:tcPr/>
          <w:p>
            <w:pPr>
              <w:pStyle w:val="Compact"/>
            </w:pPr>
            <w:r>
              <w:t xml:space="preserve">22.1</w:t>
            </w:r>
          </w:p>
        </w:tc>
        <w:tc>
          <w:tcPr/>
          <w:p>
            <w:pPr>
              <w:pStyle w:val="Compact"/>
            </w:pPr>
            <w:r>
              <w:t xml:space="preserve">39.8</w:t>
            </w:r>
          </w:p>
        </w:tc>
        <w:tc>
          <w:tcPr/>
          <w:p>
            <w:pPr>
              <w:pStyle w:val="Compact"/>
            </w:pPr>
            <w:r>
              <w:t xml:space="preserve">38.1</w:t>
            </w:r>
          </w:p>
        </w:tc>
      </w:tr>
      <w:tr>
        <w:tc>
          <w:tcPr/>
          <w:p>
            <w:pPr>
              <w:pStyle w:val="Compact"/>
            </w:pPr>
            <w:r>
              <w:t xml:space="preserve">College grad+</w:t>
            </w:r>
          </w:p>
        </w:tc>
        <w:tc>
          <w:tcPr/>
          <w:p>
            <w:pPr>
              <w:pStyle w:val="Compact"/>
            </w:pPr>
            <w:r>
              <w:t xml:space="preserve">A little</w:t>
            </w:r>
          </w:p>
        </w:tc>
        <w:tc>
          <w:tcPr/>
          <w:p>
            <w:pPr>
              <w:pStyle w:val="Compact"/>
            </w:pPr>
            <w:r>
              <w:t xml:space="preserve">10.5</w:t>
            </w:r>
          </w:p>
        </w:tc>
        <w:tc>
          <w:tcPr/>
          <w:p>
            <w:pPr>
              <w:pStyle w:val="Compact"/>
            </w:pPr>
            <w:r>
              <w:t xml:space="preserve">44.6</w:t>
            </w:r>
          </w:p>
        </w:tc>
        <w:tc>
          <w:tcPr/>
          <w:p>
            <w:pPr>
              <w:pStyle w:val="Compact"/>
            </w:pPr>
            <w:r>
              <w:t xml:space="preserve">44.9</w:t>
            </w:r>
          </w:p>
        </w:tc>
      </w:tr>
      <w:tr>
        <w:tc>
          <w:tcPr/>
          <w:p>
            <w:pPr>
              <w:pStyle w:val="Compact"/>
            </w:pPr>
            <w:r>
              <w:t xml:space="preserve">College grad+</w:t>
            </w:r>
          </w:p>
        </w:tc>
        <w:tc>
          <w:tcPr/>
          <w:p>
            <w:pPr>
              <w:pStyle w:val="Compact"/>
            </w:pPr>
            <w:r>
              <w:t xml:space="preserve">Nothing</w:t>
            </w:r>
          </w:p>
        </w:tc>
        <w:tc>
          <w:tcPr/>
          <w:p>
            <w:pPr>
              <w:pStyle w:val="Compact"/>
            </w:pPr>
            <w:r>
              <w:t xml:space="preserve">5.2</w:t>
            </w:r>
          </w:p>
        </w:tc>
        <w:tc>
          <w:tcPr/>
          <w:p>
            <w:pPr>
              <w:pStyle w:val="Compact"/>
            </w:pPr>
            <w:r>
              <w:t xml:space="preserve">40.3</w:t>
            </w:r>
          </w:p>
        </w:tc>
        <w:tc>
          <w:tcPr/>
          <w:p>
            <w:pPr>
              <w:pStyle w:val="Compact"/>
            </w:pPr>
            <w:r>
              <w:t xml:space="preserve">54.5</w:t>
            </w:r>
          </w:p>
        </w:tc>
      </w:tr>
      <w:tr>
        <w:tc>
          <w:tcPr/>
          <w:p>
            <w:pPr>
              <w:pStyle w:val="Compact"/>
            </w:pPr>
            <w:r>
              <w:t xml:space="preserve">Some college</w:t>
            </w:r>
          </w:p>
        </w:tc>
        <w:tc>
          <w:tcPr/>
          <w:p>
            <w:pPr>
              <w:pStyle w:val="Compact"/>
            </w:pPr>
            <w:r>
              <w:t xml:space="preserve">A lot</w:t>
            </w:r>
          </w:p>
        </w:tc>
        <w:tc>
          <w:tcPr/>
          <w:p>
            <w:pPr>
              <w:pStyle w:val="Compact"/>
            </w:pPr>
            <w:r>
              <w:t xml:space="preserve">19.4</w:t>
            </w:r>
          </w:p>
        </w:tc>
        <w:tc>
          <w:tcPr/>
          <w:p>
            <w:pPr>
              <w:pStyle w:val="Compact"/>
            </w:pPr>
            <w:r>
              <w:t xml:space="preserve">44.2</w:t>
            </w:r>
          </w:p>
        </w:tc>
        <w:tc>
          <w:tcPr/>
          <w:p>
            <w:pPr>
              <w:pStyle w:val="Compact"/>
            </w:pPr>
            <w:r>
              <w:t xml:space="preserve">36.4</w:t>
            </w:r>
          </w:p>
        </w:tc>
      </w:tr>
      <w:tr>
        <w:tc>
          <w:tcPr/>
          <w:p>
            <w:pPr>
              <w:pStyle w:val="Compact"/>
            </w:pPr>
            <w:r>
              <w:t xml:space="preserve">Some college</w:t>
            </w:r>
          </w:p>
        </w:tc>
        <w:tc>
          <w:tcPr/>
          <w:p>
            <w:pPr>
              <w:pStyle w:val="Compact"/>
            </w:pPr>
            <w:r>
              <w:t xml:space="preserve">A little</w:t>
            </w:r>
          </w:p>
        </w:tc>
        <w:tc>
          <w:tcPr/>
          <w:p>
            <w:pPr>
              <w:pStyle w:val="Compact"/>
            </w:pPr>
            <w:r>
              <w:t xml:space="preserve">8.7</w:t>
            </w:r>
          </w:p>
        </w:tc>
        <w:tc>
          <w:tcPr/>
          <w:p>
            <w:pPr>
              <w:pStyle w:val="Compact"/>
            </w:pPr>
            <w:r>
              <w:t xml:space="preserve">49.7</w:t>
            </w:r>
          </w:p>
        </w:tc>
        <w:tc>
          <w:tcPr/>
          <w:p>
            <w:pPr>
              <w:pStyle w:val="Compact"/>
            </w:pPr>
            <w:r>
              <w:t xml:space="preserve">41.6</w:t>
            </w:r>
          </w:p>
        </w:tc>
      </w:tr>
      <w:tr>
        <w:tc>
          <w:tcPr/>
          <w:p>
            <w:pPr>
              <w:pStyle w:val="Compact"/>
            </w:pPr>
            <w:r>
              <w:t xml:space="preserve">Some college</w:t>
            </w:r>
          </w:p>
        </w:tc>
        <w:tc>
          <w:tcPr/>
          <w:p>
            <w:pPr>
              <w:pStyle w:val="Compact"/>
            </w:pPr>
            <w:r>
              <w:t xml:space="preserve">Nothing</w:t>
            </w:r>
          </w:p>
        </w:tc>
        <w:tc>
          <w:tcPr/>
          <w:p>
            <w:pPr>
              <w:pStyle w:val="Compact"/>
            </w:pPr>
            <w:r>
              <w:t xml:space="preserve">4.1</w:t>
            </w:r>
          </w:p>
        </w:tc>
        <w:tc>
          <w:tcPr/>
          <w:p>
            <w:pPr>
              <w:pStyle w:val="Compact"/>
            </w:pPr>
            <w:r>
              <w:t xml:space="preserve">46.5</w:t>
            </w:r>
          </w:p>
        </w:tc>
        <w:tc>
          <w:tcPr/>
          <w:p>
            <w:pPr>
              <w:pStyle w:val="Compact"/>
            </w:pPr>
            <w:r>
              <w:t xml:space="preserve">49.4</w:t>
            </w:r>
          </w:p>
        </w:tc>
      </w:tr>
      <w:tr>
        <w:tc>
          <w:tcPr/>
          <w:p>
            <w:pPr>
              <w:pStyle w:val="Compact"/>
            </w:pPr>
            <w:r>
              <w:t xml:space="preserve">HS grad or less</w:t>
            </w:r>
          </w:p>
        </w:tc>
        <w:tc>
          <w:tcPr/>
          <w:p>
            <w:pPr>
              <w:pStyle w:val="Compact"/>
            </w:pPr>
            <w:r>
              <w:t xml:space="preserve">A lot</w:t>
            </w:r>
          </w:p>
        </w:tc>
        <w:tc>
          <w:tcPr/>
          <w:p>
            <w:pPr>
              <w:pStyle w:val="Compact"/>
            </w:pPr>
            <w:r>
              <w:t xml:space="preserve">17.6</w:t>
            </w:r>
          </w:p>
        </w:tc>
        <w:tc>
          <w:tcPr/>
          <w:p>
            <w:pPr>
              <w:pStyle w:val="Compact"/>
            </w:pPr>
            <w:r>
              <w:t xml:space="preserve">49.8</w:t>
            </w:r>
          </w:p>
        </w:tc>
        <w:tc>
          <w:tcPr/>
          <w:p>
            <w:pPr>
              <w:pStyle w:val="Compact"/>
            </w:pPr>
            <w:r>
              <w:t xml:space="preserve">32.6</w:t>
            </w:r>
          </w:p>
        </w:tc>
      </w:tr>
      <w:tr>
        <w:tc>
          <w:tcPr/>
          <w:p>
            <w:pPr>
              <w:pStyle w:val="Compact"/>
            </w:pPr>
            <w:r>
              <w:t xml:space="preserve">HS grad or less</w:t>
            </w:r>
          </w:p>
        </w:tc>
        <w:tc>
          <w:tcPr/>
          <w:p>
            <w:pPr>
              <w:pStyle w:val="Compact"/>
            </w:pPr>
            <w:r>
              <w:t xml:space="preserve">A little</w:t>
            </w:r>
          </w:p>
        </w:tc>
        <w:tc>
          <w:tcPr/>
          <w:p>
            <w:pPr>
              <w:pStyle w:val="Compact"/>
            </w:pPr>
            <w:r>
              <w:t xml:space="preserve">7.2</w:t>
            </w:r>
          </w:p>
        </w:tc>
        <w:tc>
          <w:tcPr/>
          <w:p>
            <w:pPr>
              <w:pStyle w:val="Compact"/>
            </w:pPr>
            <w:r>
              <w:t xml:space="preserve">53.1</w:t>
            </w:r>
          </w:p>
        </w:tc>
        <w:tc>
          <w:tcPr/>
          <w:p>
            <w:pPr>
              <w:pStyle w:val="Compact"/>
            </w:pPr>
            <w:r>
              <w:t xml:space="preserve">39.7</w:t>
            </w:r>
          </w:p>
        </w:tc>
      </w:tr>
      <w:tr>
        <w:tc>
          <w:tcPr/>
          <w:p>
            <w:pPr>
              <w:pStyle w:val="Compact"/>
            </w:pPr>
            <w:r>
              <w:t xml:space="preserve">HS grad or less</w:t>
            </w:r>
          </w:p>
        </w:tc>
        <w:tc>
          <w:tcPr/>
          <w:p>
            <w:pPr>
              <w:pStyle w:val="Compact"/>
            </w:pPr>
            <w:r>
              <w:t xml:space="preserve">Nothing</w:t>
            </w:r>
          </w:p>
        </w:tc>
        <w:tc>
          <w:tcPr/>
          <w:p>
            <w:pPr>
              <w:pStyle w:val="Compact"/>
            </w:pPr>
            <w:r>
              <w:t xml:space="preserve">3.8</w:t>
            </w:r>
          </w:p>
        </w:tc>
        <w:tc>
          <w:tcPr/>
          <w:p>
            <w:pPr>
              <w:pStyle w:val="Compact"/>
            </w:pPr>
            <w:r>
              <w:t xml:space="preserve">48.2</w:t>
            </w:r>
          </w:p>
        </w:tc>
        <w:tc>
          <w:tcPr/>
          <w:p>
            <w:pPr>
              <w:pStyle w:val="Compact"/>
            </w:pPr>
            <w:r>
              <w:t xml:space="preserve">48.0</w:t>
            </w:r>
          </w:p>
        </w:tc>
      </w:tr>
    </w:tbl>
    <w:p>
      <w:pPr>
        <w:pStyle w:val="BodyText"/>
      </w:pPr>
      <w:r>
        <w:rPr>
          <w:i/>
          <w:iCs/>
        </w:rPr>
        <w:t xml:space="preserve">Note.</w:t>
      </w:r>
      <w:r>
        <w:t xml:space="preserve"> </w:t>
      </w:r>
      <w:r>
        <w:t xml:space="preserve">Estimates are survey-weighted, pooled across all three waves.</w:t>
      </w:r>
    </w:p>
    <w:p>
      <w:pPr>
        <w:pStyle w:val="CaptionedFigure"/>
      </w:pPr>
      <w:r>
        <w:drawing>
          <wp:inline>
            <wp:extent cx="5943600" cy="3566160"/>
            <wp:effectExtent b="0" l="0" r="0" t="0"/>
            <wp:docPr descr="Figure 5. AI Attitude Distribution by Education and AI Awareness Level" title="" id="38" name="Picture"/>
            <a:graphic>
              <a:graphicData uri="http://schemas.openxmlformats.org/drawingml/2006/picture">
                <pic:pic>
                  <pic:nvPicPr>
                    <pic:cNvPr descr="fig5_awareness.png" id="39" name="Picture"/>
                    <pic:cNvPicPr>
                      <a:picLocks noChangeArrowheads="1" noChangeAspect="1"/>
                    </pic:cNvPicPr>
                  </pic:nvPicPr>
                  <pic:blipFill>
                    <a:blip r:embed="rId37"/>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 5. AI Attitude Distribution by Education and AI Awareness Level</w:t>
      </w:r>
    </w:p>
    <w:p>
      <w:pPr>
        <w:pStyle w:val="BodyText"/>
      </w:pPr>
      <w:r>
        <w:t xml:space="preserve">The pattern is more textured than H3 anticipated. The highest rates of the Equally response appeared not among the high-education, high-awareness group (which showed 38.1% Equally), but among those with low awareness regardless of education (49–55% Equally). We did not expect this. Among high-awareness adults, the education gradient for the Equally response was pronounced: college graduates were 5.5 percentage points more likely than high-school-educated adults to say</w:t>
      </w:r>
      <w:r>
        <w:t xml:space="preserve"> </w:t>
      </w:r>
      <w:r>
        <w:t xml:space="preserve">“Equally”</w:t>
      </w:r>
      <w:r>
        <w:t xml:space="preserve"> </w:t>
      </w:r>
      <w:r>
        <w:t xml:space="preserve">(38.1% vs. 32.6%), supporting the prediction that education and awareness jointly produce greater epistemic complexity. Yet the high rates of</w:t>
      </w:r>
      <w:r>
        <w:t xml:space="preserve"> </w:t>
      </w:r>
      <w:r>
        <w:t xml:space="preserve">“Equally”</w:t>
      </w:r>
      <w:r>
        <w:t xml:space="preserve"> </w:t>
      </w:r>
      <w:r>
        <w:t xml:space="preserve">among low-awareness respondents likely reflect a different psychological process altogether, one closer to indifference or satisficing than genuine epistemic integration. The same survey response, it turns out, can mean two very different things depending on who gives it. This complication does not undermine the hypothesis so much as refine it: the Equally category is not a clean measure of epistemic complexity, and any interpretation must be conditional on awareness level.</w:t>
      </w:r>
    </w:p>
    <w:bookmarkEnd w:id="40"/>
    <w:bookmarkStart w:id="41" w:name="interaction-model-wave-by-education"/>
    <w:p>
      <w:pPr>
        <w:pStyle w:val="Heading2"/>
      </w:pPr>
      <w:r>
        <w:t xml:space="preserve">Interaction Model: Wave by Education</w:t>
      </w:r>
    </w:p>
    <w:p>
      <w:pPr>
        <w:pStyle w:val="FirstParagraph"/>
      </w:pPr>
      <w:r>
        <w:t xml:space="preserve">Table 5 presents the results of the wave-by-education interaction model testing H5 (temporal stability).</w:t>
      </w:r>
    </w:p>
    <w:p>
      <w:pPr>
        <w:pStyle w:val="BodyText"/>
      </w:pPr>
      <w:r>
        <w:rPr>
          <w:b/>
          <w:bCs/>
        </w:rPr>
        <w:t xml:space="preserve">Table 5</w:t>
      </w:r>
    </w:p>
    <w:p>
      <w:pPr>
        <w:pStyle w:val="BodyText"/>
      </w:pPr>
      <w:r>
        <w:rPr>
          <w:i/>
          <w:iCs/>
        </w:rPr>
        <w:t xml:space="preserve">Binary Logistic Regression with Wave-by-Education Interaction (DV: Concerned vs. Not Concerned)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OR [95% CI]</w:t>
            </w:r>
          </w:p>
        </w:tc>
        <w:tc>
          <w:tcPr/>
          <w:p>
            <w:pPr>
              <w:pStyle w:val="Compact"/>
            </w:pPr>
            <w:r>
              <w:rPr>
                <w:i/>
                <w:iCs/>
              </w:rPr>
              <w:t xml:space="preserve">p</w:t>
            </w:r>
          </w:p>
        </w:tc>
      </w:tr>
      <w:tr>
        <w:tc>
          <w:tcPr/>
          <w:p>
            <w:pPr>
              <w:pStyle w:val="Compact"/>
            </w:pPr>
            <w:r>
              <w:t xml:space="preserve">Wave Aug 2023 (ref: Dec 2022)</w:t>
            </w:r>
          </w:p>
        </w:tc>
        <w:tc>
          <w:tcPr/>
          <w:p>
            <w:pPr>
              <w:pStyle w:val="Compact"/>
            </w:pPr>
            <w:r>
              <w:t xml:space="preserve">1.82 [1.62, 2.04]</w:t>
            </w:r>
          </w:p>
        </w:tc>
        <w:tc>
          <w:tcPr/>
          <w:p>
            <w:pPr>
              <w:pStyle w:val="Compact"/>
            </w:pPr>
            <w:r>
              <w:t xml:space="preserve">&lt; .001</w:t>
            </w:r>
          </w:p>
        </w:tc>
      </w:tr>
      <w:tr>
        <w:tc>
          <w:tcPr/>
          <w:p>
            <w:pPr>
              <w:pStyle w:val="Compact"/>
            </w:pPr>
            <w:r>
              <w:t xml:space="preserve">Wave Aug 2024</w:t>
            </w:r>
          </w:p>
        </w:tc>
        <w:tc>
          <w:tcPr/>
          <w:p>
            <w:pPr>
              <w:pStyle w:val="Compact"/>
            </w:pPr>
            <w:r>
              <w:t xml:space="preserve">1.63 [1.41, 1.88]</w:t>
            </w:r>
          </w:p>
        </w:tc>
        <w:tc>
          <w:tcPr/>
          <w:p>
            <w:pPr>
              <w:pStyle w:val="Compact"/>
            </w:pPr>
            <w:r>
              <w:t xml:space="preserve">&lt; .001</w:t>
            </w:r>
          </w:p>
        </w:tc>
      </w:tr>
      <w:tr>
        <w:tc>
          <w:tcPr/>
          <w:p>
            <w:pPr>
              <w:pStyle w:val="Compact"/>
            </w:pPr>
            <w:r>
              <w:t xml:space="preserve">Some college (ref: College grad+)</w:t>
            </w:r>
          </w:p>
        </w:tc>
        <w:tc>
          <w:tcPr/>
          <w:p>
            <w:pPr>
              <w:pStyle w:val="Compact"/>
            </w:pPr>
            <w:r>
              <w:t xml:space="preserve">1.19 [1.06, 1.34]</w:t>
            </w:r>
          </w:p>
        </w:tc>
        <w:tc>
          <w:tcPr/>
          <w:p>
            <w:pPr>
              <w:pStyle w:val="Compact"/>
            </w:pPr>
            <w:r>
              <w:t xml:space="preserve">.003</w:t>
            </w:r>
          </w:p>
        </w:tc>
      </w:tr>
      <w:tr>
        <w:tc>
          <w:tcPr/>
          <w:p>
            <w:pPr>
              <w:pStyle w:val="Compact"/>
            </w:pPr>
            <w:r>
              <w:t xml:space="preserve">HS grad or less</w:t>
            </w:r>
          </w:p>
        </w:tc>
        <w:tc>
          <w:tcPr/>
          <w:p>
            <w:pPr>
              <w:pStyle w:val="Compact"/>
            </w:pPr>
            <w:r>
              <w:t xml:space="preserve">1.37 [1.21, 1.55]</w:t>
            </w:r>
          </w:p>
        </w:tc>
        <w:tc>
          <w:tcPr/>
          <w:p>
            <w:pPr>
              <w:pStyle w:val="Compact"/>
            </w:pPr>
            <w:r>
              <w:t xml:space="preserve">&lt; .001</w:t>
            </w:r>
          </w:p>
        </w:tc>
      </w:tr>
      <w:tr>
        <w:tc>
          <w:tcPr/>
          <w:p>
            <w:pPr>
              <w:pStyle w:val="Compact"/>
            </w:pPr>
            <w:r>
              <w:t xml:space="preserve">Wave Aug 2023 x Some college</w:t>
            </w:r>
          </w:p>
        </w:tc>
        <w:tc>
          <w:tcPr/>
          <w:p>
            <w:pPr>
              <w:pStyle w:val="Compact"/>
            </w:pPr>
            <w:r>
              <w:t xml:space="preserve">1.01 [0.86, 1.19]</w:t>
            </w:r>
          </w:p>
        </w:tc>
        <w:tc>
          <w:tcPr/>
          <w:p>
            <w:pPr>
              <w:pStyle w:val="Compact"/>
            </w:pPr>
            <w:r>
              <w:t xml:space="preserve">.880</w:t>
            </w:r>
          </w:p>
        </w:tc>
      </w:tr>
      <w:tr>
        <w:tc>
          <w:tcPr/>
          <w:p>
            <w:pPr>
              <w:pStyle w:val="Compact"/>
            </w:pPr>
            <w:r>
              <w:t xml:space="preserve">Wave Aug 2023 x HS grad or less</w:t>
            </w:r>
          </w:p>
        </w:tc>
        <w:tc>
          <w:tcPr/>
          <w:p>
            <w:pPr>
              <w:pStyle w:val="Compact"/>
            </w:pPr>
            <w:r>
              <w:t xml:space="preserve">1.04 [0.88, 1.23]</w:t>
            </w:r>
          </w:p>
        </w:tc>
        <w:tc>
          <w:tcPr/>
          <w:p>
            <w:pPr>
              <w:pStyle w:val="Compact"/>
            </w:pPr>
            <w:r>
              <w:t xml:space="preserve">.631</w:t>
            </w:r>
          </w:p>
        </w:tc>
      </w:tr>
      <w:tr>
        <w:tc>
          <w:tcPr/>
          <w:p>
            <w:pPr>
              <w:pStyle w:val="Compact"/>
            </w:pPr>
            <w:r>
              <w:t xml:space="preserve">Wave Aug 2024 x Some college</w:t>
            </w:r>
          </w:p>
        </w:tc>
        <w:tc>
          <w:tcPr/>
          <w:p>
            <w:pPr>
              <w:pStyle w:val="Compact"/>
            </w:pPr>
            <w:r>
              <w:t xml:space="preserve">0.98 [0.80, 1.20]</w:t>
            </w:r>
          </w:p>
        </w:tc>
        <w:tc>
          <w:tcPr/>
          <w:p>
            <w:pPr>
              <w:pStyle w:val="Compact"/>
            </w:pPr>
            <w:r>
              <w:t xml:space="preserve">.830</w:t>
            </w:r>
          </w:p>
        </w:tc>
      </w:tr>
      <w:tr>
        <w:tc>
          <w:tcPr/>
          <w:p>
            <w:pPr>
              <w:pStyle w:val="Compact"/>
            </w:pPr>
            <w:r>
              <w:t xml:space="preserve">Wave Aug 2024 x HS grad or less</w:t>
            </w:r>
          </w:p>
        </w:tc>
        <w:tc>
          <w:tcPr/>
          <w:p>
            <w:pPr>
              <w:pStyle w:val="Compact"/>
            </w:pPr>
            <w:r>
              <w:t xml:space="preserve">0.99 [0.80, 1.22]</w:t>
            </w:r>
          </w:p>
        </w:tc>
        <w:tc>
          <w:tcPr/>
          <w:p>
            <w:pPr>
              <w:pStyle w:val="Compact"/>
            </w:pPr>
            <w:r>
              <w:t xml:space="preserve">.924</w:t>
            </w:r>
          </w:p>
        </w:tc>
      </w:tr>
    </w:tbl>
    <w:p>
      <w:pPr>
        <w:pStyle w:val="BodyText"/>
      </w:pPr>
      <w:r>
        <w:rPr>
          <w:i/>
          <w:iCs/>
        </w:rPr>
        <w:t xml:space="preserve">Note.</w:t>
      </w:r>
      <w:r>
        <w:t xml:space="preserve"> </w:t>
      </w:r>
      <w:r>
        <w:t xml:space="preserve">All interaction terms are nonsignificant. Joint Wald test for all wave-by-education interaction terms:</w:t>
      </w:r>
      <w:r>
        <w:t xml:space="preserve"> </w:t>
      </w:r>
      <w:r>
        <w:rPr>
          <w:i/>
          <w:iCs/>
        </w:rPr>
        <w:t xml:space="preserve">F</w:t>
      </w:r>
      <w:r>
        <w:t xml:space="preserve">(4, 24,737) = 0.74,</w:t>
      </w:r>
      <w:r>
        <w:t xml:space="preserve"> </w:t>
      </w:r>
      <w:r>
        <w:rPr>
          <w:i/>
          <w:iCs/>
        </w:rPr>
        <w:t xml:space="preserve">p</w:t>
      </w:r>
      <w:r>
        <w:t xml:space="preserve"> </w:t>
      </w:r>
      <w:r>
        <w:t xml:space="preserve">= .563.</w:t>
      </w:r>
      <w:r>
        <w:t xml:space="preserve"> </w:t>
      </w:r>
      <w:r>
        <w:rPr>
          <w:i/>
          <w:iCs/>
        </w:rPr>
        <w:t xml:space="preserve">N</w:t>
      </w:r>
      <w:r>
        <w:t xml:space="preserve"> </w:t>
      </w:r>
      <w:r>
        <w:t xml:space="preserve">= 24,741. Survey-weighted quasibinomial logistic regression. Additional controls included in model: age, gender, race, party, income, AI awareness.</w:t>
      </w:r>
    </w:p>
    <w:p>
      <w:pPr>
        <w:pStyle w:val="BodyText"/>
      </w:pPr>
      <w:r>
        <w:t xml:space="preserve">The joint Wald test was decisively nonsignificant (</w:t>
      </w:r>
      <w:r>
        <w:rPr>
          <w:i/>
          <w:iCs/>
        </w:rPr>
        <w:t xml:space="preserve">p</w:t>
      </w:r>
      <w:r>
        <w:t xml:space="preserve"> </w:t>
      </w:r>
      <w:r>
        <w:t xml:space="preserve">= .563), providing strong support for H5. Education-based differences in AI attitudes were remarkably stable across the three waves. We want to be clear about what this null result means. It is not an artifact of low statistical power. With an analytic sample of nearly 25,000, even small interaction effects would have been detectable. The education gradient in AI attitudes was established before the information surge of 2023–2024 and did not budge.</w:t>
      </w:r>
    </w:p>
    <w:bookmarkEnd w:id="41"/>
    <w:bookmarkStart w:id="48" w:name="average-marginal-effects"/>
    <w:p>
      <w:pPr>
        <w:pStyle w:val="Heading2"/>
      </w:pPr>
      <w:r>
        <w:t xml:space="preserve">Average Marginal Effects</w:t>
      </w:r>
    </w:p>
    <w:p>
      <w:pPr>
        <w:pStyle w:val="FirstParagraph"/>
      </w:pPr>
      <w:r>
        <w:t xml:space="preserve">Average marginal effects from the binary logistic model (Concerned vs. Not) provided probability-scale estimates of predictor effects. The AME for having a high school education or less (relative to college graduate) was approximately 6.2 percentage points (</w:t>
      </w:r>
      <w:r>
        <w:rPr>
          <w:i/>
          <w:iCs/>
        </w:rPr>
        <w:t xml:space="preserve">p</w:t>
      </w:r>
      <w:r>
        <w:t xml:space="preserve"> </w:t>
      </w:r>
      <w:r>
        <w:t xml:space="preserve">&lt; .001), meaning that, net of all other variables, adults with the lowest educational attainment were 6.2 percentage points more likely to express categorical concern about AI. The AME for Some College was approximately 3.8 percentage points (</w:t>
      </w:r>
      <w:r>
        <w:rPr>
          <w:i/>
          <w:iCs/>
        </w:rPr>
        <w:t xml:space="preserve">p</w:t>
      </w:r>
      <w:r>
        <w:t xml:space="preserve"> </w:t>
      </w:r>
      <w:r>
        <w:t xml:space="preserve">&lt; .001).</w:t>
      </w:r>
    </w:p>
    <w:p>
      <w:pPr>
        <w:pStyle w:val="CaptionedFigure"/>
      </w:pPr>
      <w:r>
        <w:drawing>
          <wp:inline>
            <wp:extent cx="5943600" cy="3714749"/>
            <wp:effectExtent b="0" l="0" r="0" t="0"/>
            <wp:docPr descr="Figure 3. Average Marginal Effects of Education on Predicted Probability of AI Concern, by Survey Wave" title="" id="43" name="Picture"/>
            <a:graphic>
              <a:graphicData uri="http://schemas.openxmlformats.org/drawingml/2006/picture">
                <pic:pic>
                  <pic:nvPicPr>
                    <pic:cNvPr descr="fig3_ame_education.png" id="44" name="Picture"/>
                    <pic:cNvPicPr>
                      <a:picLocks noChangeArrowheads="1" noChangeAspect="1"/>
                    </pic:cNvPicPr>
                  </pic:nvPicPr>
                  <pic:blipFill>
                    <a:blip r:embed="rId42"/>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3. Average Marginal Effects of Education on Predicted Probability of AI Concern, by Survey Wave</w:t>
      </w:r>
    </w:p>
    <w:p>
      <w:pPr>
        <w:pStyle w:val="CaptionedFigure"/>
      </w:pPr>
      <w:r>
        <w:drawing>
          <wp:inline>
            <wp:extent cx="5943600" cy="3566160"/>
            <wp:effectExtent b="0" l="0" r="0" t="0"/>
            <wp:docPr descr="Figure 4. Average Marginal Effects of All Predictors on Predicted Probability of AI Concern" title="" id="46" name="Picture"/>
            <a:graphic>
              <a:graphicData uri="http://schemas.openxmlformats.org/drawingml/2006/picture">
                <pic:pic>
                  <pic:nvPicPr>
                    <pic:cNvPr descr="fig4_ames_all.png" id="47" name="Picture"/>
                    <pic:cNvPicPr>
                      <a:picLocks noChangeArrowheads="1" noChangeAspect="1"/>
                    </pic:cNvPicPr>
                  </pic:nvPicPr>
                  <pic:blipFill>
                    <a:blip r:embed="rId45"/>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 4. Average Marginal Effects of All Predictors on Predicted Probability of AI Concern</w:t>
      </w:r>
    </w:p>
    <w:p>
      <w:pPr>
        <w:pStyle w:val="BodyText"/>
      </w:pPr>
      <w:r>
        <w:t xml:space="preserve">Partisan identification showed the largest single AME. In December 2022, the partisan gap in predicted concern was 12.5 percentage points (Republicans more concerned than Democrats). By August 2024, this gap had narrowed to approximately 7.0 percentage points, reflecting a convergence in which Democrats’ concern rose while Republicans’ concern stabilized at already elevated levels. The partisan gap shrank. The education gap did not. That contrast turns out to be theoretically revealing.</w:t>
      </w:r>
    </w:p>
    <w:bookmarkEnd w:id="48"/>
    <w:bookmarkStart w:id="49" w:name="blinder-oaxaca-decomposition"/>
    <w:p>
      <w:pPr>
        <w:pStyle w:val="Heading2"/>
      </w:pPr>
      <w:r>
        <w:t xml:space="preserve">Blinder-Oaxaca Decomposition</w:t>
      </w:r>
    </w:p>
    <w:p>
      <w:pPr>
        <w:pStyle w:val="FirstParagraph"/>
      </w:pPr>
      <w:r>
        <w:t xml:space="preserve">The decomposition of the change in predicted concern between Wave 1 and Wave 3 yielded a total gap of approximately 12 percentage points. Virtually all of this change was attributable to the coefficient effect (106.1% of the total gap), while the composition effect was negligible (-0.8%). This result indicates that the shift toward concern between 2022 and 2024 represents genuine attitudinal change. The same types of people became more concerned. The sample did not simply become disproportionately composed of concern-prone subgroups.</w:t>
      </w:r>
    </w:p>
    <w:bookmarkEnd w:id="49"/>
    <w:bookmarkStart w:id="50" w:name="hypothesis-summary"/>
    <w:p>
      <w:pPr>
        <w:pStyle w:val="Heading2"/>
      </w:pPr>
      <w:r>
        <w:t xml:space="preserve">Hypothesis Summary</w:t>
      </w:r>
    </w:p>
    <w:p>
      <w:pPr>
        <w:pStyle w:val="FirstParagraph"/>
      </w:pPr>
      <w:r>
        <w:t xml:space="preserve">What story do these data tell? Start with the finding that warrants the most attention: temporal stability. The wave-by-education interaction was decisively nonsignificant (Wald</w:t>
      </w:r>
      <w:r>
        <w:t xml:space="preserve"> </w:t>
      </w:r>
      <w:r>
        <w:rPr>
          <w:i/>
          <w:iCs/>
        </w:rPr>
        <w:t xml:space="preserve">p</w:t>
      </w:r>
      <w:r>
        <w:t xml:space="preserve"> </w:t>
      </w:r>
      <w:r>
        <w:t xml:space="preserve">= .563), meaning education-based differences in AI attitudes held steady across the 20-month study period despite massive shifts in the AI information environment. If education influenced AI attitudes through knowledge quantity, the relationship should have shifted as AI information became ubiquitous. It did not. That null result, given the statistical power of nearly 25,000 cases, poses the sharpest challenge to the deficit model.</w:t>
      </w:r>
    </w:p>
    <w:p>
      <w:pPr>
        <w:pStyle w:val="BodyText"/>
      </w:pPr>
      <w:r>
        <w:t xml:space="preserve">The data also confirmed that education predicts not the direction of AI attitudes but their complexity. College graduates were significantly less likely than less-educated adults to hold categorical Concerned attitudes relative to the Equally (complex) reference category (HS or less: OR = 1.35,</w:t>
      </w:r>
      <w:r>
        <w:t xml:space="preserve"> </w:t>
      </w:r>
      <w:r>
        <w:rPr>
          <w:i/>
          <w:iCs/>
        </w:rPr>
        <w:t xml:space="preserve">p</w:t>
      </w:r>
      <w:r>
        <w:t xml:space="preserve"> </w:t>
      </w:r>
      <w:r>
        <w:t xml:space="preserve">&lt; .001; Some College: OR = 1.18,</w:t>
      </w:r>
      <w:r>
        <w:t xml:space="preserve"> </w:t>
      </w:r>
      <w:r>
        <w:rPr>
          <w:i/>
          <w:iCs/>
        </w:rPr>
        <w:t xml:space="preserve">p</w:t>
      </w:r>
      <w:r>
        <w:t xml:space="preserve"> </w:t>
      </w:r>
      <w:r>
        <w:t xml:space="preserve">&lt; .001). The education gradient was larger for the Concerned versus Equally comparison (OR = 1.35) than for the Excited versus Equally comparison (OR = 0.90, ns), confirming that education differentiates complex from concerned attitudes more sharply than complex from excited ones, though the gap in the Equally response itself (approximately 7–8 percentage points across waves) was of comparable magnitude to the gap in concern.</w:t>
      </w:r>
    </w:p>
    <w:p>
      <w:pPr>
        <w:pStyle w:val="BodyText"/>
      </w:pPr>
      <w:r>
        <w:t xml:space="preserve">The relationship between education and awareness proved more complicated than anticipated. Among high-awareness adults, higher education was indeed associated with greater attitudinal complexity, as predicted. But low-awareness adults also showed high rates of the Equally response, likely reflecting indifference, and the interaction between education and awareness requires qualification by the distinct psychological processes underlying the Equally response at different awareness levels. Partisan identification, meanwhile, was the strongest single predictor of AI attitudes (AME = 12.5 percentage points in Wave 1), and supplementary analyses with the four-category party-ideology variable confirmed that the most ideologically extreme groups (Conservative Republicans and Liberal Democrats) showed the most differentiated attitudes. The convergence of partisan gaps over time is consistent with the view that partisan heuristics provide initial structure that attenuates as direct experience with AI accumulates.</w:t>
      </w:r>
    </w:p>
    <w:bookmarkEnd w:id="50"/>
    <w:bookmarkEnd w:id="51"/>
    <w:bookmarkStart w:id="64" w:name="discussion"/>
    <w:p>
      <w:pPr>
        <w:pStyle w:val="Heading1"/>
      </w:pPr>
      <w:r>
        <w:t xml:space="preserve">Discussion</w:t>
      </w:r>
    </w:p>
    <w:bookmarkStart w:id="52" w:name="the-core-finding"/>
    <w:p>
      <w:pPr>
        <w:pStyle w:val="Heading2"/>
      </w:pPr>
      <w:r>
        <w:t xml:space="preserve">The Core Finding</w:t>
      </w:r>
    </w:p>
    <w:p>
      <w:pPr>
        <w:pStyle w:val="FirstParagraph"/>
      </w:pPr>
      <w:r>
        <w:t xml:space="preserve">Education does not make people more positive about AI. That much is clear. Across three nationally representative surveys spanning the most turbulent twenty months in the history of public AI discourse, college-educated adults were not simply more or less favorable toward AI; they were more likely to hold the epistemically complex position of being simultaneously concerned and excited. Adults with less formal education were significantly more likely to resolve the ambiguity categorically, predominantly toward concern. And these differences did not waver. They held steady through a period when everything else about the AI conversation was changing, pointing to enduring epistemic processing capacities rather than shifting informational advantages.</w:t>
      </w:r>
    </w:p>
    <w:p>
      <w:pPr>
        <w:pStyle w:val="BodyText"/>
      </w:pPr>
      <w:r>
        <w:t xml:space="preserve">The education gradient operated asymmetrically, and this asymmetry tells us something important about the psychology of technology evaluation. Education primarily differentiated between complex and concerned attitudes, not between complex and excited ones. Without the epistemic capacity to hold competing evaluations, the default response to AI’s uncertainty is concern. Not excitement. This pattern echoes risk perception research showing that novel, poorly understood technologies with potential for catastrophic consequences evoke dread responses</w:t>
      </w:r>
      <w:r>
        <w:t xml:space="preserve"> </w:t>
      </w:r>
      <w:r>
        <w:t xml:space="preserve">[@slovic1987]</w:t>
      </w:r>
      <w:r>
        <w:t xml:space="preserve">, and it aligns with prospect theory’s prediction that potential losses loom larger than equivalent gains</w:t>
      </w:r>
      <w:r>
        <w:t xml:space="preserve"> </w:t>
      </w:r>
      <w:r>
        <w:t xml:space="preserve">[@kahneman1979]</w:t>
      </w:r>
      <w:r>
        <w:t xml:space="preserve">.</w:t>
      </w:r>
    </w:p>
    <w:p>
      <w:pPr>
        <w:pStyle w:val="BodyText"/>
      </w:pPr>
      <w:r>
        <w:t xml:space="preserve">Consider the temporal dimension. If education influenced AI attitudes through knowledge quantity, one would expect the relationship to shift as AI information became more widely available. As</w:t>
      </w:r>
      <w:r>
        <w:t xml:space="preserve"> </w:t>
      </w:r>
      <w:r>
        <w:t xml:space="preserve">@tichenor1970</w:t>
      </w:r>
      <w:r>
        <w:t xml:space="preserve"> </w:t>
      </w:r>
      <w:r>
        <w:t xml:space="preserve">originally predicted for knowledge gaps, differential access to information should matter most when information is scarce. But the education gradient remained invariant across waves, pointing to stable processing capacities, an outcome the epistemic cognition framework anticipates but the knowledge gap hypothesis in its original form does not.</w:t>
      </w:r>
    </w:p>
    <w:p>
      <w:pPr>
        <w:pStyle w:val="BodyText"/>
      </w:pPr>
      <w:r>
        <w:t xml:space="preserve">The Blinder-Oaxaca decomposition revealed something worth pausing over. The overall shift toward concern between 2022 and 2024 was driven entirely by coefficient effects (106.1%), with composition effects essentially at zero (-0.8%). Growing concern about AI is genuine. The same types of people, regardless of education, age, or party, became more concerned. Education did not protect against this shift. What it did was determine whether that shift took the form of categorical concern or a calibrated updating of both concern and excitement.</w:t>
      </w:r>
    </w:p>
    <w:bookmarkEnd w:id="52"/>
    <w:bookmarkStart w:id="56" w:name="theoretical-implications"/>
    <w:p>
      <w:pPr>
        <w:pStyle w:val="Heading2"/>
      </w:pPr>
      <w:r>
        <w:t xml:space="preserve">Theoretical Implications</w:t>
      </w:r>
    </w:p>
    <w:bookmarkStart w:id="53" w:name="Xf4595ece1ad1920eeb1d23c8a1ad9b74e3ff420"/>
    <w:p>
      <w:pPr>
        <w:pStyle w:val="Heading3"/>
      </w:pPr>
      <w:r>
        <w:t xml:space="preserve">Epistemic Cognition as an Explanatory Framework for AI Attitudes</w:t>
      </w:r>
    </w:p>
    <w:p>
      <w:pPr>
        <w:pStyle w:val="FirstParagraph"/>
      </w:pPr>
      <w:r>
        <w:t xml:space="preserve">Epistemic cognition theory provides a more accurate explanation for education-based differences in AI attitudes than the information deficit model. The deficit model predicts that more knowledge should produce more positive attitudes; epistemic cognition theory predicts that more developed epistemic capacities should produce more</w:t>
      </w:r>
      <w:r>
        <w:t xml:space="preserve"> </w:t>
      </w:r>
      <w:r>
        <w:rPr>
          <w:i/>
          <w:iCs/>
        </w:rPr>
        <w:t xml:space="preserve">complex</w:t>
      </w:r>
      <w:r>
        <w:t xml:space="preserve"> </w:t>
      </w:r>
      <w:r>
        <w:t xml:space="preserve">attitudes. The data favor the latter: education was associated with attitudinal complexity, not positivity.</w:t>
      </w:r>
    </w:p>
    <w:p>
      <w:pPr>
        <w:pStyle w:val="BodyText"/>
      </w:pPr>
      <w:r>
        <w:t xml:space="preserve">Reconceptualizing the</w:t>
      </w:r>
      <w:r>
        <w:t xml:space="preserve"> </w:t>
      </w:r>
      <w:r>
        <w:t xml:space="preserve">“Equally”</w:t>
      </w:r>
      <w:r>
        <w:t xml:space="preserve"> </w:t>
      </w:r>
      <w:r>
        <w:t xml:space="preserve">response as an empirical marker of epistemic complexity extends the theory into a new domain.</w:t>
      </w:r>
      <w:r>
        <w:t xml:space="preserve"> </w:t>
      </w:r>
      <w:r>
        <w:t xml:space="preserve">@king1994</w:t>
      </w:r>
      <w:r>
        <w:t xml:space="preserve"> </w:t>
      </w:r>
      <w:r>
        <w:t xml:space="preserve">developed the Reflective Judgment Model primarily in the context of well-defined academic problems; these data suggest that the model’s developmental trajectory, from categorical, authority-dependent judgment to evidence-integrated judgment, is visible in how adults respond to the ill-structured problem of evaluating AI’s societal impact. The pre-reflective thinker resolves the ambiguity categorically (</w:t>
      </w:r>
      <w:r>
        <w:t xml:space="preserve">“AI is dangerous”</w:t>
      </w:r>
      <w:r>
        <w:t xml:space="preserve"> </w:t>
      </w:r>
      <w:r>
        <w:t xml:space="preserve">or</w:t>
      </w:r>
      <w:r>
        <w:t xml:space="preserve"> </w:t>
      </w:r>
      <w:r>
        <w:t xml:space="preserve">“AI is exciting”</w:t>
      </w:r>
      <w:r>
        <w:t xml:space="preserve">). The reflective thinker holds the tension (</w:t>
      </w:r>
      <w:r>
        <w:t xml:space="preserve">“AI is both, and the balance depends on context”</w:t>
      </w:r>
      <w:r>
        <w:t xml:space="preserve">).</w:t>
      </w:r>
    </w:p>
    <w:p>
      <w:pPr>
        <w:pStyle w:val="BodyText"/>
      </w:pPr>
      <w:r>
        <w:t xml:space="preserve">This interpretation requires qualification. The cross-tabulation of education and AI awareness revealed that low-awareness adults also showed high rates of the Equally response, likely reflecting indifference or satisficing. The Equally category captures at least two distinct psychological processes: informed complexity (among high-awareness, high-education adults) and uninformed indifference (among low-awareness adults). Future research should develop measures that can distinguish between these possibilities.</w:t>
      </w:r>
    </w:p>
    <w:bookmarkEnd w:id="53"/>
    <w:bookmarkStart w:id="54" w:name="extending-the-knowledge-gap-hypothesis"/>
    <w:p>
      <w:pPr>
        <w:pStyle w:val="Heading3"/>
      </w:pPr>
      <w:r>
        <w:t xml:space="preserve">Extending the Knowledge Gap Hypothesis</w:t>
      </w:r>
    </w:p>
    <w:p>
      <w:pPr>
        <w:pStyle w:val="FirstParagraph"/>
      </w:pPr>
      <w:r>
        <w:t xml:space="preserve">The findings push the knowledge gap hypothesis in a productive direction.</w:t>
      </w:r>
      <w:r>
        <w:t xml:space="preserve"> </w:t>
      </w:r>
      <w:r>
        <w:t xml:space="preserve">@tichenor1970</w:t>
      </w:r>
      <w:r>
        <w:t xml:space="preserve"> </w:t>
      </w:r>
      <w:r>
        <w:t xml:space="preserve">originally conceptualized the gap in terms of knowledge acquisition speed.</w:t>
      </w:r>
      <w:r>
        <w:t xml:space="preserve"> </w:t>
      </w:r>
      <w:r>
        <w:t xml:space="preserve">@viswanath1996</w:t>
      </w:r>
      <w:r>
        <w:t xml:space="preserve"> </w:t>
      </w:r>
      <w:r>
        <w:t xml:space="preserve">broadened this to include differences in information processing. We suggest that the most consequential gap may lie in</w:t>
      </w:r>
      <w:r>
        <w:t xml:space="preserve"> </w:t>
      </w:r>
      <w:r>
        <w:rPr>
          <w:i/>
          <w:iCs/>
        </w:rPr>
        <w:t xml:space="preserve">epistemic processing complexity</w:t>
      </w:r>
      <w:r>
        <w:t xml:space="preserve">, the capacity to integrate competing evaluations.</w:t>
      </w:r>
    </w:p>
    <w:p>
      <w:pPr>
        <w:pStyle w:val="BodyText"/>
      </w:pPr>
      <w:r>
        <w:t xml:space="preserve">The temporal stability of the education gap is informative for knowledge gap theory. The original hypothesis predicts that knowledge gaps widen as information increases, because higher-SES groups acquire information faster</w:t>
      </w:r>
      <w:r>
        <w:t xml:space="preserve"> </w:t>
      </w:r>
      <w:r>
        <w:t xml:space="preserve">[@tichenor1970]</w:t>
      </w:r>
      <w:r>
        <w:t xml:space="preserve">. In the AI context, education gaps did not widen despite a massive increase in available information. This pattern fits the proposed extension: if the gap operates through processing complexity, it should be insensitive to the information environment, because processing capacities change slowly relative to information availability.</w:t>
      </w:r>
    </w:p>
    <w:bookmarkEnd w:id="54"/>
    <w:bookmarkStart w:id="55" w:name="Xb7283e0125f28b82e5e107677f101214968ccf7"/>
    <w:p>
      <w:pPr>
        <w:pStyle w:val="Heading3"/>
      </w:pPr>
      <w:r>
        <w:t xml:space="preserve">Partisan Heuristics and Epistemic Processing</w:t>
      </w:r>
    </w:p>
    <w:p>
      <w:pPr>
        <w:pStyle w:val="FirstParagraph"/>
      </w:pPr>
      <w:r>
        <w:t xml:space="preserve">The finding that partisan identity was the strongest single predictor of AI attitudes, and that its effect converged over time, adds further support for the epistemic cognition framework.</w:t>
      </w:r>
      <w:r>
        <w:t xml:space="preserve"> </w:t>
      </w:r>
      <w:r>
        <w:t xml:space="preserve">@zaller1992</w:t>
      </w:r>
      <w:r>
        <w:t xml:space="preserve"> </w:t>
      </w:r>
      <w:r>
        <w:t xml:space="preserve">argued that citizens who lack the informational resources to evaluate complex issues rely on elite cues to structure their attitudes. The initial large partisan gap in AI attitudes (December 2022) may reflect this process: without direct experience with AI, many adults relied on partisan identity as an evaluative shortcut. The subsequent convergence, as AI became more tangible through direct interaction, is consistent with the prediction that heuristic reliance decreases as personal experience provides alternative bases for judgment.</w:t>
      </w:r>
    </w:p>
    <w:p>
      <w:pPr>
        <w:pStyle w:val="BodyText"/>
      </w:pPr>
      <w:r>
        <w:t xml:space="preserve">The contrast between the converging partisan gap and the stable education gap carries theoretical significance. Partisan effects on AI attitudes appear partly heuristic and therefore malleable as information accumulates, while education effects are epistemic and therefore stable. This has practical consequences. Partisan polarization in AI attitudes may be amenable to information-based interventions (for example, providing hands-on AI experience), while education-based differences call for deeper epistemic development.</w:t>
      </w:r>
    </w:p>
    <w:bookmarkEnd w:id="55"/>
    <w:bookmarkEnd w:id="56"/>
    <w:bookmarkStart w:id="61" w:name="X9473affa78ccaf0912010815283cdba178fee9a"/>
    <w:p>
      <w:pPr>
        <w:pStyle w:val="Heading2"/>
      </w:pPr>
      <w:r>
        <w:t xml:space="preserve">Implications for AI Education and Instructional Design</w:t>
      </w:r>
    </w:p>
    <w:bookmarkStart w:id="57" w:name="redesigning-ai-literacy-goals"/>
    <w:p>
      <w:pPr>
        <w:pStyle w:val="Heading3"/>
      </w:pPr>
      <w:r>
        <w:t xml:space="preserve">Redesigning AI Literacy Goals</w:t>
      </w:r>
    </w:p>
    <w:p>
      <w:pPr>
        <w:pStyle w:val="FirstParagraph"/>
      </w:pPr>
      <w:r>
        <w:t xml:space="preserve">The most direct practical implication is that AI literacy programs should be redesigned around the goal of</w:t>
      </w:r>
      <w:r>
        <w:t xml:space="preserve"> </w:t>
      </w:r>
      <w:r>
        <w:rPr>
          <w:i/>
          <w:iCs/>
        </w:rPr>
        <w:t xml:space="preserve">epistemic development</w:t>
      </w:r>
      <w:r>
        <w:t xml:space="preserve">. The current default, measuring success by whether participants emerge with more positive attitudes toward AI or greater willingness to adopt AI tools, reflects the information deficit model. It risks producing learners who comply with AI integration but cannot evaluate whether specific AI applications serve organizational and societal interests.</w:t>
      </w:r>
    </w:p>
    <w:p>
      <w:pPr>
        <w:pStyle w:val="BodyText"/>
      </w:pPr>
      <w:r>
        <w:t xml:space="preserve">An epistemic development approach would measure success differently. Did participants leave the program more excited about AI? That is the wrong question. The right question is whether they demonstrate greater capacity to evaluate AI’s benefits and risks simultaneously, to tolerate the uncertainty inherent in emerging technologies, and to make contextually appropriate judgments about AI adoption. For AI educators and instructional designers, this distinction should reshape assessment rubrics, learning objectives, and curriculum architecture from the ground up.</w:t>
      </w:r>
    </w:p>
    <w:bookmarkEnd w:id="57"/>
    <w:bookmarkStart w:id="58" w:name="X57a3ba00274f7bb2065c561550b1eb35936ca44"/>
    <w:p>
      <w:pPr>
        <w:pStyle w:val="Heading3"/>
      </w:pPr>
      <w:r>
        <w:t xml:space="preserve">Transformative Learning as a Design Principle</w:t>
      </w:r>
    </w:p>
    <w:p>
      <w:pPr>
        <w:pStyle w:val="FirstParagraph"/>
      </w:pPr>
      <w:r>
        <w:t xml:space="preserve">@mezirow1991</w:t>
      </w:r>
      <w:r>
        <w:t xml:space="preserve"> </w:t>
      </w:r>
      <w:r>
        <w:t xml:space="preserve">argued that transformative learning begins with a disorienting dilemma that challenges existing meaning perspectives. AI qualifies. It challenges assumptions about the nature of expertise, the uniqueness of human cognition, the security of skilled employment, and the reliability of information.</w:t>
      </w:r>
      <w:r>
        <w:t xml:space="preserve"> </w:t>
      </w:r>
      <w:r>
        <w:t xml:space="preserve">@cranton2006</w:t>
      </w:r>
      <w:r>
        <w:t xml:space="preserve"> </w:t>
      </w:r>
      <w:r>
        <w:t xml:space="preserve">translated these insights into pedagogical practices that promote critical reflection, dialogue, and the examination of assumptions, all elements that could be incorporated into AI literacy programs.</w:t>
      </w:r>
    </w:p>
    <w:p>
      <w:pPr>
        <w:pStyle w:val="BodyText"/>
      </w:pPr>
      <w:r>
        <w:t xml:space="preserve">In practice, HRD practitioners and AI educators could design training that explicitly asks participants to identify and examine the assumptions underlying their current attitudes toward AI. Instead of presenting AI as either tool or threat, such programs would help participants develop the epistemic capacity to recognize that AI is both simultaneously, and that the appropriate response depends on contextual evaluation. Classroom activities might include structured debates where learners must argue both sides of an AI deployment scenario, reflective journaling that tracks shifts in their own reasoning, or case analyses where the</w:t>
      </w:r>
      <w:r>
        <w:t xml:space="preserve"> </w:t>
      </w:r>
      <w:r>
        <w:t xml:space="preserve">“right answer”</w:t>
      </w:r>
      <w:r>
        <w:t xml:space="preserve"> </w:t>
      </w:r>
      <w:r>
        <w:t xml:space="preserve">about AI adoption depends entirely on the context.</w:t>
      </w:r>
    </w:p>
    <w:bookmarkEnd w:id="58"/>
    <w:bookmarkStart w:id="59" w:name="X0b534095c4635e3865eddac1036080340185108"/>
    <w:p>
      <w:pPr>
        <w:pStyle w:val="Heading3"/>
      </w:pPr>
      <w:r>
        <w:t xml:space="preserve">Differentiated Programming by Epistemic Level</w:t>
      </w:r>
    </w:p>
    <w:p>
      <w:pPr>
        <w:pStyle w:val="FirstParagraph"/>
      </w:pPr>
      <w:r>
        <w:t xml:space="preserve">The finding that education shapes the</w:t>
      </w:r>
      <w:r>
        <w:t xml:space="preserve"> </w:t>
      </w:r>
      <w:r>
        <w:rPr>
          <w:i/>
          <w:iCs/>
        </w:rPr>
        <w:t xml:space="preserve">type</w:t>
      </w:r>
      <w:r>
        <w:t xml:space="preserve"> </w:t>
      </w:r>
      <w:r>
        <w:t xml:space="preserve">of AI attitudes, not just their direction, suggests that AI literacy programs should be differentiated by participants’ current epistemic capacities. For adults at earlier stages of epistemic development, programs might focus on developing comfort with ambiguity and the recognition that complex technologies can be simultaneously beneficial and harmful. For adults at more advanced stages, programs might engage with the specific conditions under which AI applications are more or less likely to serve human interests, building on the existing capacity for sophisticated evaluation.</w:t>
      </w:r>
    </w:p>
    <w:p>
      <w:pPr>
        <w:pStyle w:val="BodyText"/>
      </w:pPr>
      <w:r>
        <w:t xml:space="preserve">@knowles1980</w:t>
      </w:r>
      <w:r>
        <w:t xml:space="preserve"> </w:t>
      </w:r>
      <w:r>
        <w:t xml:space="preserve">emphasized that adult learning is most effective when it builds on learners’ existing experience and self-concept. AI literacy programs that assume a uniform starting point, as the deficit model implicitly does, are likely to be ineffective for some participants and unnecessary for others. Instructional designers working in AI education should consider pre-assessments that gauge learners’ epistemic orientations, not just their technical knowledge, and use those assessments to tailor learning pathways. The epistemic cognition framework provides a theoretical basis for differentiation that goes beyond technical knowledge to address the cognitive capacities that shape how technical knowledge is used.</w:t>
      </w:r>
    </w:p>
    <w:bookmarkEnd w:id="59"/>
    <w:bookmarkStart w:id="60" w:name="X367bf515c4935d0114c989b78d307aa20fb1269"/>
    <w:p>
      <w:pPr>
        <w:pStyle w:val="Heading3"/>
      </w:pPr>
      <w:r>
        <w:t xml:space="preserve">Critical AI Thinking Over Factual AI Knowledge</w:t>
      </w:r>
    </w:p>
    <w:p>
      <w:pPr>
        <w:pStyle w:val="FirstParagraph"/>
      </w:pPr>
      <w:r>
        <w:t xml:space="preserve">The findings suggest that investment in</w:t>
      </w:r>
      <w:r>
        <w:t xml:space="preserve"> </w:t>
      </w:r>
      <w:r>
        <w:rPr>
          <w:i/>
          <w:iCs/>
        </w:rPr>
        <w:t xml:space="preserve">critical thinking about AI</w:t>
      </w:r>
      <w:r>
        <w:t xml:space="preserve"> </w:t>
      </w:r>
      <w:r>
        <w:t xml:space="preserve">may yield greater returns than investment in</w:t>
      </w:r>
      <w:r>
        <w:t xml:space="preserve"> </w:t>
      </w:r>
      <w:r>
        <w:rPr>
          <w:i/>
          <w:iCs/>
        </w:rPr>
        <w:t xml:space="preserve">factual knowledge about AI</w:t>
      </w:r>
      <w:r>
        <w:t xml:space="preserve">. The distinction is not trivial. Factual AI literacy teaches what AI can do, how neural networks process data, and where AI is deployed. Critical AI literacy develops the capacity to evaluate competing claims about AI’s impact, to recognize that AI’s consequences depend on governance and implementation choices, and to hold productive tension between enthusiasm and caution. For AIED researchers and practitioners specifically, this means that intelligent tutoring systems, adaptive learning platforms, and other AI-in-education tools should be accompanied not just by user manuals but by structured opportunities for learners to interrogate the assumptions, biases, and limitations embedded in those very systems. The epistemic cognition framework provides a developmental model for this critical capacity that current AI literacy frameworks lack</w:t>
      </w:r>
      <w:r>
        <w:t xml:space="preserve"> </w:t>
      </w:r>
      <w:r>
        <w:t xml:space="preserve">[@barzilai2018]</w:t>
      </w:r>
      <w:r>
        <w:t xml:space="preserve">.</w:t>
      </w:r>
    </w:p>
    <w:bookmarkEnd w:id="60"/>
    <w:bookmarkEnd w:id="61"/>
    <w:bookmarkStart w:id="62" w:name="limitations"/>
    <w:p>
      <w:pPr>
        <w:pStyle w:val="Heading2"/>
      </w:pPr>
      <w:r>
        <w:t xml:space="preserve">Limitations</w:t>
      </w:r>
    </w:p>
    <w:p>
      <w:pPr>
        <w:pStyle w:val="FirstParagraph"/>
      </w:pPr>
      <w:r>
        <w:t xml:space="preserve">The most significant limitation is interpretive. The</w:t>
      </w:r>
      <w:r>
        <w:t xml:space="preserve"> </w:t>
      </w:r>
      <w:r>
        <w:t xml:space="preserve">“Equally”</w:t>
      </w:r>
      <w:r>
        <w:t xml:space="preserve"> </w:t>
      </w:r>
      <w:r>
        <w:t xml:space="preserve">response is treated here as reflecting epistemic complexity, but this reading is theoretical, not directly measured. The Pew survey does not assess epistemic cognition, and the</w:t>
      </w:r>
      <w:r>
        <w:t xml:space="preserve"> </w:t>
      </w:r>
      <w:r>
        <w:t xml:space="preserve">“equally”</w:t>
      </w:r>
      <w:r>
        <w:t xml:space="preserve"> </w:t>
      </w:r>
      <w:r>
        <w:t xml:space="preserve">option could reflect genuine integration of competing evaluations, indifference, satisficing, or other processes. The education-by-awareness analysis provides some evidence that different processes may underlie the same response at different awareness levels, but this question cannot be definitively resolved with the available data.</w:t>
      </w:r>
    </w:p>
    <w:p>
      <w:pPr>
        <w:pStyle w:val="BodyText"/>
      </w:pPr>
      <w:r>
        <w:t xml:space="preserve">Educational attainment is also an imperfect proxy for epistemic development. While</w:t>
      </w:r>
      <w:r>
        <w:t xml:space="preserve"> </w:t>
      </w:r>
      <w:r>
        <w:t xml:space="preserve">@king1994</w:t>
      </w:r>
      <w:r>
        <w:t xml:space="preserve"> </w:t>
      </w:r>
      <w:r>
        <w:t xml:space="preserve">documented a strong correlation between education and reflective judgment, the relationship is not deterministic. Some individuals achieve advanced epistemic development without formal education, and formal education does not guarantee epistemic growth. The education variable thus captures a constellation of cognitive, social, and economic factors, not epistemic cognition specifically.</w:t>
      </w:r>
    </w:p>
    <w:p>
      <w:pPr>
        <w:pStyle w:val="BodyText"/>
      </w:pPr>
      <w:r>
        <w:t xml:space="preserve">The data are repeated cross-sectional, not panel longitudinal. The stability of education effects across waves supports the epistemic processing interpretation, but within-wave associations remain cross-sectional. Individuals were not tracked over time, so we cannot directly observe individual-level attitude change. Additionally, the three-category dependent variable constrains the granularity of analysis. A continuous measure of attitude complexity, or separate continuous measures of excitement and concern, would enable more precise tests of the epistemic cognition hypotheses. The forced choice among three categories may mask important variation within categories. Finally, the sample is limited to U.S. adults. AI attitudes in other national contexts are shaped by different regulatory environments, media ecosystems, and educational systems, and the education-complexity relationship observed here may not hold elsewhere.</w:t>
      </w:r>
    </w:p>
    <w:bookmarkEnd w:id="62"/>
    <w:bookmarkStart w:id="63" w:name="future-directions"/>
    <w:p>
      <w:pPr>
        <w:pStyle w:val="Heading2"/>
      </w:pPr>
      <w:r>
        <w:t xml:space="preserve">Future Directions</w:t>
      </w:r>
    </w:p>
    <w:p>
      <w:pPr>
        <w:pStyle w:val="FirstParagraph"/>
      </w:pPr>
      <w:r>
        <w:t xml:space="preserve">The most pressing next step is measurement development: an</w:t>
      </w:r>
      <w:r>
        <w:t xml:space="preserve"> </w:t>
      </w:r>
      <w:r>
        <w:rPr>
          <w:i/>
          <w:iCs/>
        </w:rPr>
        <w:t xml:space="preserve">AI Epistemic Cognition Scale</w:t>
      </w:r>
      <w:r>
        <w:t xml:space="preserve"> </w:t>
      </w:r>
      <w:r>
        <w:t xml:space="preserve">that directly measures the cognitive processes hypothesized to underlie the</w:t>
      </w:r>
      <w:r>
        <w:t xml:space="preserve"> </w:t>
      </w:r>
      <w:r>
        <w:t xml:space="preserve">“equally”</w:t>
      </w:r>
      <w:r>
        <w:t xml:space="preserve"> </w:t>
      </w:r>
      <w:r>
        <w:t xml:space="preserve">response, including comfort with ambiguity, integration of competing evaluations, and contextual judgment. Such a measure would enable direct tests of the theoretical framework proposed here and resolve the interpretive ambiguity that the Pew survey item cannot. Alongside this measurement work, experimental AI literacy interventions should compare the effects of information-focused and epistemic-development-focused AI training on attitude complexity (not attitude positivity) as the primary outcome. Such experiments would provide a direct test of the deficit model against the epistemic cognition model. Qualitative research would also be valuable, particularly in-depth interviews with adults who report being</w:t>
      </w:r>
      <w:r>
        <w:t xml:space="preserve"> </w:t>
      </w:r>
      <w:r>
        <w:t xml:space="preserve">“equally concerned and excited”</w:t>
      </w:r>
      <w:r>
        <w:t xml:space="preserve"> </w:t>
      </w:r>
      <w:r>
        <w:t xml:space="preserve">about AI. What cognitive work does that response represent for different people? The quantitative data analyzed here can identify the pattern; only qualitative inquiry can illuminate the process.</w:t>
      </w:r>
    </w:p>
    <w:bookmarkEnd w:id="63"/>
    <w:bookmarkEnd w:id="64"/>
    <w:bookmarkStart w:id="65" w:name="conclusion"/>
    <w:p>
      <w:pPr>
        <w:pStyle w:val="Heading1"/>
      </w:pPr>
      <w:r>
        <w:t xml:space="preserve">Conclusion</w:t>
      </w:r>
    </w:p>
    <w:p>
      <w:pPr>
        <w:pStyle w:val="FirstParagraph"/>
      </w:pPr>
      <w:r>
        <w:t xml:space="preserve">The information deficit model has shaped AI literacy policy and practice for years, but the evidence presented here suggests it rests on a flawed premise. Education does not make people more positive about AI. It makes them more</w:t>
      </w:r>
      <w:r>
        <w:t xml:space="preserve"> </w:t>
      </w:r>
      <w:r>
        <w:rPr>
          <w:i/>
          <w:iCs/>
        </w:rPr>
        <w:t xml:space="preserve">complex</w:t>
      </w:r>
      <w:r>
        <w:t xml:space="preserve"> </w:t>
      </w:r>
      <w:r>
        <w:t xml:space="preserve">in their evaluation. The capacity to simultaneously hold excitement about AI’s transformative potential and concern about its societal risks is not a failure of opinion formation. It is the hallmark of mature epistemic functioning.</w:t>
      </w:r>
    </w:p>
    <w:p>
      <w:pPr>
        <w:pStyle w:val="BodyText"/>
      </w:pPr>
      <w:r>
        <w:t xml:space="preserve">AI literacy programs that aim to replace concern with enthusiasm are not only misguided but potentially counterproductive, as they may undermine the critical evaluation capacities that responsible AI governance requires. The alternative proposed here, grounding AI literacy in epistemic cognition development and transformative learning theory, offers a path toward educational interventions that respect the genuine complexity of AI’s societal implications.</w:t>
      </w:r>
    </w:p>
    <w:p>
      <w:pPr>
        <w:pStyle w:val="BodyText"/>
      </w:pPr>
      <w:r>
        <w:t xml:space="preserve">What would that look like in practice? Not workshops designed to make employees comfortable with AI, but learning environments where adults confront the tension between AI’s promise and its risks, sit with the discomfort, and develop their own frameworks for evaluating specific applications in specific contexts. That is harder to design, harder to measure, and harder to fund. It is also what the data say we need.</w:t>
      </w:r>
    </w:p>
    <w:bookmarkEnd w:id="65"/>
    <w:bookmarkStart w:id="66" w:name="references"/>
    <w:p>
      <w:pPr>
        <w:pStyle w:val="Heading1"/>
      </w:pPr>
      <w:r>
        <w:t xml:space="preserve">References</w:t>
      </w:r>
    </w:p>
    <w:p>
      <w:pPr>
        <w:pStyle w:val="FirstParagraph"/>
      </w:pPr>
      <w:r>
        <w:t xml:space="preserve">Allison, P. D. (1999). Comparing logit and probit coefficients across groups.</w:t>
      </w:r>
      <w:r>
        <w:t xml:space="preserve"> </w:t>
      </w:r>
      <w:r>
        <w:rPr>
          <w:i/>
          <w:iCs/>
        </w:rPr>
        <w:t xml:space="preserve">Sociological Methods &amp; Research</w:t>
      </w:r>
      <w:r>
        <w:t xml:space="preserve">,</w:t>
      </w:r>
      <w:r>
        <w:t xml:space="preserve"> </w:t>
      </w:r>
      <w:r>
        <w:rPr>
          <w:i/>
          <w:iCs/>
        </w:rPr>
        <w:t xml:space="preserve">28</w:t>
      </w:r>
      <w:r>
        <w:t xml:space="preserve">(2), 186–208. https://doi.org/10.1177/0049124199028002003</w:t>
      </w:r>
    </w:p>
    <w:p>
      <w:pPr>
        <w:pStyle w:val="BodyText"/>
      </w:pPr>
      <w:r>
        <w:t xml:space="preserve">Arntz, M., Gregory, T., &amp; Zierahn, U. (2016).</w:t>
      </w:r>
      <w:r>
        <w:t xml:space="preserve"> </w:t>
      </w:r>
      <w:r>
        <w:rPr>
          <w:i/>
          <w:iCs/>
        </w:rPr>
        <w:t xml:space="preserve">The risk of automation for jobs in OECD countries: A comparative analysis</w:t>
      </w:r>
      <w:r>
        <w:t xml:space="preserve"> </w:t>
      </w:r>
      <w:r>
        <w:t xml:space="preserve">(OECD Social, Employment and Migration Working Papers No. 189). OECD Publishing. https://doi.org/10.1787/5jlz9h56dvq7-en</w:t>
      </w:r>
    </w:p>
    <w:p>
      <w:pPr>
        <w:pStyle w:val="BodyText"/>
      </w:pPr>
      <w:r>
        <w:t xml:space="preserve">Bail, C. A., Argyle, L. P., Brown, T. W., Bumpus, J. P., Chen, H., Hunzaker, M. B. F., Lee, J., Mann, M., Merhout, F., &amp; Volfovsky, A. (2018). Exposure to opposing views on social media can increase political polarization.</w:t>
      </w:r>
      <w:r>
        <w:t xml:space="preserve"> </w:t>
      </w:r>
      <w:r>
        <w:rPr>
          <w:i/>
          <w:iCs/>
        </w:rPr>
        <w:t xml:space="preserve">Proceedings of the National Academy of Sciences</w:t>
      </w:r>
      <w:r>
        <w:t xml:space="preserve">,</w:t>
      </w:r>
      <w:r>
        <w:t xml:space="preserve"> </w:t>
      </w:r>
      <w:r>
        <w:rPr>
          <w:i/>
          <w:iCs/>
        </w:rPr>
        <w:t xml:space="preserve">115</w:t>
      </w:r>
      <w:r>
        <w:t xml:space="preserve">(37), 9216–9221. https://doi.org/10.1073/pnas.1804840115</w:t>
      </w:r>
    </w:p>
    <w:p>
      <w:pPr>
        <w:pStyle w:val="BodyText"/>
      </w:pPr>
      <w:r>
        <w:t xml:space="preserve">Barzilai, S., &amp; Chinn, C. A. (2018). On the goals of epistemic education: Promoting apt epistemic performance.</w:t>
      </w:r>
      <w:r>
        <w:t xml:space="preserve"> </w:t>
      </w:r>
      <w:r>
        <w:rPr>
          <w:i/>
          <w:iCs/>
        </w:rPr>
        <w:t xml:space="preserve">Journal of the Learning Sciences</w:t>
      </w:r>
      <w:r>
        <w:t xml:space="preserve">,</w:t>
      </w:r>
      <w:r>
        <w:t xml:space="preserve"> </w:t>
      </w:r>
      <w:r>
        <w:rPr>
          <w:i/>
          <w:iCs/>
        </w:rPr>
        <w:t xml:space="preserve">27</w:t>
      </w:r>
      <w:r>
        <w:t xml:space="preserve">(3), 353–389. https://doi.org/10.1080/10508406.2017.1392968</w:t>
      </w:r>
    </w:p>
    <w:p>
      <w:pPr>
        <w:pStyle w:val="BodyText"/>
      </w:pPr>
      <w:r>
        <w:t xml:space="preserve">Baxter Magolda, M. B. (2001).</w:t>
      </w:r>
      <w:r>
        <w:t xml:space="preserve"> </w:t>
      </w:r>
      <w:r>
        <w:rPr>
          <w:i/>
          <w:iCs/>
        </w:rPr>
        <w:t xml:space="preserve">Making their own way: Narratives for transforming higher education to promote self-development</w:t>
      </w:r>
      <w:r>
        <w:t xml:space="preserve">. Stylus.</w:t>
      </w:r>
    </w:p>
    <w:p>
      <w:pPr>
        <w:pStyle w:val="BodyText"/>
      </w:pPr>
      <w:r>
        <w:t xml:space="preserve">Bendixen, L. D., &amp; Rule, D. C. (2004). An integrative approach to personal epistemology: A guiding model.</w:t>
      </w:r>
      <w:r>
        <w:t xml:space="preserve"> </w:t>
      </w:r>
      <w:r>
        <w:rPr>
          <w:i/>
          <w:iCs/>
        </w:rPr>
        <w:t xml:space="preserve">Educational Psychologist</w:t>
      </w:r>
      <w:r>
        <w:t xml:space="preserve">,</w:t>
      </w:r>
      <w:r>
        <w:t xml:space="preserve"> </w:t>
      </w:r>
      <w:r>
        <w:rPr>
          <w:i/>
          <w:iCs/>
        </w:rPr>
        <w:t xml:space="preserve">39</w:t>
      </w:r>
      <w:r>
        <w:t xml:space="preserve">(1), 69–80. https://doi.org/10.1207/s15326985ep3901_7</w:t>
      </w:r>
    </w:p>
    <w:p>
      <w:pPr>
        <w:pStyle w:val="BodyText"/>
      </w:pPr>
      <w:r>
        <w:t xml:space="preserve">Bolsen, T., Druckman, J. N., &amp; Cook, F. L. (2014). The influence of partisan motivated reasoning on public opinion.</w:t>
      </w:r>
      <w:r>
        <w:t xml:space="preserve"> </w:t>
      </w:r>
      <w:r>
        <w:rPr>
          <w:i/>
          <w:iCs/>
        </w:rPr>
        <w:t xml:space="preserve">Political Behavior</w:t>
      </w:r>
      <w:r>
        <w:t xml:space="preserve">,</w:t>
      </w:r>
      <w:r>
        <w:t xml:space="preserve"> </w:t>
      </w:r>
      <w:r>
        <w:rPr>
          <w:i/>
          <w:iCs/>
        </w:rPr>
        <w:t xml:space="preserve">36</w:t>
      </w:r>
      <w:r>
        <w:t xml:space="preserve">(2), 235–262. https://doi.org/10.1007/s11109-013-9238-0</w:t>
      </w:r>
    </w:p>
    <w:p>
      <w:pPr>
        <w:pStyle w:val="BodyText"/>
      </w:pPr>
      <w:r>
        <w:t xml:space="preserve">Bonfadelli, H. (2002). The internet and knowledge gaps: A theoretical and empirical investigation.</w:t>
      </w:r>
      <w:r>
        <w:t xml:space="preserve"> </w:t>
      </w:r>
      <w:r>
        <w:rPr>
          <w:i/>
          <w:iCs/>
        </w:rPr>
        <w:t xml:space="preserve">European Journal of Communication</w:t>
      </w:r>
      <w:r>
        <w:t xml:space="preserve">,</w:t>
      </w:r>
      <w:r>
        <w:t xml:space="preserve"> </w:t>
      </w:r>
      <w:r>
        <w:rPr>
          <w:i/>
          <w:iCs/>
        </w:rPr>
        <w:t xml:space="preserve">17</w:t>
      </w:r>
      <w:r>
        <w:t xml:space="preserve">(1), 65–84. https://doi.org/10.1177/0267323102017001607</w:t>
      </w:r>
    </w:p>
    <w:p>
      <w:pPr>
        <w:pStyle w:val="BodyText"/>
      </w:pPr>
      <w:r>
        <w:t xml:space="preserve">Bromme, R., Kienhues, D., &amp; Porsch, T. (2010). Who knows what and who can we believe? Epistemological beliefs are beliefs about knowledge (mostly) attained from others. In L. D. Bendixen &amp; F. C. Feucht (Eds.),</w:t>
      </w:r>
      <w:r>
        <w:t xml:space="preserve"> </w:t>
      </w:r>
      <w:r>
        <w:rPr>
          <w:i/>
          <w:iCs/>
        </w:rPr>
        <w:t xml:space="preserve">Personal epistemology in the classroom: Theory, research, and implications for practice</w:t>
      </w:r>
      <w:r>
        <w:t xml:space="preserve"> </w:t>
      </w:r>
      <w:r>
        <w:t xml:space="preserve">(pp. 163–193). Cambridge University Press.</w:t>
      </w:r>
    </w:p>
    <w:p>
      <w:pPr>
        <w:pStyle w:val="BodyText"/>
      </w:pPr>
      <w:r>
        <w:t xml:space="preserve">Brynjolfsson, E., &amp; McAfee, A. (2014).</w:t>
      </w:r>
      <w:r>
        <w:t xml:space="preserve"> </w:t>
      </w:r>
      <w:r>
        <w:rPr>
          <w:i/>
          <w:iCs/>
        </w:rPr>
        <w:t xml:space="preserve">The second machine age: Work, progress, and prosperity in a time of brilliant technologies</w:t>
      </w:r>
      <w:r>
        <w:t xml:space="preserve">. W. W. Norton.</w:t>
      </w:r>
    </w:p>
    <w:p>
      <w:pPr>
        <w:pStyle w:val="BodyText"/>
      </w:pPr>
      <w:r>
        <w:t xml:space="preserve">Cave, S., &amp; Dihal, K. (2019). Hopes and fears for intelligent machines in fiction and reality.</w:t>
      </w:r>
      <w:r>
        <w:t xml:space="preserve"> </w:t>
      </w:r>
      <w:r>
        <w:rPr>
          <w:i/>
          <w:iCs/>
        </w:rPr>
        <w:t xml:space="preserve">Nature Machine Intelligence</w:t>
      </w:r>
      <w:r>
        <w:t xml:space="preserve">,</w:t>
      </w:r>
      <w:r>
        <w:t xml:space="preserve"> </w:t>
      </w:r>
      <w:r>
        <w:rPr>
          <w:i/>
          <w:iCs/>
        </w:rPr>
        <w:t xml:space="preserve">1</w:t>
      </w:r>
      <w:r>
        <w:t xml:space="preserve">, 74–78. https://doi.org/10.1038/s42256-019-0020-9</w:t>
      </w:r>
    </w:p>
    <w:p>
      <w:pPr>
        <w:pStyle w:val="BodyText"/>
      </w:pPr>
      <w:r>
        <w:t xml:space="preserve">Cranton, P. (2006).</w:t>
      </w:r>
      <w:r>
        <w:t xml:space="preserve"> </w:t>
      </w:r>
      <w:r>
        <w:rPr>
          <w:i/>
          <w:iCs/>
        </w:rPr>
        <w:t xml:space="preserve">Understanding and promoting transformative learning: A guide for educators of adults</w:t>
      </w:r>
      <w:r>
        <w:t xml:space="preserve"> </w:t>
      </w:r>
      <w:r>
        <w:t xml:space="preserve">(2nd ed.). Jossey-Bass.</w:t>
      </w:r>
    </w:p>
    <w:p>
      <w:pPr>
        <w:pStyle w:val="BodyText"/>
      </w:pPr>
      <w:r>
        <w:t xml:space="preserve">Druckman, J. N., Peterson, E., &amp; Slothuus, R. (2013). How elite partisan polarization affects public opinion formation.</w:t>
      </w:r>
      <w:r>
        <w:t xml:space="preserve"> </w:t>
      </w:r>
      <w:r>
        <w:rPr>
          <w:i/>
          <w:iCs/>
        </w:rPr>
        <w:t xml:space="preserve">American Political Science Review</w:t>
      </w:r>
      <w:r>
        <w:t xml:space="preserve">,</w:t>
      </w:r>
      <w:r>
        <w:t xml:space="preserve"> </w:t>
      </w:r>
      <w:r>
        <w:rPr>
          <w:i/>
          <w:iCs/>
        </w:rPr>
        <w:t xml:space="preserve">107</w:t>
      </w:r>
      <w:r>
        <w:t xml:space="preserve">(1), 57–79. https://doi.org/10.1017/S0003055412000500</w:t>
      </w:r>
    </w:p>
    <w:p>
      <w:pPr>
        <w:pStyle w:val="BodyText"/>
      </w:pPr>
      <w:r>
        <w:t xml:space="preserve">Fairlie, R. W. (2005). An extension of the Blinder-Oaxaca decomposition technique to logit and probit models.</w:t>
      </w:r>
      <w:r>
        <w:t xml:space="preserve"> </w:t>
      </w:r>
      <w:r>
        <w:rPr>
          <w:i/>
          <w:iCs/>
        </w:rPr>
        <w:t xml:space="preserve">Journal of Economic and Social Measurement</w:t>
      </w:r>
      <w:r>
        <w:t xml:space="preserve">,</w:t>
      </w:r>
      <w:r>
        <w:t xml:space="preserve"> </w:t>
      </w:r>
      <w:r>
        <w:rPr>
          <w:i/>
          <w:iCs/>
        </w:rPr>
        <w:t xml:space="preserve">30</w:t>
      </w:r>
      <w:r>
        <w:t xml:space="preserve">(4), 305–316. https://doi.org/10.3233/JEM-2005-0259</w:t>
      </w:r>
    </w:p>
    <w:p>
      <w:pPr>
        <w:pStyle w:val="BodyText"/>
      </w:pPr>
      <w:r>
        <w:t xml:space="preserve">Freire, P. (1970).</w:t>
      </w:r>
      <w:r>
        <w:t xml:space="preserve"> </w:t>
      </w:r>
      <w:r>
        <w:rPr>
          <w:i/>
          <w:iCs/>
        </w:rPr>
        <w:t xml:space="preserve">Pedagogy of the oppressed</w:t>
      </w:r>
      <w:r>
        <w:t xml:space="preserve"> </w:t>
      </w:r>
      <w:r>
        <w:t xml:space="preserve">(M. B. Ramos, Trans.). Herder and Herder.</w:t>
      </w:r>
    </w:p>
    <w:p>
      <w:pPr>
        <w:pStyle w:val="BodyText"/>
      </w:pPr>
      <w:r>
        <w:t xml:space="preserve">Frey, C. B., &amp; Osborne, M. A. (2017). The future of employment: How susceptible are jobs to computerisation?</w:t>
      </w:r>
      <w:r>
        <w:t xml:space="preserve"> </w:t>
      </w:r>
      <w:r>
        <w:rPr>
          <w:i/>
          <w:iCs/>
        </w:rPr>
        <w:t xml:space="preserve">Technological Forecasting and Social Change</w:t>
      </w:r>
      <w:r>
        <w:t xml:space="preserve">,</w:t>
      </w:r>
      <w:r>
        <w:t xml:space="preserve"> </w:t>
      </w:r>
      <w:r>
        <w:rPr>
          <w:i/>
          <w:iCs/>
        </w:rPr>
        <w:t xml:space="preserve">114</w:t>
      </w:r>
      <w:r>
        <w:t xml:space="preserve">, 254–280. https://doi.org/10.1016/j.techfore.2016.08.019</w:t>
      </w:r>
    </w:p>
    <w:p>
      <w:pPr>
        <w:pStyle w:val="BodyText"/>
      </w:pPr>
      <w:r>
        <w:t xml:space="preserve">Gaziano, C. (1997). Forecast 2000: Widening knowledge gaps.</w:t>
      </w:r>
      <w:r>
        <w:t xml:space="preserve"> </w:t>
      </w:r>
      <w:r>
        <w:rPr>
          <w:i/>
          <w:iCs/>
        </w:rPr>
        <w:t xml:space="preserve">Journalism &amp; Mass Communication Quarterly</w:t>
      </w:r>
      <w:r>
        <w:t xml:space="preserve">,</w:t>
      </w:r>
      <w:r>
        <w:t xml:space="preserve"> </w:t>
      </w:r>
      <w:r>
        <w:rPr>
          <w:i/>
          <w:iCs/>
        </w:rPr>
        <w:t xml:space="preserve">74</w:t>
      </w:r>
      <w:r>
        <w:t xml:space="preserve">(2), 237–264. https://doi.org/10.1177/107769909707400202</w:t>
      </w:r>
    </w:p>
    <w:p>
      <w:pPr>
        <w:pStyle w:val="BodyText"/>
      </w:pPr>
      <w:r>
        <w:t xml:space="preserve">Hargittai, E. (2002). Second-level digital divide: Differences in people’s online skills.</w:t>
      </w:r>
      <w:r>
        <w:t xml:space="preserve"> </w:t>
      </w:r>
      <w:r>
        <w:rPr>
          <w:i/>
          <w:iCs/>
        </w:rPr>
        <w:t xml:space="preserve">First Monday</w:t>
      </w:r>
      <w:r>
        <w:t xml:space="preserve">,</w:t>
      </w:r>
      <w:r>
        <w:t xml:space="preserve"> </w:t>
      </w:r>
      <w:r>
        <w:rPr>
          <w:i/>
          <w:iCs/>
        </w:rPr>
        <w:t xml:space="preserve">7</w:t>
      </w:r>
      <w:r>
        <w:t xml:space="preserve">(4). https://doi.org/10.5210/fm.v7i4.942</w:t>
      </w:r>
    </w:p>
    <w:p>
      <w:pPr>
        <w:pStyle w:val="BodyText"/>
      </w:pPr>
      <w:r>
        <w:t xml:space="preserve">Hofer, B. K., &amp; Pintrich, P. R. (1997). The development of epistemological theories: Beliefs about knowledge and knowing and their relation to learning.</w:t>
      </w:r>
      <w:r>
        <w:t xml:space="preserve"> </w:t>
      </w:r>
      <w:r>
        <w:rPr>
          <w:i/>
          <w:iCs/>
        </w:rPr>
        <w:t xml:space="preserve">Review of Educational Research</w:t>
      </w:r>
      <w:r>
        <w:t xml:space="preserve">,</w:t>
      </w:r>
      <w:r>
        <w:t xml:space="preserve"> </w:t>
      </w:r>
      <w:r>
        <w:rPr>
          <w:i/>
          <w:iCs/>
        </w:rPr>
        <w:t xml:space="preserve">67</w:t>
      </w:r>
      <w:r>
        <w:t xml:space="preserve">(1), 88–140. https://doi.org/10.3102/00346543067001088</w:t>
      </w:r>
    </w:p>
    <w:p>
      <w:pPr>
        <w:pStyle w:val="BodyText"/>
      </w:pPr>
      <w:r>
        <w:t xml:space="preserve">Hwang, Y., &amp; Jeong, S.-H. (2009). Revisiting the knowledge gap hypothesis: A meta-analysis of thirty-five years of research.</w:t>
      </w:r>
      <w:r>
        <w:t xml:space="preserve"> </w:t>
      </w:r>
      <w:r>
        <w:rPr>
          <w:i/>
          <w:iCs/>
        </w:rPr>
        <w:t xml:space="preserve">Journalism &amp; Mass Communication Quarterly</w:t>
      </w:r>
      <w:r>
        <w:t xml:space="preserve">,</w:t>
      </w:r>
      <w:r>
        <w:t xml:space="preserve"> </w:t>
      </w:r>
      <w:r>
        <w:rPr>
          <w:i/>
          <w:iCs/>
        </w:rPr>
        <w:t xml:space="preserve">86</w:t>
      </w:r>
      <w:r>
        <w:t xml:space="preserve">(3), 513–532. https://doi.org/10.1177/107769900908600304</w:t>
      </w:r>
    </w:p>
    <w:p>
      <w:pPr>
        <w:pStyle w:val="BodyText"/>
      </w:pPr>
      <w:r>
        <w:t xml:space="preserve">Jarvis, P. (2006).</w:t>
      </w:r>
      <w:r>
        <w:t xml:space="preserve"> </w:t>
      </w:r>
      <w:r>
        <w:rPr>
          <w:i/>
          <w:iCs/>
        </w:rPr>
        <w:t xml:space="preserve">Towards a comprehensive theory of human learning</w:t>
      </w:r>
      <w:r>
        <w:t xml:space="preserve">. Routledge.</w:t>
      </w:r>
    </w:p>
    <w:p>
      <w:pPr>
        <w:pStyle w:val="BodyText"/>
      </w:pPr>
      <w:r>
        <w:t xml:space="preserve">Kahan, D. M., Peters, E., Wittlin, M., Slovic, P., Ouellette, L. L., Braman, D., &amp; Mandel, G. (2012). The polarizing impact of science literacy and numeracy on perceived climate change risks.</w:t>
      </w:r>
      <w:r>
        <w:t xml:space="preserve"> </w:t>
      </w:r>
      <w:r>
        <w:rPr>
          <w:i/>
          <w:iCs/>
        </w:rPr>
        <w:t xml:space="preserve">Nature Climate Change</w:t>
      </w:r>
      <w:r>
        <w:t xml:space="preserve">,</w:t>
      </w:r>
      <w:r>
        <w:t xml:space="preserve"> </w:t>
      </w:r>
      <w:r>
        <w:rPr>
          <w:i/>
          <w:iCs/>
        </w:rPr>
        <w:t xml:space="preserve">2</w:t>
      </w:r>
      <w:r>
        <w:t xml:space="preserve">(10), 732–735. https://doi.org/10.1038/nclimate1547</w:t>
      </w:r>
    </w:p>
    <w:p>
      <w:pPr>
        <w:pStyle w:val="BodyText"/>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263–291. https://doi.org/10.2307/1914185</w:t>
      </w:r>
    </w:p>
    <w:p>
      <w:pPr>
        <w:pStyle w:val="BodyText"/>
      </w:pPr>
      <w:r>
        <w:t xml:space="preserve">Kasperson, R. E., Renn, O., Slovic, P., Brown, H. S., Emel, J., Goble, R., Kasperson, J. X., &amp; Ratick, S. (1988). The social amplification of risk: A conceptual framework.</w:t>
      </w:r>
      <w:r>
        <w:t xml:space="preserve"> </w:t>
      </w:r>
      <w:r>
        <w:rPr>
          <w:i/>
          <w:iCs/>
        </w:rPr>
        <w:t xml:space="preserve">Risk Analysis</w:t>
      </w:r>
      <w:r>
        <w:t xml:space="preserve">,</w:t>
      </w:r>
      <w:r>
        <w:t xml:space="preserve"> </w:t>
      </w:r>
      <w:r>
        <w:rPr>
          <w:i/>
          <w:iCs/>
        </w:rPr>
        <w:t xml:space="preserve">8</w:t>
      </w:r>
      <w:r>
        <w:t xml:space="preserve">(2), 177–187. https://doi.org/10.1111/j.1539-6924.1988.tb01168.x</w:t>
      </w:r>
    </w:p>
    <w:p>
      <w:pPr>
        <w:pStyle w:val="BodyText"/>
      </w:pPr>
      <w:r>
        <w:t xml:space="preserve">Kieslich, K., Keller, B., &amp; Starke, C. (2022). Artificial intelligence ethics by design: Evaluating public perception on the importance of ethical design principles of artificial intelligence.</w:t>
      </w:r>
      <w:r>
        <w:t xml:space="preserve"> </w:t>
      </w:r>
      <w:r>
        <w:rPr>
          <w:i/>
          <w:iCs/>
        </w:rPr>
        <w:t xml:space="preserve">Big Data &amp; Society</w:t>
      </w:r>
      <w:r>
        <w:t xml:space="preserve">,</w:t>
      </w:r>
      <w:r>
        <w:t xml:space="preserve"> </w:t>
      </w:r>
      <w:r>
        <w:rPr>
          <w:i/>
          <w:iCs/>
        </w:rPr>
        <w:t xml:space="preserve">9</w:t>
      </w:r>
      <w:r>
        <w:t xml:space="preserve">(1), 1–13. https://doi.org/10.1177/20539517221092956</w:t>
      </w:r>
    </w:p>
    <w:p>
      <w:pPr>
        <w:pStyle w:val="BodyText"/>
      </w:pPr>
      <w:r>
        <w:t xml:space="preserve">King, P. M., &amp; Kitchener, K. S. (1994).</w:t>
      </w:r>
      <w:r>
        <w:t xml:space="preserve"> </w:t>
      </w:r>
      <w:r>
        <w:rPr>
          <w:i/>
          <w:iCs/>
        </w:rPr>
        <w:t xml:space="preserve">Developing reflective judgment: Understanding and promoting intellectual growth and critical thinking in adolescents and adults</w:t>
      </w:r>
      <w:r>
        <w:t xml:space="preserve">. Jossey-Bass.</w:t>
      </w:r>
    </w:p>
    <w:p>
      <w:pPr>
        <w:pStyle w:val="BodyText"/>
      </w:pPr>
      <w:r>
        <w:t xml:space="preserve">Knowles, M. S. (1980).</w:t>
      </w:r>
      <w:r>
        <w:t xml:space="preserve"> </w:t>
      </w:r>
      <w:r>
        <w:rPr>
          <w:i/>
          <w:iCs/>
        </w:rPr>
        <w:t xml:space="preserve">The modern practice of adult education: From pedagogy to andragogy</w:t>
      </w:r>
      <w:r>
        <w:t xml:space="preserve"> </w:t>
      </w:r>
      <w:r>
        <w:t xml:space="preserve">(2nd ed.). Cambridge Adult Education.</w:t>
      </w:r>
    </w:p>
    <w:p>
      <w:pPr>
        <w:pStyle w:val="BodyText"/>
      </w:pPr>
      <w:r>
        <w:t xml:space="preserve">Kuhn, D. (1991).</w:t>
      </w:r>
      <w:r>
        <w:t xml:space="preserve"> </w:t>
      </w:r>
      <w:r>
        <w:rPr>
          <w:i/>
          <w:iCs/>
        </w:rPr>
        <w:t xml:space="preserve">The skills of argument</w:t>
      </w:r>
      <w:r>
        <w:t xml:space="preserve">. Cambridge University Press.</w:t>
      </w:r>
    </w:p>
    <w:p>
      <w:pPr>
        <w:pStyle w:val="BodyText"/>
      </w:pPr>
      <w:r>
        <w:t xml:space="preserve">Laupichler, M. C., Aster, A., Schirch, J., &amp; Raupach, T. (2022). Artificial intelligence literacy in higher and adult education: A scoping literature review.</w:t>
      </w:r>
      <w:r>
        <w:t xml:space="preserve"> </w:t>
      </w:r>
      <w:r>
        <w:rPr>
          <w:i/>
          <w:iCs/>
        </w:rPr>
        <w:t xml:space="preserve">Computers and Education: Artificial Intelligence</w:t>
      </w:r>
      <w:r>
        <w:t xml:space="preserve">,</w:t>
      </w:r>
      <w:r>
        <w:t xml:space="preserve"> </w:t>
      </w:r>
      <w:r>
        <w:rPr>
          <w:i/>
          <w:iCs/>
        </w:rPr>
        <w:t xml:space="preserve">3</w:t>
      </w:r>
      <w:r>
        <w:t xml:space="preserve">, 100101. https://doi.org/10.1016/j.caeai.2022.100101</w:t>
      </w:r>
    </w:p>
    <w:p>
      <w:pPr>
        <w:pStyle w:val="BodyText"/>
      </w:pPr>
      <w:r>
        <w:t xml:space="preserve">Long, D., &amp; Magerko, B. (2020). What is AI literacy? Competencies and design considerations. In</w:t>
      </w:r>
      <w:r>
        <w:t xml:space="preserve"> </w:t>
      </w:r>
      <w:r>
        <w:rPr>
          <w:i/>
          <w:iCs/>
        </w:rPr>
        <w:t xml:space="preserve">Proceedings of the 2020 CHI Conference on Human Factors in Computing Systems</w:t>
      </w:r>
      <w:r>
        <w:t xml:space="preserve"> </w:t>
      </w:r>
      <w:r>
        <w:t xml:space="preserve">(pp. 1–16). Association for Computing Machinery. https://doi.org/10.1145/3313831.3376727</w:t>
      </w:r>
    </w:p>
    <w:p>
      <w:pPr>
        <w:pStyle w:val="BodyText"/>
      </w:pPr>
      <w:r>
        <w:t xml:space="preserve">Lumley, T. (2004). Analysis of complex survey samples.</w:t>
      </w:r>
      <w:r>
        <w:t xml:space="preserve"> </w:t>
      </w:r>
      <w:r>
        <w:rPr>
          <w:i/>
          <w:iCs/>
        </w:rPr>
        <w:t xml:space="preserve">Journal of Statistical Software</w:t>
      </w:r>
      <w:r>
        <w:t xml:space="preserve">,</w:t>
      </w:r>
      <w:r>
        <w:t xml:space="preserve"> </w:t>
      </w:r>
      <w:r>
        <w:rPr>
          <w:i/>
          <w:iCs/>
        </w:rPr>
        <w:t xml:space="preserve">9</w:t>
      </w:r>
      <w:r>
        <w:t xml:space="preserve">(8), 1–19. https://doi.org/10.18637/jss.v009.i08</w:t>
      </w:r>
    </w:p>
    <w:p>
      <w:pPr>
        <w:pStyle w:val="BodyText"/>
      </w:pPr>
      <w:r>
        <w:t xml:space="preserve">Lumley, T. (2010).</w:t>
      </w:r>
      <w:r>
        <w:t xml:space="preserve"> </w:t>
      </w:r>
      <w:r>
        <w:rPr>
          <w:i/>
          <w:iCs/>
        </w:rPr>
        <w:t xml:space="preserve">Complex surveys: A guide to analysis using R</w:t>
      </w:r>
      <w:r>
        <w:t xml:space="preserve">. John Wiley &amp; Sons.</w:t>
      </w:r>
    </w:p>
    <w:p>
      <w:pPr>
        <w:pStyle w:val="BodyText"/>
      </w:pPr>
      <w:r>
        <w:t xml:space="preserve">Merriam, S. B., Caffarella, R. S., &amp; Baumgartner, L. M. (2007).</w:t>
      </w:r>
      <w:r>
        <w:t xml:space="preserve"> </w:t>
      </w:r>
      <w:r>
        <w:rPr>
          <w:i/>
          <w:iCs/>
        </w:rPr>
        <w:t xml:space="preserve">Learning in adulthood: A comprehensive guide</w:t>
      </w:r>
      <w:r>
        <w:t xml:space="preserve"> </w:t>
      </w:r>
      <w:r>
        <w:t xml:space="preserve">(3rd ed.). Jossey-Bass.</w:t>
      </w:r>
    </w:p>
    <w:p>
      <w:pPr>
        <w:pStyle w:val="BodyText"/>
      </w:pPr>
      <w:r>
        <w:t xml:space="preserve">Mezirow, J. (1991).</w:t>
      </w:r>
      <w:r>
        <w:t xml:space="preserve"> </w:t>
      </w:r>
      <w:r>
        <w:rPr>
          <w:i/>
          <w:iCs/>
        </w:rPr>
        <w:t xml:space="preserve">Transformative dimensions of adult learning</w:t>
      </w:r>
      <w:r>
        <w:t xml:space="preserve">. Jossey-Bass.</w:t>
      </w:r>
    </w:p>
    <w:p>
      <w:pPr>
        <w:pStyle w:val="BodyText"/>
      </w:pPr>
      <w:r>
        <w:t xml:space="preserve">Mezirow, J., &amp; Associates. (2000).</w:t>
      </w:r>
      <w:r>
        <w:t xml:space="preserve"> </w:t>
      </w:r>
      <w:r>
        <w:rPr>
          <w:i/>
          <w:iCs/>
        </w:rPr>
        <w:t xml:space="preserve">Learning as transformation: Critical perspectives on a theory in progress</w:t>
      </w:r>
      <w:r>
        <w:t xml:space="preserve">. Jossey-Bass.</w:t>
      </w:r>
    </w:p>
    <w:p>
      <w:pPr>
        <w:pStyle w:val="BodyText"/>
      </w:pPr>
      <w:r>
        <w:t xml:space="preserve">Mize, T. D. (2019). Best practices for estimating, interpreting, and presenting nonlinear interaction effects.</w:t>
      </w:r>
      <w:r>
        <w:t xml:space="preserve"> </w:t>
      </w:r>
      <w:r>
        <w:rPr>
          <w:i/>
          <w:iCs/>
        </w:rPr>
        <w:t xml:space="preserve">Sociological Science</w:t>
      </w:r>
      <w:r>
        <w:t xml:space="preserve">,</w:t>
      </w:r>
      <w:r>
        <w:t xml:space="preserve"> </w:t>
      </w:r>
      <w:r>
        <w:rPr>
          <w:i/>
          <w:iCs/>
        </w:rPr>
        <w:t xml:space="preserve">6</w:t>
      </w:r>
      <w:r>
        <w:t xml:space="preserve">, 81–117. https://doi.org/10.15195/v6.a4</w:t>
      </w:r>
    </w:p>
    <w:p>
      <w:pPr>
        <w:pStyle w:val="BodyText"/>
      </w:pPr>
      <w:r>
        <w:t xml:space="preserve">Mood, C. (2010). Logistic regression: Why we cannot do what we think we can do, and what we can do about it.</w:t>
      </w:r>
      <w:r>
        <w:t xml:space="preserve"> </w:t>
      </w:r>
      <w:r>
        <w:rPr>
          <w:i/>
          <w:iCs/>
        </w:rPr>
        <w:t xml:space="preserve">European Sociological Review</w:t>
      </w:r>
      <w:r>
        <w:t xml:space="preserve">,</w:t>
      </w:r>
      <w:r>
        <w:t xml:space="preserve"> </w:t>
      </w:r>
      <w:r>
        <w:rPr>
          <w:i/>
          <w:iCs/>
        </w:rPr>
        <w:t xml:space="preserve">26</w:t>
      </w:r>
      <w:r>
        <w:t xml:space="preserve">(1), 67–82. https://doi.org/10.1093/esr/jcp006</w:t>
      </w:r>
    </w:p>
    <w:p>
      <w:pPr>
        <w:pStyle w:val="BodyText"/>
      </w:pPr>
      <w:r>
        <w:t xml:space="preserve">Neudert, L.-M., Knuutila, A., &amp; Howard, P. N. (2020).</w:t>
      </w:r>
      <w:r>
        <w:t xml:space="preserve"> </w:t>
      </w:r>
      <w:r>
        <w:rPr>
          <w:i/>
          <w:iCs/>
        </w:rPr>
        <w:t xml:space="preserve">Global attitudes towards AI, machine learning &amp; automated decision making</w:t>
      </w:r>
      <w:r>
        <w:t xml:space="preserve">. Oxford Commission on AI and Good Governance, Oxford Internet Institute, University of Oxford.</w:t>
      </w:r>
    </w:p>
    <w:p>
      <w:pPr>
        <w:pStyle w:val="BodyText"/>
      </w:pPr>
      <w:r>
        <w:t xml:space="preserve">Ng, D. T. K., Leung, J. K. L., Chu, S. K. W., &amp; Qiao, M. S. (2021). Conceptualizing AI literacy: An exploratory review.</w:t>
      </w:r>
      <w:r>
        <w:t xml:space="preserve"> </w:t>
      </w:r>
      <w:r>
        <w:rPr>
          <w:i/>
          <w:iCs/>
        </w:rPr>
        <w:t xml:space="preserve">Computers and Education: Artificial Intelligence</w:t>
      </w:r>
      <w:r>
        <w:t xml:space="preserve">,</w:t>
      </w:r>
      <w:r>
        <w:t xml:space="preserve"> </w:t>
      </w:r>
      <w:r>
        <w:rPr>
          <w:i/>
          <w:iCs/>
        </w:rPr>
        <w:t xml:space="preserve">2</w:t>
      </w:r>
      <w:r>
        <w:t xml:space="preserve">, 100041. https://doi.org/10.1016/j.caeai.2021.100041</w:t>
      </w:r>
    </w:p>
    <w:p>
      <w:pPr>
        <w:pStyle w:val="BodyText"/>
      </w:pPr>
      <w:r>
        <w:t xml:space="preserve">Parker, S. K., &amp; Grote, G. (2022). Automation, algorithms, and beyond: Why work design matters more than ever in a digital world.</w:t>
      </w:r>
      <w:r>
        <w:t xml:space="preserve"> </w:t>
      </w:r>
      <w:r>
        <w:rPr>
          <w:i/>
          <w:iCs/>
        </w:rPr>
        <w:t xml:space="preserve">Applied Psychology</w:t>
      </w:r>
      <w:r>
        <w:t xml:space="preserve">,</w:t>
      </w:r>
      <w:r>
        <w:t xml:space="preserve"> </w:t>
      </w:r>
      <w:r>
        <w:rPr>
          <w:i/>
          <w:iCs/>
        </w:rPr>
        <w:t xml:space="preserve">71</w:t>
      </w:r>
      <w:r>
        <w:t xml:space="preserve">(4), 1171–1204. https://doi.org/10.1111/apps.12241</w:t>
      </w:r>
    </w:p>
    <w:p>
      <w:pPr>
        <w:pStyle w:val="BodyText"/>
      </w:pPr>
      <w:r>
        <w:t xml:space="preserve">Perry, W. G. (1970).</w:t>
      </w:r>
      <w:r>
        <w:t xml:space="preserve"> </w:t>
      </w:r>
      <w:r>
        <w:rPr>
          <w:i/>
          <w:iCs/>
        </w:rPr>
        <w:t xml:space="preserve">Forms of intellectual and ethical development in the college years: A scheme</w:t>
      </w:r>
      <w:r>
        <w:t xml:space="preserve">. Holt, Rinehart &amp; Winston.</w:t>
      </w:r>
    </w:p>
    <w:p>
      <w:pPr>
        <w:pStyle w:val="BodyText"/>
      </w:pPr>
      <w:r>
        <w:t xml:space="preserve">Pew Research Center. (2022, March).</w:t>
      </w:r>
      <w:r>
        <w:t xml:space="preserve"> </w:t>
      </w:r>
      <w:r>
        <w:rPr>
          <w:i/>
          <w:iCs/>
        </w:rPr>
        <w:t xml:space="preserve">How Americans think about artificial intelligence</w:t>
      </w:r>
      <w:r>
        <w:t xml:space="preserve">. https://www.pewresearch.org/internet/2022/03/17/how-americans-think-about-artificial-intelligence/</w:t>
      </w:r>
    </w:p>
    <w:p>
      <w:pPr>
        <w:pStyle w:val="BodyText"/>
      </w:pPr>
      <w:r>
        <w:t xml:space="preserve">Pew Research Center. (2023, August).</w:t>
      </w:r>
      <w:r>
        <w:t xml:space="preserve"> </w:t>
      </w:r>
      <w:r>
        <w:rPr>
          <w:i/>
          <w:iCs/>
        </w:rPr>
        <w:t xml:space="preserve">Growing public concern about the role of artificial intelligence in daily life</w:t>
      </w:r>
      <w:r>
        <w:t xml:space="preserve">. https://www.pewresearch.org/short-reads/2023/08/28/growing-public-concern-about-the-role-of-artificial-intelligence-in-daily-life/</w:t>
      </w:r>
    </w:p>
    <w:p>
      <w:pPr>
        <w:pStyle w:val="BodyText"/>
      </w:pPr>
      <w:r>
        <w:t xml:space="preserve">Pew Research Center. (2024, September).</w:t>
      </w:r>
      <w:r>
        <w:t xml:space="preserve"> </w:t>
      </w:r>
      <w:r>
        <w:rPr>
          <w:i/>
          <w:iCs/>
        </w:rPr>
        <w:t xml:space="preserve">Concern over the impact of AI on 2024 presidential campaign</w:t>
      </w:r>
      <w:r>
        <w:t xml:space="preserve">. https://www.pewresearch.org/short-reads/2024/09/19/concern-over-the-impact-of-ai-on-2024-presidential-campaign/</w:t>
      </w:r>
    </w:p>
    <w:p>
      <w:pPr>
        <w:pStyle w:val="BodyText"/>
      </w:pPr>
      <w:r>
        <w:t xml:space="preserve">Scheufele, D. A., &amp; Lewenstein, B. V. (2005). The public and nanotechnology: How citizens make sense of emerging technologies.</w:t>
      </w:r>
      <w:r>
        <w:t xml:space="preserve"> </w:t>
      </w:r>
      <w:r>
        <w:rPr>
          <w:i/>
          <w:iCs/>
        </w:rPr>
        <w:t xml:space="preserve">Journal of Nanoparticle Research</w:t>
      </w:r>
      <w:r>
        <w:t xml:space="preserve">,</w:t>
      </w:r>
      <w:r>
        <w:t xml:space="preserve"> </w:t>
      </w:r>
      <w:r>
        <w:rPr>
          <w:i/>
          <w:iCs/>
        </w:rPr>
        <w:t xml:space="preserve">7</w:t>
      </w:r>
      <w:r>
        <w:t xml:space="preserve">(6), 659–667. https://doi.org/10.1007/s11051-005-7526-2</w:t>
      </w:r>
    </w:p>
    <w:p>
      <w:pPr>
        <w:pStyle w:val="BodyText"/>
      </w:pPr>
      <w:r>
        <w:t xml:space="preserve">Schiff, D. (2024).</w:t>
      </w:r>
      <w:r>
        <w:t xml:space="preserve"> </w:t>
      </w:r>
      <w:r>
        <w:rPr>
          <w:i/>
          <w:iCs/>
        </w:rPr>
        <w:t xml:space="preserve">The politics of AI: Will bipartisanship last or is polarization inevitable?</w:t>
      </w:r>
      <w:r>
        <w:t xml:space="preserve"> </w:t>
      </w:r>
      <w:r>
        <w:t xml:space="preserve">Institution for Social and Policy Studies, Yale University.</w:t>
      </w:r>
    </w:p>
    <w:p>
      <w:pPr>
        <w:pStyle w:val="BodyText"/>
      </w:pPr>
      <w:r>
        <w:t xml:space="preserve">Selwyn, N. (2022). The future of AI and education: Some cautionary notes.</w:t>
      </w:r>
      <w:r>
        <w:t xml:space="preserve"> </w:t>
      </w:r>
      <w:r>
        <w:rPr>
          <w:i/>
          <w:iCs/>
        </w:rPr>
        <w:t xml:space="preserve">European Journal of Education</w:t>
      </w:r>
      <w:r>
        <w:t xml:space="preserve">,</w:t>
      </w:r>
      <w:r>
        <w:t xml:space="preserve"> </w:t>
      </w:r>
      <w:r>
        <w:rPr>
          <w:i/>
          <w:iCs/>
        </w:rPr>
        <w:t xml:space="preserve">57</w:t>
      </w:r>
      <w:r>
        <w:t xml:space="preserve">(4), 620–631. https://doi.org/10.1111/ejed.12532</w:t>
      </w:r>
    </w:p>
    <w:p>
      <w:pPr>
        <w:pStyle w:val="BodyText"/>
      </w:pPr>
      <w:r>
        <w:t xml:space="preserve">Slovic, P. (1987). Perception of risk.</w:t>
      </w:r>
      <w:r>
        <w:t xml:space="preserve"> </w:t>
      </w:r>
      <w:r>
        <w:rPr>
          <w:i/>
          <w:iCs/>
        </w:rPr>
        <w:t xml:space="preserve">Science</w:t>
      </w:r>
      <w:r>
        <w:t xml:space="preserve">,</w:t>
      </w:r>
      <w:r>
        <w:t xml:space="preserve"> </w:t>
      </w:r>
      <w:r>
        <w:rPr>
          <w:i/>
          <w:iCs/>
        </w:rPr>
        <w:t xml:space="preserve">236</w:t>
      </w:r>
      <w:r>
        <w:t xml:space="preserve">(4799), 280–285. https://doi.org/10.1126/science.3563507</w:t>
      </w:r>
    </w:p>
    <w:p>
      <w:pPr>
        <w:pStyle w:val="BodyText"/>
      </w:pPr>
      <w:r>
        <w:t xml:space="preserve">Tichenor, P. J., Donohue, G. A., &amp; Olien, C. N. (1970). Mass media flow and differential growth in knowledge.</w:t>
      </w:r>
      <w:r>
        <w:t xml:space="preserve"> </w:t>
      </w:r>
      <w:r>
        <w:rPr>
          <w:i/>
          <w:iCs/>
        </w:rPr>
        <w:t xml:space="preserve">Public Opinion Quarterly</w:t>
      </w:r>
      <w:r>
        <w:t xml:space="preserve">,</w:t>
      </w:r>
      <w:r>
        <w:t xml:space="preserve"> </w:t>
      </w:r>
      <w:r>
        <w:rPr>
          <w:i/>
          <w:iCs/>
        </w:rPr>
        <w:t xml:space="preserve">34</w:t>
      </w:r>
      <w:r>
        <w:t xml:space="preserve">(2), 159–170. https://doi.org/10.1086/267786</w:t>
      </w:r>
    </w:p>
    <w:p>
      <w:pPr>
        <w:pStyle w:val="BodyText"/>
      </w:pPr>
      <w:r>
        <w:t xml:space="preserve">van Dijk, J. (2020).</w:t>
      </w:r>
      <w:r>
        <w:t xml:space="preserve"> </w:t>
      </w:r>
      <w:r>
        <w:rPr>
          <w:i/>
          <w:iCs/>
        </w:rPr>
        <w:t xml:space="preserve">The digital divide</w:t>
      </w:r>
      <w:r>
        <w:t xml:space="preserve">. Polity Press.</w:t>
      </w:r>
    </w:p>
    <w:p>
      <w:pPr>
        <w:pStyle w:val="BodyText"/>
      </w:pPr>
      <w:r>
        <w:t xml:space="preserve">Viswanath, K., &amp; Finnegan, J. R. (1996). The knowledge gap hypothesis: Twenty-five years later. In B. R. Burleson (Ed.),</w:t>
      </w:r>
      <w:r>
        <w:t xml:space="preserve"> </w:t>
      </w:r>
      <w:r>
        <w:rPr>
          <w:i/>
          <w:iCs/>
        </w:rPr>
        <w:t xml:space="preserve">Communication yearbook 19</w:t>
      </w:r>
      <w:r>
        <w:t xml:space="preserve"> </w:t>
      </w:r>
      <w:r>
        <w:t xml:space="preserve">(pp. 187–227). Sage.</w:t>
      </w:r>
    </w:p>
    <w:p>
      <w:pPr>
        <w:pStyle w:val="BodyText"/>
      </w:pPr>
      <w:r>
        <w:t xml:space="preserve">Zaller, J. R. (1992).</w:t>
      </w:r>
      <w:r>
        <w:t xml:space="preserve"> </w:t>
      </w:r>
      <w:r>
        <w:rPr>
          <w:i/>
          <w:iCs/>
        </w:rPr>
        <w:t xml:space="preserve">The nature and origins of mass opinion</w:t>
      </w:r>
      <w:r>
        <w:t xml:space="preserve">. Cambridge University Press.</w:t>
      </w:r>
    </w:p>
    <w:p>
      <w:pPr>
        <w:pStyle w:val="BodyText"/>
      </w:pPr>
      <w:r>
        <w:t xml:space="preserve">Zhang, B., &amp; Dafoe, A. (2019).</w:t>
      </w:r>
      <w:r>
        <w:t xml:space="preserve"> </w:t>
      </w:r>
      <w:r>
        <w:rPr>
          <w:i/>
          <w:iCs/>
        </w:rPr>
        <w:t xml:space="preserve">Artificial intelligence: American attitudes and trends</w:t>
      </w:r>
      <w:r>
        <w:t xml:space="preserve">. Centre for the Governance of AI, Future of Humanity Institute, University of Oxford.</w:t>
      </w:r>
    </w:p>
    <w:bookmarkEnd w:id="6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Information Deficit: Epistemic Cognition, Education, and the Formation of Complex AI Attitudes Among U.S. Adults</dc:title>
  <dc:creator>Hosung You</dc:creator>
  <cp:keywords/>
  <dcterms:created xsi:type="dcterms:W3CDTF">2026-02-23T00:02:28Z</dcterms:created>
  <dcterms:modified xsi:type="dcterms:W3CDTF">2026-02-23T00:02:28Z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Department of Learning and Performance Systems, Pennsylvania State University</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vt:lpwstr>
  </property>
  <property fmtid="{D5CDD505-2E9C-101B-9397-08002B2CF9AE}" pid="6" name="journal">
    <vt:lpwstr>International Journal of Artificial Intelligence in Education</vt:lpwstr>
  </property>
  <property fmtid="{D5CDD505-2E9C-101B-9397-08002B2CF9AE}" pid="7" name="output">
    <vt:lpwstr>word_document</vt:lpwstr>
  </property>
</Properties>
</file>