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54ed964de0ca3026c49dd9111dca5c69e5496d2"/>
    <w:p>
      <w:pPr>
        <w:pStyle w:val="Heading1"/>
      </w:pPr>
      <w:r>
        <w:t xml:space="preserve">Operational Definition Challenges of Core Constructs: An Evidence-Based Critical Review</w:t>
      </w:r>
    </w:p>
    <w:p>
      <w:pPr>
        <w:pStyle w:val="FirstParagraph"/>
      </w:pPr>
      <w:r>
        <w:rPr>
          <w:b/>
          <w:bCs/>
        </w:rPr>
        <w:t xml:space="preserve">Document Type</w:t>
      </w:r>
      <w:r>
        <w:t xml:space="preserve">: Internal Discussion Document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2026-02-27</w:t>
      </w:r>
      <w:r>
        <w:t xml:space="preserve"> </w:t>
      </w:r>
      <w:r>
        <w:rPr>
          <w:b/>
          <w:bCs/>
        </w:rPr>
        <w:t xml:space="preserve">Project</w:t>
      </w:r>
      <w:r>
        <w:t xml:space="preserve">: Effects of Agentic AI on Learning Outcomes Across Educational Contexts</w:t>
      </w:r>
      <w:r>
        <w:t xml:space="preserve"> </w:t>
      </w:r>
      <w:r>
        <w:rPr>
          <w:b/>
          <w:bCs/>
        </w:rPr>
        <w:t xml:space="preserve">Purpose</w:t>
      </w:r>
      <w:r>
        <w:t xml:space="preserve">: Critical review of operational definitions for key RQ constructs and alternative proposals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45b543f25018b258c1cb4867f1df525baa4e93">
        <w:r>
          <w:rPr>
            <w:rStyle w:val="Hyperlink"/>
          </w:rPr>
          <w:t xml:space="preserve">Problem Statement</w:t>
        </w:r>
      </w:hyperlink>
    </w:p>
    <w:p>
      <w:pPr>
        <w:pStyle w:val="Compact"/>
        <w:numPr>
          <w:ilvl w:val="0"/>
          <w:numId w:val="1001"/>
        </w:numPr>
      </w:pPr>
      <w:hyperlink w:anchor="X28aea6e3bf987a90108d3b7d8e98bf14de320ec">
        <w:r>
          <w:rPr>
            <w:rStyle w:val="Hyperlink"/>
          </w:rPr>
          <w:t xml:space="preserve">Operational Definition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“Agentic AI”</w:t>
        </w:r>
      </w:hyperlink>
    </w:p>
    <w:p>
      <w:pPr>
        <w:pStyle w:val="Compact"/>
        <w:numPr>
          <w:ilvl w:val="0"/>
          <w:numId w:val="1001"/>
        </w:numPr>
      </w:pPr>
      <w:hyperlink w:anchor="X7b3eeb8c604f9ff465215f8370065ff24b2602f">
        <w:r>
          <w:rPr>
            <w:rStyle w:val="Hyperlink"/>
          </w:rPr>
          <w:t xml:space="preserve">Human Oversight Levels and Checkpoints</w:t>
        </w:r>
      </w:hyperlink>
    </w:p>
    <w:p>
      <w:pPr>
        <w:pStyle w:val="Compact"/>
        <w:numPr>
          <w:ilvl w:val="0"/>
          <w:numId w:val="1001"/>
        </w:numPr>
      </w:pPr>
      <w:hyperlink w:anchor="Xab0ee49d1387f4ae8010087a25be681b9fe5a9d">
        <w:r>
          <w:rPr>
            <w:rStyle w:val="Hyperlink"/>
          </w:rPr>
          <w:t xml:space="preserve">Single-Agent vs. Multi-Agent Systems</w:t>
        </w:r>
      </w:hyperlink>
    </w:p>
    <w:p>
      <w:pPr>
        <w:pStyle w:val="Compact"/>
        <w:numPr>
          <w:ilvl w:val="0"/>
          <w:numId w:val="1001"/>
        </w:numPr>
      </w:pPr>
      <w:hyperlink w:anchor="Xa9441d4f1845b7ed95d824f922e2463a16ca781">
        <w:r>
          <w:rPr>
            <w:rStyle w:val="Hyperlink"/>
          </w:rPr>
          <w:t xml:space="preserve">Synthesis and Recommendations</w:t>
        </w:r>
      </w:hyperlink>
    </w:p>
    <w:p>
      <w:pPr>
        <w:pStyle w:val="Compact"/>
        <w:numPr>
          <w:ilvl w:val="0"/>
          <w:numId w:val="1001"/>
        </w:numPr>
      </w:pPr>
      <w:hyperlink w:anchor="X37afd669346d4c91657a0928e7ee770faa8e6b0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Three critical questions were raised regarding the core constructs of this meta-analysis: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exactly is</w:t>
      </w:r>
      <w:r>
        <w:rPr>
          <w:b/>
          <w:bCs/>
        </w:rPr>
        <w:t xml:space="preserve"> </w:t>
      </w:r>
      <w:r>
        <w:rPr>
          <w:b/>
          <w:bCs/>
        </w:rPr>
        <w:t xml:space="preserve">“Agentic AI”</w:t>
      </w:r>
      <w:r>
        <w:rPr>
          <w:b/>
          <w:bCs/>
        </w:rPr>
        <w:t xml:space="preserve">?</w:t>
      </w:r>
      <w:r>
        <w:t xml:space="preserve"> </w:t>
      </w:r>
      <w:r>
        <w:t xml:space="preserve">Does a consensus operational definition exist in the literature?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can</w:t>
      </w:r>
      <w:r>
        <w:rPr>
          <w:b/>
          <w:bCs/>
        </w:rPr>
        <w:t xml:space="preserve"> </w:t>
      </w:r>
      <w:r>
        <w:rPr>
          <w:b/>
          <w:bCs/>
        </w:rPr>
        <w:t xml:space="preserve">“checkpoints”</w:t>
      </w:r>
      <w:r>
        <w:rPr>
          <w:b/>
          <w:bCs/>
        </w:rPr>
        <w:t xml:space="preserve"> </w:t>
      </w:r>
      <w:r>
        <w:rPr>
          <w:b/>
          <w:bCs/>
        </w:rPr>
        <w:t xml:space="preserve">in RQ2 be operationally specified?</w:t>
      </w:r>
      <w:r>
        <w:t xml:space="preserve"> </w:t>
      </w:r>
      <w:r>
        <w:t xml:space="preserve">Is</w:t>
      </w:r>
      <w:r>
        <w:t xml:space="preserve"> </w:t>
      </w:r>
      <w:r>
        <w:t xml:space="preserve">“fully autonomous education”</w:t>
      </w:r>
      <w:r>
        <w:t xml:space="preserve"> </w:t>
      </w:r>
      <w:r>
        <w:t xml:space="preserve">realistically possible?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is the real difference between single-agent and multi-agent systems in educational practice</w:t>
      </w:r>
      <w:r>
        <w:t xml:space="preserve">, and how can this distinction be operationally recognized?</w:t>
      </w:r>
    </w:p>
    <w:p>
      <w:pPr>
        <w:pStyle w:val="FirstParagraph"/>
      </w:pPr>
      <w:r>
        <w:rPr>
          <w:b/>
          <w:bCs/>
        </w:rPr>
        <w:t xml:space="preserve">Core hypothesis</w:t>
      </w:r>
      <w:r>
        <w:t xml:space="preserve">: Substantial research exists in related areas, but the constructs lack established operational definitions, making meta-analytic synthesis problematic.</w:t>
      </w:r>
    </w:p>
    <w:p>
      <w:pPr>
        <w:pStyle w:val="BodyText"/>
      </w:pPr>
      <w:r>
        <w:t xml:space="preserve">This document examines this hypothesis through systematic review of the academic literature and proposes alternatives.</w:t>
      </w:r>
    </w:p>
    <w:p>
      <w:r>
        <w:pict>
          <v:rect style="width:0;height:1.5pt" o:hralign="center" o:hrstd="t" o:hr="t"/>
        </w:pict>
      </w:r>
    </w:p>
    <w:bookmarkEnd w:id="10"/>
    <w:bookmarkStart w:id="17" w:name="operational-definition-of-agentic-ai"/>
    <w:p>
      <w:pPr>
        <w:pStyle w:val="Heading2"/>
      </w:pPr>
      <w:r>
        <w:t xml:space="preserve">2. Operational Definition of</w:t>
      </w:r>
      <w:r>
        <w:t xml:space="preserve"> </w:t>
      </w:r>
      <w:r>
        <w:t xml:space="preserve">“Agentic AI”</w:t>
      </w:r>
    </w:p>
    <w:bookmarkStart w:id="13" w:name="X69bf7f70618bc5d46a067cfbdbe381f9bcfd6d2"/>
    <w:p>
      <w:pPr>
        <w:pStyle w:val="Heading3"/>
      </w:pPr>
      <w:r>
        <w:t xml:space="preserve">2.1 Key Finding: No Consensus Operational Definition Exists</w:t>
      </w:r>
    </w:p>
    <w:p>
      <w:pPr>
        <w:pStyle w:val="FirstParagraph"/>
      </w:pPr>
      <w:r>
        <w:t xml:space="preserve">“Agentic AI”</w:t>
      </w:r>
      <w:r>
        <w:t xml:space="preserve"> </w:t>
      </w:r>
      <w:r>
        <w:t xml:space="preserve">is widely used but poorly operationalized. Every major source reviewed acknowledges this explicitly or implicitly.</w:t>
      </w:r>
    </w:p>
    <w:bookmarkStart w:id="11" w:name="comparison-of-definitions-across-sources"/>
    <w:p>
      <w:pPr>
        <w:pStyle w:val="Heading4"/>
      </w:pPr>
      <w:r>
        <w:t xml:space="preserve">Comparison of Definitions Across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Definition Approach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  <w:r>
              <w:t xml:space="preserve"> </w:t>
            </w:r>
            <w:r>
              <w:t xml:space="preserve">(Shavit et al., 2023)</w:t>
            </w:r>
          </w:p>
        </w:tc>
        <w:tc>
          <w:tcPr/>
          <w:p>
            <w:pPr>
              <w:pStyle w:val="Compact"/>
            </w:pPr>
            <w:r>
              <w:t xml:space="preserve">“The degree to which a system can adaptably achieve complex goals in complex environments with limited direct supervision”</w:t>
            </w:r>
          </w:p>
        </w:tc>
        <w:tc>
          <w:tcPr/>
          <w:p>
            <w:pPr>
              <w:pStyle w:val="Compact"/>
            </w:pPr>
            <w:r>
              <w:t xml:space="preserve">Defined as a</w:t>
            </w:r>
            <w:r>
              <w:t xml:space="preserve"> </w:t>
            </w:r>
            <w:r>
              <w:rPr>
                <w:b/>
                <w:bCs/>
              </w:rPr>
              <w:t xml:space="preserve">continuum</w:t>
            </w:r>
            <w:r>
              <w:t xml:space="preserve"> </w:t>
            </w:r>
            <w:r>
              <w:t xml:space="preserve">– no clear boundary for</w:t>
            </w:r>
            <w:r>
              <w:t xml:space="preserve"> </w:t>
            </w:r>
            <w:r>
              <w:t xml:space="preserve">“agentic”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</w:t>
            </w:r>
            <w:r>
              <w:t xml:space="preserve"> </w:t>
            </w:r>
            <w:r>
              <w:t xml:space="preserve">(2024)</w:t>
            </w:r>
          </w:p>
        </w:tc>
        <w:tc>
          <w:tcPr/>
          <w:p>
            <w:pPr>
              <w:pStyle w:val="Compact"/>
            </w:pPr>
            <w:r>
              <w:t xml:space="preserve">Workflows (predefined code paths) vs. Agents (LLM dynamically directs own processes)</w:t>
            </w:r>
          </w:p>
        </w:tc>
        <w:tc>
          <w:tcPr/>
          <w:p>
            <w:pPr>
              <w:pStyle w:val="Compact"/>
            </w:pPr>
            <w:r>
              <w:t xml:space="preserve">Practical architectural distinction, not a measurement 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 AI Agent Index</w:t>
            </w:r>
            <w:r>
              <w:t xml:space="preserve"> </w:t>
            </w:r>
            <w:r>
              <w:t xml:space="preserve">(2025)</w:t>
            </w:r>
          </w:p>
        </w:tc>
        <w:tc>
          <w:tcPr/>
          <w:p>
            <w:pPr>
              <w:pStyle w:val="Compact"/>
            </w:pPr>
            <w:r>
              <w:t xml:space="preserve">Autonomy + Goal complexity + Environmental interaction + Generality;</w:t>
            </w:r>
            <w:r>
              <w:t xml:space="preserve"> </w:t>
            </w:r>
            <w:r>
              <w:t xml:space="preserve">“3+ autonomous tool calls”</w:t>
            </w:r>
          </w:p>
        </w:tc>
        <w:tc>
          <w:tcPr/>
          <w:p>
            <w:pPr>
              <w:pStyle w:val="Compact"/>
            </w:pPr>
            <w:r>
              <w:t xml:space="preserve">Most concrete attempt, but designed for classifying commercial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Yan et al. (2025) APCP</w:t>
            </w:r>
          </w:p>
        </w:tc>
        <w:tc>
          <w:tcPr/>
          <w:p>
            <w:pPr>
              <w:pStyle w:val="Compact"/>
            </w:pPr>
            <w:r>
              <w:t xml:space="preserve">Adaptive -&gt; Proactive -&gt; Co-Learner -&gt; Peer (4 levels)</w:t>
            </w:r>
          </w:p>
        </w:tc>
        <w:tc>
          <w:tcPr/>
          <w:p>
            <w:pPr>
              <w:pStyle w:val="Compact"/>
            </w:pPr>
            <w:r>
              <w:t xml:space="preserve">Best education-specific framework, but still conceptual; no empirical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Russell &amp; Norvig</w:t>
            </w:r>
            <w:r>
              <w:t xml:space="preserve"> </w:t>
            </w:r>
            <w:r>
              <w:t xml:space="preserve">(1995/2021)</w:t>
            </w:r>
          </w:p>
        </w:tc>
        <w:tc>
          <w:tcPr/>
          <w:p>
            <w:pPr>
              <w:pStyle w:val="Compact"/>
            </w:pPr>
            <w:r>
              <w:t xml:space="preserve">“Anything that can perceive its environment and act upon it”</w:t>
            </w:r>
          </w:p>
        </w:tc>
        <w:tc>
          <w:tcPr/>
          <w:p>
            <w:pPr>
              <w:pStyle w:val="Compact"/>
            </w:pPr>
            <w:r>
              <w:t xml:space="preserve">Under this definition, a thermostat qualifies as an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Suri et al. (2025)</w:t>
            </w:r>
          </w:p>
        </w:tc>
        <w:tc>
          <w:tcPr/>
          <w:p>
            <w:pPr>
              <w:pStyle w:val="Compact"/>
            </w:pPr>
            <w:r>
              <w:t xml:space="preserve">Attempted distinction between</w:t>
            </w:r>
            <w:r>
              <w:t xml:space="preserve"> </w:t>
            </w:r>
            <w:r>
              <w:t xml:space="preserve">“AI Agents”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“Agentic AI”</w:t>
            </w:r>
          </w:p>
        </w:tc>
        <w:tc>
          <w:tcPr/>
          <w:p>
            <w:pPr>
              <w:pStyle w:val="Compact"/>
            </w:pPr>
            <w:r>
              <w:t xml:space="preserve">The paper itself was written to address</w:t>
            </w:r>
            <w:r>
              <w:t xml:space="preserve"> </w:t>
            </w:r>
            <w:r>
              <w:t xml:space="preserve">“lack of consensus”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Bandi et al. (2025)</w:t>
            </w:r>
          </w:p>
        </w:tc>
        <w:tc>
          <w:tcPr/>
          <w:p>
            <w:pPr>
              <w:pStyle w:val="Compact"/>
            </w:pPr>
            <w:r>
              <w:t xml:space="preserve">Reviewed 143 studies; concluded</w:t>
            </w:r>
            <w:r>
              <w:t xml:space="preserve"> </w:t>
            </w:r>
            <w:r>
              <w:t xml:space="preserve">“no universally agreed upon definition”</w:t>
            </w:r>
          </w:p>
        </w:tc>
        <w:tc>
          <w:tcPr/>
          <w:p>
            <w:pPr>
              <w:pStyle w:val="Compact"/>
            </w:pPr>
            <w:r>
              <w:t xml:space="preserve">Meta-level confirmation of definitional chaos</w:t>
            </w:r>
          </w:p>
        </w:tc>
      </w:tr>
    </w:tbl>
    <w:bookmarkEnd w:id="11"/>
    <w:bookmarkStart w:id="12" w:name="X6c26b4e3d90b20254025478da112ab02c035886"/>
    <w:p>
      <w:pPr>
        <w:pStyle w:val="Heading4"/>
      </w:pPr>
      <w:r>
        <w:t xml:space="preserve">Shared Attributes Across Definitions (Family Resemblance)</w:t>
      </w:r>
    </w:p>
    <w:p>
      <w:pPr>
        <w:pStyle w:val="SourceCode"/>
      </w:pPr>
      <w:r>
        <w:rPr>
          <w:rStyle w:val="VerbatimChar"/>
        </w:rPr>
        <w:t xml:space="preserve">Autonomy                      &lt;- Present in nearly all definitions</w:t>
      </w:r>
      <w:r>
        <w:br/>
      </w:r>
      <w:r>
        <w:rPr>
          <w:rStyle w:val="VerbatimChar"/>
        </w:rPr>
        <w:t xml:space="preserve">Goal-directedness             &lt;- Present in most definitions</w:t>
      </w:r>
      <w:r>
        <w:br/>
      </w:r>
      <w:r>
        <w:rPr>
          <w:rStyle w:val="VerbatimChar"/>
        </w:rPr>
        <w:t xml:space="preserve">Tool use                      &lt;- Emphasized in CS/AI definitions</w:t>
      </w:r>
      <w:r>
        <w:br/>
      </w:r>
      <w:r>
        <w:rPr>
          <w:rStyle w:val="VerbatimChar"/>
        </w:rPr>
        <w:t xml:space="preserve">Planning                      &lt;- Emphasized in LLM-era definitions</w:t>
      </w:r>
      <w:r>
        <w:br/>
      </w:r>
      <w:r>
        <w:rPr>
          <w:rStyle w:val="VerbatimChar"/>
        </w:rPr>
        <w:t xml:space="preserve">Minimal human supervision     &lt;- Present in most definitions</w:t>
      </w:r>
      <w:r>
        <w:br/>
      </w:r>
      <w:r>
        <w:rPr>
          <w:rStyle w:val="VerbatimChar"/>
        </w:rPr>
        <w:t xml:space="preserve">Adaptability                  &lt;- Emphasized in education definitions</w:t>
      </w:r>
      <w:r>
        <w:br/>
      </w:r>
      <w:r>
        <w:rPr>
          <w:rStyle w:val="VerbatimChar"/>
        </w:rPr>
        <w:t xml:space="preserve">Multi-agent coordination      &lt;- Present in some definitions only</w:t>
      </w:r>
    </w:p>
    <w:p>
      <w:pPr>
        <w:pStyle w:val="BlockText"/>
      </w:pPr>
      <w:r>
        <w:rPr>
          <w:b/>
          <w:bCs/>
        </w:rPr>
        <w:t xml:space="preserve">Core problem</w:t>
      </w:r>
      <w:r>
        <w:t xml:space="preserve">: No definition specifies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each attribute is required for a system to qualify as</w:t>
      </w:r>
      <w:r>
        <w:t xml:space="preserve"> </w:t>
      </w:r>
      <w:r>
        <w:t xml:space="preserve">“agentic.”</w:t>
      </w:r>
    </w:p>
    <w:bookmarkEnd w:id="12"/>
    <w:bookmarkEnd w:id="13"/>
    <w:bookmarkStart w:id="14" w:name="Xc56703a3b1abc4d8ce10ebf63be007766060e95"/>
    <w:p>
      <w:pPr>
        <w:pStyle w:val="Heading3"/>
      </w:pPr>
      <w:r>
        <w:t xml:space="preserve">2.2 Assessment of the Current Study’s Operational Definition</w:t>
      </w:r>
    </w:p>
    <w:p>
      <w:pPr>
        <w:pStyle w:val="FirstParagraph"/>
      </w:pPr>
      <w:r>
        <w:t xml:space="preserve">The current protocol classifies a system as Agentic AI if it demonstrates</w:t>
      </w:r>
      <w:r>
        <w:t xml:space="preserve"> </w:t>
      </w:r>
      <w:r>
        <w:t xml:space="preserve">“at least one of six autonomous capabilities”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Overly broad</w:t>
            </w:r>
            <w:r>
              <w:t xml:space="preserve"> </w:t>
            </w:r>
            <w:r>
              <w:t xml:space="preserve">– includes most ITS from the 2000s; any CAI with difficulty adjustment qualifies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Proactive Intervention</w:t>
            </w:r>
          </w:p>
        </w:tc>
        <w:tc>
          <w:tcPr/>
          <w:p>
            <w:pPr>
              <w:pStyle w:val="Compact"/>
            </w:pPr>
            <w:r>
              <w:t xml:space="preserve">Relatively clear, but</w:t>
            </w:r>
            <w:r>
              <w:t xml:space="preserve"> </w:t>
            </w:r>
            <w:r>
              <w:t xml:space="preserve">“without explicit learner request”</w:t>
            </w:r>
            <w:r>
              <w:t xml:space="preserve"> </w:t>
            </w:r>
            <w:r>
              <w:t xml:space="preserve">criterion is ambiguous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Assessment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Overly broad</w:t>
            </w:r>
            <w:r>
              <w:t xml:space="preserve"> </w:t>
            </w:r>
            <w:r>
              <w:t xml:space="preserve">– includes most automated grading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Generation</w:t>
            </w:r>
          </w:p>
        </w:tc>
        <w:tc>
          <w:tcPr/>
          <w:p>
            <w:pPr>
              <w:pStyle w:val="Compact"/>
            </w:pPr>
            <w:r>
              <w:t xml:space="preserve">Boundary unclear – does Netflix-style recommendation qualify?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Dialogue Management</w:t>
            </w:r>
          </w:p>
        </w:tc>
        <w:tc>
          <w:tcPr/>
          <w:p>
            <w:pPr>
              <w:pStyle w:val="Compact"/>
            </w:pPr>
            <w:r>
              <w:t xml:space="preserve">Relatively 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Coordination</w:t>
            </w:r>
          </w:p>
        </w:tc>
        <w:tc>
          <w:tcPr/>
          <w:p>
            <w:pPr>
              <w:pStyle w:val="Compact"/>
            </w:pPr>
            <w:r>
              <w:t xml:space="preserve">Relatively clear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</w:t>
      </w:r>
      <w:r>
        <w:t xml:space="preserve">: The current operational definition effectively includes</w:t>
      </w:r>
      <w:r>
        <w:t xml:space="preserve"> </w:t>
      </w:r>
      <w:r>
        <w:t xml:space="preserve">“AI-enhanced Educational Technology in general”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“Agentic AI”</w:t>
      </w:r>
      <w:r>
        <w:t xml:space="preserve"> </w:t>
      </w:r>
      <w:r>
        <w:t xml:space="preserve">specifically. Adaptive ITS (2000s), automated scoring (2010s), and LLM tutors (2020s) are all grouped together despite fundamentally different technical mechanisms and pedagogical affordances.</w:t>
      </w:r>
    </w:p>
    <w:bookmarkEnd w:id="14"/>
    <w:bookmarkStart w:id="15" w:name="Xb323500d742a7a9bb3d8684b4e8c97f41a665fd"/>
    <w:p>
      <w:pPr>
        <w:pStyle w:val="Heading3"/>
      </w:pPr>
      <w:r>
        <w:t xml:space="preserve">2.3 Critical Review of Yan (2025) APCP Framework</w:t>
      </w:r>
    </w:p>
    <w:p>
      <w:pPr>
        <w:pStyle w:val="FirstParagraph"/>
      </w:pPr>
      <w:r>
        <w:t xml:space="preserve">The protocol claims APCP resolves this issue, but:</w:t>
      </w:r>
    </w:p>
    <w:p>
      <w:pPr>
        <w:pStyle w:val="Compact"/>
        <w:numPr>
          <w:ilvl w:val="0"/>
          <w:numId w:val="1003"/>
        </w:numPr>
      </w:pPr>
      <w:r>
        <w:t xml:space="preserve">It remains an empirically unvalidated conceptual framework</w:t>
      </w:r>
    </w:p>
    <w:p>
      <w:pPr>
        <w:pStyle w:val="Compact"/>
        <w:numPr>
          <w:ilvl w:val="0"/>
          <w:numId w:val="1003"/>
        </w:numPr>
      </w:pPr>
      <w:r>
        <w:t xml:space="preserve">Published as an arXiv preprint (peer review incomplete)</w:t>
      </w:r>
    </w:p>
    <w:p>
      <w:pPr>
        <w:pStyle w:val="Compact"/>
        <w:numPr>
          <w:ilvl w:val="0"/>
          <w:numId w:val="1003"/>
        </w:numPr>
      </w:pPr>
      <w:r>
        <w:t xml:space="preserve">Intercoder reliability for the 4-level coding is untested</w:t>
      </w:r>
    </w:p>
    <w:p>
      <w:pPr>
        <w:pStyle w:val="Compact"/>
        <w:numPr>
          <w:ilvl w:val="0"/>
          <w:numId w:val="1003"/>
        </w:numPr>
      </w:pPr>
      <w:r>
        <w:t xml:space="preserve">No application cases in educational field settings exist</w:t>
      </w:r>
    </w:p>
    <w:bookmarkEnd w:id="15"/>
    <w:bookmarkStart w:id="16" w:name="X5ea7b66bb7319ab36fb550b5e7f939283505b83"/>
    <w:p>
      <w:pPr>
        <w:pStyle w:val="Heading3"/>
      </w:pPr>
      <w:r>
        <w:t xml:space="preserve">2.4 Proposal: Two-Stage Operational Definition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Broad inclusion</w:t>
            </w:r>
            <w:r>
              <w:t xml:space="preserve"> </w:t>
            </w:r>
            <w:r>
              <w:t xml:space="preserve">(Search/Screening)</w:t>
            </w:r>
          </w:p>
        </w:tc>
        <w:tc>
          <w:tcPr/>
          <w:p>
            <w:pPr>
              <w:pStyle w:val="Compact"/>
            </w:pPr>
            <w:r>
              <w:t xml:space="preserve">Retain current 6 criteria -&gt; secure 40-80 studies</w:t>
            </w:r>
          </w:p>
        </w:tc>
        <w:tc>
          <w:tcPr/>
          <w:p>
            <w:pPr>
              <w:pStyle w:val="Compact"/>
            </w:pPr>
            <w:r>
              <w:t xml:space="preserve">Ensure statistical power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“Agenticity”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continuous variable coding</w:t>
            </w:r>
            <w:r>
              <w:t xml:space="preserve"> </w:t>
            </w:r>
            <w:r>
              <w:t xml:space="preserve">(Analysis)</w:t>
            </w:r>
          </w:p>
        </w:tc>
        <w:tc>
          <w:tcPr/>
          <w:p>
            <w:pPr>
              <w:pStyle w:val="Compact"/>
            </w:pPr>
            <w:r>
              <w:t xml:space="preserve">Code each study on MIT Index 4 dimensions (0-4): Autonomy, Goal complexity, Environmental interaction, Generality</w:t>
            </w:r>
          </w:p>
        </w:tc>
        <w:tc>
          <w:tcPr/>
          <w:p>
            <w:pPr>
              <w:pStyle w:val="Compact"/>
            </w:pPr>
            <w:r>
              <w:t xml:space="preserve">Reflects OpenAI’s</w:t>
            </w:r>
            <w:r>
              <w:t xml:space="preserve"> </w:t>
            </w:r>
            <w:r>
              <w:t xml:space="preserve">“continuum”</w:t>
            </w:r>
            <w:r>
              <w:t xml:space="preserve"> </w:t>
            </w:r>
            <w:r>
              <w:t xml:space="preserve">perspective</w:t>
            </w:r>
          </w:p>
        </w:tc>
      </w:tr>
    </w:tbl>
    <w:p>
      <w:pPr>
        <w:pStyle w:val="BodyText"/>
      </w:pPr>
      <w:r>
        <w:t xml:space="preserve">Advantages of this strategy:</w:t>
      </w:r>
      <w:r>
        <w:t xml:space="preserve"> </w:t>
      </w:r>
      <w:r>
        <w:t xml:space="preserve">- Avoids the arbitrariness of binary classification (</w:t>
      </w:r>
      <w:r>
        <w:t xml:space="preserve">“agentic/non-agentic”</w:t>
      </w:r>
      <w:r>
        <w:t xml:space="preserve">)</w:t>
      </w:r>
      <w:r>
        <w:t xml:space="preserve"> </w:t>
      </w:r>
      <w:r>
        <w:t xml:space="preserve">- Enables meta-regression with</w:t>
      </w:r>
      <w:r>
        <w:t xml:space="preserve"> </w:t>
      </w:r>
      <w:r>
        <w:t xml:space="preserve">“Agenticity”</w:t>
      </w:r>
      <w:r>
        <w:t xml:space="preserve"> </w:t>
      </w:r>
      <w:r>
        <w:t xml:space="preserve">score as a continuous moderator</w:t>
      </w:r>
      <w:r>
        <w:t xml:space="preserve"> </w:t>
      </w:r>
      <w:r>
        <w:t xml:space="preserve">- Testing whether higher agenticity predicts larger effects is itself a novel contribution</w:t>
      </w:r>
    </w:p>
    <w:p>
      <w:pPr>
        <w:pStyle w:val="SourceCode"/>
      </w:pPr>
      <w:r>
        <w:rPr>
          <w:rStyle w:val="VerbatimChar"/>
        </w:rPr>
        <w:t xml:space="preserve">[Figure 1] Agenticity Continuum Model</w:t>
      </w:r>
      <w:r>
        <w:br/>
      </w:r>
      <w:r>
        <w:br/>
      </w:r>
      <w:r>
        <w:rPr>
          <w:rStyle w:val="VerbatimChar"/>
        </w:rPr>
        <w:t xml:space="preserve">    Non-Agentic                                              Highly Agentic</w:t>
      </w:r>
      <w:r>
        <w:br/>
      </w:r>
      <w:r>
        <w:rPr>
          <w:rStyle w:val="VerbatimChar"/>
        </w:rPr>
        <w:t xml:space="preserve">    |----|----|----|----|----|----|----|----|----|----|</w:t>
      </w:r>
      <w:r>
        <w:br/>
      </w:r>
      <w:r>
        <w:rPr>
          <w:rStyle w:val="VerbatimChar"/>
        </w:rPr>
        <w:t xml:space="preserve">    0    1    2    3    4    5    6    7    8    9    10</w:t>
      </w:r>
      <w:r>
        <w:br/>
      </w:r>
      <w:r>
        <w:rPr>
          <w:rStyle w:val="VerbatimChar"/>
        </w:rPr>
        <w:t xml:space="preserve">    |         |              |              |         |</w:t>
      </w:r>
      <w:r>
        <w:br/>
      </w:r>
      <w:r>
        <w:rPr>
          <w:rStyle w:val="VerbatimChar"/>
        </w:rPr>
        <w:t xml:space="preserve">    Static    Adaptive ITS   Conversational Proactive  Autonomous</w:t>
      </w:r>
      <w:r>
        <w:br/>
      </w:r>
      <w:r>
        <w:rPr>
          <w:rStyle w:val="VerbatimChar"/>
        </w:rPr>
        <w:t xml:space="preserve">    content   (include,      tutors         agents     multi-agent</w:t>
      </w:r>
      <w:r>
        <w:br/>
      </w:r>
      <w:r>
        <w:rPr>
          <w:rStyle w:val="VerbatimChar"/>
        </w:rPr>
        <w:t xml:space="preserve">    (exclude) low score)     (mid score)    (high)     (highest)</w:t>
      </w:r>
      <w:r>
        <w:br/>
      </w:r>
      <w:r>
        <w:br/>
      </w:r>
      <w:r>
        <w:rPr>
          <w:rStyle w:val="VerbatimChar"/>
        </w:rPr>
        <w:t xml:space="preserve">    &lt;- Current criterion: include all scoring &gt;= 1 -&gt;</w:t>
      </w:r>
      <w:r>
        <w:br/>
      </w:r>
      <w:r>
        <w:rPr>
          <w:rStyle w:val="VerbatimChar"/>
        </w:rPr>
        <w:t xml:space="preserve">    &lt;- Proposed: include, then meta-regress on continuous score -&gt;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9" w:name="human-oversight-levels-and-checkpoints"/>
    <w:p>
      <w:pPr>
        <w:pStyle w:val="Heading2"/>
      </w:pPr>
      <w:r>
        <w:t xml:space="preserve">3. Human Oversight Levels and Checkpoints</w:t>
      </w:r>
    </w:p>
    <w:bookmarkStart w:id="20" w:name="Xdce9fa3582c7a0441c9e45000a83de20f45bd71"/>
    <w:p>
      <w:pPr>
        <w:pStyle w:val="Heading3"/>
      </w:pPr>
      <w:r>
        <w:t xml:space="preserve">3.1 Academic Status of</w:t>
      </w:r>
      <w:r>
        <w:t xml:space="preserve"> </w:t>
      </w:r>
      <w:r>
        <w:t xml:space="preserve">“Checkpoint”</w:t>
      </w:r>
      <w:r>
        <w:t xml:space="preserve"> </w:t>
      </w:r>
      <w:r>
        <w:t xml:space="preserve">Definitions</w:t>
      </w:r>
    </w:p>
    <w:p>
      <w:pPr>
        <w:pStyle w:val="FirstParagraph"/>
      </w:pPr>
      <w:r>
        <w:rPr>
          <w:b/>
          <w:bCs/>
        </w:rPr>
        <w:t xml:space="preserve">Key finding</w:t>
      </w:r>
      <w:r>
        <w:t xml:space="preserve">: The term</w:t>
      </w:r>
      <w:r>
        <w:t xml:space="preserve"> </w:t>
      </w:r>
      <w:r>
        <w:t xml:space="preserve">“checkpoint”</w:t>
      </w:r>
      <w:r>
        <w:t xml:space="preserve"> </w:t>
      </w:r>
      <w:r>
        <w:t xml:space="preserve">has no standardized operational definition in the AIED literature. Related frameworks exist, but none has been applied in an educational meta-analysis.</w:t>
      </w:r>
    </w:p>
    <w:bookmarkStart w:id="18" w:name="related-frameworks"/>
    <w:p>
      <w:pPr>
        <w:pStyle w:val="Heading4"/>
      </w:pPr>
      <w:r>
        <w:t xml:space="preserve">Related Frameworks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Applied in Education Meta-Analysis?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Parasuraman et al. (2000)</w:t>
            </w:r>
          </w:p>
        </w:tc>
        <w:tc>
          <w:tcPr/>
          <w:p>
            <w:pPr>
              <w:pStyle w:val="Compact"/>
            </w:pPr>
            <w:r>
              <w:t xml:space="preserve">10-level automation across 4 functions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Molenaar (2022)</w:t>
            </w:r>
          </w:p>
        </w:tc>
        <w:tc>
          <w:tcPr/>
          <w:p>
            <w:pPr>
              <w:pStyle w:val="Compact"/>
            </w:pPr>
            <w:r>
              <w:t xml:space="preserve">SAE-inspired 6-level educational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(conceptual proposal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 AI Act Art.14</w:t>
            </w:r>
          </w:p>
        </w:tc>
        <w:tc>
          <w:tcPr/>
          <w:p>
            <w:pPr>
              <w:pStyle w:val="Compact"/>
            </w:pPr>
            <w:r>
              <w:t xml:space="preserve">HITL / HOTL / HIC distinction</w:t>
            </w:r>
          </w:p>
        </w:tc>
        <w:tc>
          <w:tcPr/>
          <w:p>
            <w:pPr>
              <w:pStyle w:val="Compact"/>
            </w:pPr>
            <w:r>
              <w:t xml:space="preserve">Rarely used in education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Jia et al. (2024)</w:t>
            </w:r>
          </w:p>
        </w:tc>
        <w:tc>
          <w:tcPr/>
          <w:p>
            <w:pPr>
              <w:pStyle w:val="Compact"/>
            </w:pPr>
            <w:r>
              <w:t xml:space="preserve">Entity-Relationship analysis of 28 HITL-AIED studies</w:t>
            </w:r>
          </w:p>
        </w:tc>
        <w:tc>
          <w:tcPr/>
          <w:p>
            <w:pPr>
              <w:pStyle w:val="Compact"/>
            </w:pPr>
            <w:r>
              <w:t xml:space="preserve">Most studies described only 2-3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Cheng et al. (2026)</w:t>
            </w:r>
          </w:p>
        </w:tc>
        <w:tc>
          <w:tcPr/>
          <w:p>
            <w:pPr>
              <w:pStyle w:val="Compact"/>
            </w:pPr>
            <w:r>
              <w:t xml:space="preserve">Teacher-directed vs. self-directed (binary)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 instance in a meta-analysis</w:t>
            </w:r>
          </w:p>
        </w:tc>
      </w:tr>
    </w:tbl>
    <w:bookmarkEnd w:id="18"/>
    <w:bookmarkStart w:id="19" w:name="X6767ea7f27a6730161704dc4b1b5bff7cdcf023"/>
    <w:p>
      <w:pPr>
        <w:pStyle w:val="Heading4"/>
      </w:pPr>
      <w:r>
        <w:t xml:space="preserve">Oversight Coding in Existing Meta-Analyses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Meta-Analysis</w:t>
            </w:r>
          </w:p>
        </w:tc>
        <w:tc>
          <w:tcPr/>
          <w:p>
            <w:pPr>
              <w:pStyle w:val="Compact"/>
            </w:pPr>
            <w:r>
              <w:t xml:space="preserve">What Was Coded</w:t>
            </w:r>
          </w:p>
        </w:tc>
        <w:tc>
          <w:tcPr/>
          <w:p>
            <w:pPr>
              <w:pStyle w:val="Compact"/>
            </w:pPr>
            <w:r>
              <w:t xml:space="preserve">Oversight Level Coded?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 et al. (2014) ITS</w:t>
            </w:r>
          </w:p>
        </w:tc>
        <w:tc>
          <w:tcPr/>
          <w:p>
            <w:pPr>
              <w:pStyle w:val="Compact"/>
            </w:pPr>
            <w:r>
              <w:t xml:space="preserve">“Instructional context”</w:t>
            </w:r>
            <w:r>
              <w:t xml:space="preserve"> </w:t>
            </w:r>
            <w:r>
              <w:t xml:space="preserve">(4 categories)</w:t>
            </w:r>
          </w:p>
        </w:tc>
        <w:tc>
          <w:tcPr/>
          <w:p>
            <w:pPr>
              <w:pStyle w:val="Compact"/>
            </w:pPr>
            <w:r>
              <w:t xml:space="preserve">Instructional context, not oversight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Kulik &amp; Fletcher (2016)</w:t>
            </w:r>
          </w:p>
        </w:tc>
        <w:tc>
          <w:tcPr/>
          <w:p>
            <w:pPr>
              <w:pStyle w:val="Compact"/>
            </w:pPr>
            <w:r>
              <w:t xml:space="preserve">ITS type, comparison treatment</w:t>
            </w:r>
          </w:p>
        </w:tc>
        <w:tc>
          <w:tcPr/>
          <w:p>
            <w:pPr>
              <w:pStyle w:val="Compact"/>
            </w:pPr>
            <w:r>
              <w:t xml:space="preserve">Not coded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 et al. (2024)</w:t>
            </w:r>
          </w:p>
        </w:tc>
        <w:tc>
          <w:tcPr/>
          <w:p>
            <w:pPr>
              <w:pStyle w:val="Compact"/>
            </w:pPr>
            <w:r>
              <w:t xml:space="preserve">Agent role, AI technology, modality</w:t>
            </w:r>
          </w:p>
        </w:tc>
        <w:tc>
          <w:tcPr/>
          <w:p>
            <w:pPr>
              <w:pStyle w:val="Compact"/>
            </w:pPr>
            <w:r>
              <w:t xml:space="preserve">Not coded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Cheng et al. (2026)</w:t>
            </w:r>
          </w:p>
        </w:tc>
        <w:tc>
          <w:tcPr/>
          <w:p>
            <w:pPr>
              <w:pStyle w:val="Compact"/>
            </w:pPr>
            <w:r>
              <w:t xml:space="preserve">Teacher-directed vs. self-directed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level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 et al. (2024)</w:t>
            </w:r>
          </w:p>
        </w:tc>
        <w:tc>
          <w:tcPr/>
          <w:p>
            <w:pPr>
              <w:pStyle w:val="Compact"/>
            </w:pPr>
            <w:r>
              <w:t xml:space="preserve">Adaptive sources, adaptive targets</w:t>
            </w:r>
          </w:p>
        </w:tc>
        <w:tc>
          <w:tcPr/>
          <w:p>
            <w:pPr>
              <w:pStyle w:val="Compact"/>
            </w:pPr>
            <w:r>
              <w:t xml:space="preserve">Not coded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Vaccaro et al. (2024)</w:t>
            </w:r>
          </w:p>
        </w:tc>
        <w:tc>
          <w:tcPr/>
          <w:p>
            <w:pPr>
              <w:pStyle w:val="Compact"/>
            </w:pPr>
            <w:r>
              <w:t xml:space="preserve">Human+AI vs. human/AI alone</w:t>
            </w:r>
          </w:p>
        </w:tc>
        <w:tc>
          <w:tcPr/>
          <w:p>
            <w:pPr>
              <w:pStyle w:val="Compact"/>
            </w:pPr>
            <w:r>
              <w:t xml:space="preserve">Presence/absence only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Conclusion</w:t>
      </w:r>
      <w:r>
        <w:t xml:space="preserve">: No precedent exists for coding a graduated oversight scale in any AI/education meta-analysis.</w:t>
      </w:r>
    </w:p>
    <w:bookmarkEnd w:id="19"/>
    <w:bookmarkEnd w:id="20"/>
    <w:bookmarkStart w:id="24" w:name="is-fully-autonomous-education-realistic"/>
    <w:p>
      <w:pPr>
        <w:pStyle w:val="Heading3"/>
      </w:pPr>
      <w:r>
        <w:t xml:space="preserve">3.2 Is</w:t>
      </w:r>
      <w:r>
        <w:t xml:space="preserve"> </w:t>
      </w:r>
      <w:r>
        <w:t xml:space="preserve">“Fully Autonomous Education”</w:t>
      </w:r>
      <w:r>
        <w:t xml:space="preserve"> </w:t>
      </w:r>
      <w:r>
        <w:t xml:space="preserve">Realistic?</w:t>
      </w:r>
    </w:p>
    <w:bookmarkStart w:id="21" w:name="X81c6f0e3f367c6c41aa3f7aac78d3fa98b7ff9c"/>
    <w:p>
      <w:pPr>
        <w:pStyle w:val="Heading4"/>
      </w:pPr>
      <w:r>
        <w:t xml:space="preserve">It exists as a research construct but is not pedagogically endorsed</w:t>
      </w:r>
    </w:p>
    <w:p>
      <w:pPr>
        <w:pStyle w:val="FirstParagraph"/>
      </w:pPr>
      <w:r>
        <w:t xml:space="preserve">Real systems operating without a teacher present: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What It Does Autonomously</w:t>
            </w:r>
          </w:p>
        </w:tc>
        <w:tc>
          <w:tcPr/>
          <w:p>
            <w:pPr>
              <w:pStyle w:val="Compact"/>
            </w:pPr>
            <w:r>
              <w:t xml:space="preserve">What It Cannot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Duolingo</w:t>
            </w:r>
          </w:p>
        </w:tc>
        <w:tc>
          <w:tcPr/>
          <w:p>
            <w:pPr>
              <w:pStyle w:val="Compact"/>
            </w:pPr>
            <w:r>
              <w:t xml:space="preserve">Lessons, feedback, difficulty adaptation, pronunciation evaluation</w:t>
            </w:r>
          </w:p>
        </w:tc>
        <w:tc>
          <w:tcPr/>
          <w:p>
            <w:pPr>
              <w:pStyle w:val="Compact"/>
            </w:pPr>
            <w:r>
              <w:t xml:space="preserve">Social-emotional support, curriculum alignment, motivation crisis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Khan Academy</w:t>
            </w:r>
            <w:r>
              <w:t xml:space="preserve"> </w:t>
            </w:r>
            <w:r>
              <w:t xml:space="preserve">(self-paced)</w:t>
            </w:r>
          </w:p>
        </w:tc>
        <w:tc>
          <w:tcPr/>
          <w:p>
            <w:pPr>
              <w:pStyle w:val="Compact"/>
            </w:pPr>
            <w:r>
              <w:t xml:space="preserve">Videos, practice problems, mastery tracking</w:t>
            </w:r>
          </w:p>
        </w:tc>
        <w:tc>
          <w:tcPr/>
          <w:p>
            <w:pPr>
              <w:pStyle w:val="Compact"/>
            </w:pPr>
            <w:r>
              <w:t xml:space="preserve">Designed for teacher dashboard integration; teacher-free use is not the design intent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AutoTutor</w:t>
            </w:r>
            <w:r>
              <w:t xml:space="preserve"> </w:t>
            </w:r>
            <w:r>
              <w:t xml:space="preserve">(Graesser)</w:t>
            </w:r>
          </w:p>
        </w:tc>
        <w:tc>
          <w:tcPr/>
          <w:p>
            <w:pPr>
              <w:pStyle w:val="Compact"/>
            </w:pPr>
            <w:r>
              <w:t xml:space="preserve">~100 turns of natural language tutoring dialogue</w:t>
            </w:r>
          </w:p>
        </w:tc>
        <w:tc>
          <w:tcPr/>
          <w:p>
            <w:pPr>
              <w:pStyle w:val="Compact"/>
            </w:pPr>
            <w:r>
              <w:t xml:space="preserve">Research settings; d = 0.80 but rarely deployed in real classrooms without teachers</w:t>
            </w:r>
          </w:p>
        </w:tc>
      </w:tr>
    </w:tbl>
    <w:bookmarkEnd w:id="21"/>
    <w:bookmarkStart w:id="22" w:name="X32fc7b07fc930844a94d24e44a4ec8095a4548a"/>
    <w:p>
      <w:pPr>
        <w:pStyle w:val="Heading4"/>
      </w:pPr>
      <w:r>
        <w:t xml:space="preserve">Decisive Empirical Evidence: Bastani et al. (2025, PNAS)</w:t>
      </w:r>
    </w:p>
    <w:p>
      <w:pPr>
        <w:pStyle w:val="FirstParagraph"/>
      </w:pPr>
      <w:r>
        <w:t xml:space="preserve">Approximately 1,000 high school math students randomized to 3 groups: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Unrestricted ChatGPT</w:t>
      </w:r>
      <w:r>
        <w:t xml:space="preserve"> </w:t>
      </w:r>
      <w:r>
        <w:t xml:space="preserve">(no guardrails, no teacher involvement): 48% improvement during practice,</w:t>
      </w:r>
      <w:r>
        <w:t xml:space="preserve"> </w:t>
      </w:r>
      <w:r>
        <w:rPr>
          <w:b/>
          <w:bCs/>
        </w:rPr>
        <w:t xml:space="preserve">17% decline on exams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Teacher-designed guardrail ChatGPT</w:t>
      </w:r>
      <w:r>
        <w:t xml:space="preserve">: No harmful effect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 group</w:t>
      </w:r>
      <w:r>
        <w:t xml:space="preserve">: Baseline</w:t>
      </w:r>
    </w:p>
    <w:p>
      <w:pPr>
        <w:pStyle w:val="BlockText"/>
      </w:pPr>
      <w:r>
        <w:rPr>
          <w:b/>
          <w:bCs/>
        </w:rPr>
        <w:t xml:space="preserve">This is direct evidence that unsupervised autonomous AI education can actively harm learning.</w:t>
      </w:r>
    </w:p>
    <w:bookmarkEnd w:id="22"/>
    <w:bookmarkStart w:id="23" w:name="regulatory-reality"/>
    <w:p>
      <w:pPr>
        <w:pStyle w:val="Heading4"/>
      </w:pPr>
      <w:r>
        <w:t xml:space="preserve">Regulatory Reality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EU AI Act</w:t>
      </w:r>
      <w:r>
        <w:t xml:space="preserve">: Education classified as high-risk (Annex III). Art.14 mandates human oversight -&gt; Fully autonomous AI education violates EU law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UNESCO</w:t>
      </w:r>
      <w:r>
        <w:t xml:space="preserve"> </w:t>
      </w:r>
      <w:r>
        <w:t xml:space="preserve">(2023, 2024): Consistent position that AI is a support tool, not a teacher replacement</w:t>
      </w:r>
    </w:p>
    <w:bookmarkEnd w:id="23"/>
    <w:bookmarkEnd w:id="24"/>
    <w:bookmarkStart w:id="25" w:name="Xae084a7a9b71ae13d42faebf98fe53dc00d8e1e"/>
    <w:p>
      <w:pPr>
        <w:pStyle w:val="Heading3"/>
      </w:pPr>
      <w:r>
        <w:t xml:space="preserve">3.3 Reporting Quality of Teacher Involvement in Primary Studies</w:t>
      </w:r>
    </w:p>
    <w:p>
      <w:pPr>
        <w:pStyle w:val="FirstParagraph"/>
      </w:pPr>
      <w:r>
        <w:t xml:space="preserve">Reporting quality is extremely poor: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Topali et al. (2025)</w:t>
      </w:r>
      <w:r>
        <w:t xml:space="preserve">: Half of K-12 AIED papers lacked pedagogical foundation and course contextualization, without describing teacher roles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Jia et al. (2024)</w:t>
      </w:r>
      <w:r>
        <w:t xml:space="preserve">: Most of 28 HITL-AIED studies described only one-sided relationships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Stains &amp; Vickrey (2017)</w:t>
      </w:r>
      <w:r>
        <w:t xml:space="preserve">: Evidence-based instruction studies</w:t>
      </w:r>
      <w:r>
        <w:t xml:space="preserve"> </w:t>
      </w:r>
      <w:r>
        <w:t xml:space="preserve">“typically do not characterize instructors’ adherence to the practice”</w:t>
      </w:r>
    </w:p>
    <w:p>
      <w:pPr>
        <w:pStyle w:val="BlockText"/>
      </w:pPr>
      <w:r>
        <w:rPr>
          <w:b/>
          <w:bCs/>
        </w:rPr>
        <w:t xml:space="preserve">Implication</w:t>
      </w:r>
      <w:r>
        <w:t xml:space="preserve">: Even if we attempt to code oversight levels, most primary studies do not report what teachers actually did during AI use, forcing coders to rely on inference.</w:t>
      </w:r>
    </w:p>
    <w:bookmarkEnd w:id="25"/>
    <w:bookmarkStart w:id="26" w:name="Xb72434ddb3c9067216f7f6444eb8cef098696fc"/>
    <w:p>
      <w:pPr>
        <w:pStyle w:val="Heading3"/>
      </w:pPr>
      <w:r>
        <w:t xml:space="preserve">3.4 Proposed Taxonomy: Five Types of Checkpoints</w:t>
      </w:r>
    </w:p>
    <w:p>
      <w:pPr>
        <w:pStyle w:val="FirstParagraph"/>
      </w:pPr>
      <w:r>
        <w:t xml:space="preserve">Based on literature synthesis:</w:t>
      </w:r>
    </w:p>
    <w:p>
      <w:pPr>
        <w:pStyle w:val="SourceCode"/>
      </w:pPr>
      <w:r>
        <w:rPr>
          <w:rStyle w:val="VerbatimChar"/>
        </w:rPr>
        <w:t xml:space="preserve">[Figure 2] Temporal Placement of Checkpoint Types</w:t>
      </w:r>
      <w:r>
        <w:br/>
      </w:r>
      <w:r>
        <w:br/>
      </w:r>
      <w:r>
        <w:rPr>
          <w:rStyle w:val="VerbatimChar"/>
        </w:rPr>
        <w:t xml:space="preserve">    ──────────────── AI-Learner Interaction Timeline ────────────────</w:t>
      </w:r>
      <w:r>
        <w:br/>
      </w:r>
      <w:r>
        <w:rPr>
          <w:rStyle w:val="VerbatimChar"/>
        </w:rPr>
        <w:t xml:space="preserve">    |                    |                              |             |</w:t>
      </w:r>
      <w:r>
        <w:br/>
      </w:r>
      <w:r>
        <w:rPr>
          <w:rStyle w:val="VerbatimChar"/>
        </w:rPr>
        <w:t xml:space="preserve">    Pre-deployment       Real-time dashboard            Post-hoc</w:t>
      </w:r>
      <w:r>
        <w:br/>
      </w:r>
      <w:r>
        <w:rPr>
          <w:rStyle w:val="VerbatimChar"/>
        </w:rPr>
        <w:t xml:space="preserve">    gate (Type 1)        (Type 2)                       review (Type 4)</w:t>
      </w:r>
      <w:r>
        <w:br/>
      </w:r>
      <w:r>
        <w:rPr>
          <w:rStyle w:val="VerbatimChar"/>
        </w:rPr>
        <w:t xml:space="preserve">                              |           |</w:t>
      </w:r>
      <w:r>
        <w:br/>
      </w:r>
      <w:r>
        <w:rPr>
          <w:rStyle w:val="VerbatimChar"/>
        </w:rPr>
        <w:t xml:space="preserve">                         AI-triggered    Co-orchestration</w:t>
      </w:r>
      <w:r>
        <w:br/>
      </w:r>
      <w:r>
        <w:rPr>
          <w:rStyle w:val="VerbatimChar"/>
        </w:rPr>
        <w:t xml:space="preserve">                         alert (Type 3)  decision point (Type 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Real Example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1: Pre-deployment gate</w:t>
            </w:r>
          </w:p>
        </w:tc>
        <w:tc>
          <w:tcPr/>
          <w:p>
            <w:pPr>
              <w:pStyle w:val="Compact"/>
            </w:pPr>
            <w:r>
              <w:t xml:space="preserve">Teacher approves AI system configuration, content scope, and parameters before student interaction</w:t>
            </w:r>
          </w:p>
        </w:tc>
        <w:tc>
          <w:tcPr/>
          <w:p>
            <w:pPr>
              <w:pStyle w:val="Compact"/>
            </w:pPr>
            <w:r>
              <w:t xml:space="preserve">Khanmigo parameter setup; ChatGPT guardrail design (Bastani et al., 2025)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AI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2: Real-time dashboard</w:t>
            </w:r>
          </w:p>
        </w:tc>
        <w:tc>
          <w:tcPr/>
          <w:p>
            <w:pPr>
              <w:pStyle w:val="Compact"/>
            </w:pPr>
            <w:r>
              <w:t xml:space="preserve">Teacher monitors learner state in real-time during AI use</w:t>
            </w:r>
          </w:p>
        </w:tc>
        <w:tc>
          <w:tcPr/>
          <w:p>
            <w:pPr>
              <w:pStyle w:val="Compact"/>
            </w:pPr>
            <w:r>
              <w:t xml:space="preserve">Holstein et al. (2019) Lumilo smart glasses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3: AI-triggered alert</w:t>
            </w:r>
          </w:p>
        </w:tc>
        <w:tc>
          <w:tcPr/>
          <w:p>
            <w:pPr>
              <w:pStyle w:val="Compact"/>
            </w:pPr>
            <w:r>
              <w:t xml:space="preserve">AI flags a condition and notifies a human for intervention</w:t>
            </w:r>
          </w:p>
        </w:tc>
        <w:tc>
          <w:tcPr/>
          <w:p>
            <w:pPr>
              <w:pStyle w:val="Compact"/>
            </w:pPr>
            <w:r>
              <w:t xml:space="preserve">Early warning systems; student performance decline flags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4: Post-hoc review gate</w:t>
            </w:r>
          </w:p>
        </w:tc>
        <w:tc>
          <w:tcPr/>
          <w:p>
            <w:pPr>
              <w:pStyle w:val="Compact"/>
            </w:pPr>
            <w:r>
              <w:t xml:space="preserve">Teacher reviews AI-generated outputs after generation</w:t>
            </w:r>
          </w:p>
        </w:tc>
        <w:tc>
          <w:tcPr/>
          <w:p>
            <w:pPr>
              <w:pStyle w:val="Compact"/>
            </w:pPr>
            <w:r>
              <w:t xml:space="preserve">Eedi/DeepMind LearnLM teacher approval (2025)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AI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5: Co-orchestration decision point</w:t>
            </w:r>
          </w:p>
        </w:tc>
        <w:tc>
          <w:tcPr/>
          <w:p>
            <w:pPr>
              <w:pStyle w:val="Compact"/>
            </w:pPr>
            <w:r>
              <w:t xml:space="preserve">AI recommends an action and waits for teacher approval</w:t>
            </w:r>
          </w:p>
        </w:tc>
        <w:tc>
          <w:tcPr/>
          <w:p>
            <w:pPr>
              <w:pStyle w:val="Compact"/>
            </w:pPr>
            <w:r>
              <w:t xml:space="preserve">Lawrence et al. (2024) Pair-Up co-orchestration tool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 decision point</w:t>
            </w:r>
          </w:p>
        </w:tc>
      </w:tr>
    </w:tbl>
    <w:bookmarkEnd w:id="26"/>
    <w:bookmarkStart w:id="27" w:name="X5c7b8526fbf589482bbf7393be0fe8323f8972c"/>
    <w:p>
      <w:pPr>
        <w:pStyle w:val="Heading3"/>
      </w:pPr>
      <w:r>
        <w:t xml:space="preserve">3.5 Critique of the Current 3-Level Coding Scheme</w:t>
      </w:r>
    </w:p>
    <w:p>
      <w:pPr>
        <w:pStyle w:val="FirstParagraph"/>
      </w:pPr>
      <w:r>
        <w:t xml:space="preserve">Current protocol classification:</w:t>
      </w:r>
    </w:p>
    <w:p>
      <w:pPr>
        <w:pStyle w:val="SourceCode"/>
      </w:pPr>
      <w:r>
        <w:rPr>
          <w:rStyle w:val="VerbatimChar"/>
        </w:rPr>
        <w:t xml:space="preserve">Level 1: Fully autonomous -- AI acts without human review</w:t>
      </w:r>
      <w:r>
        <w:br/>
      </w:r>
      <w:r>
        <w:rPr>
          <w:rStyle w:val="VerbatimChar"/>
        </w:rPr>
        <w:t xml:space="preserve">Level 2: AI-led with checkpoints -- human reviews at defined intervals</w:t>
      </w:r>
      <w:r>
        <w:br/>
      </w:r>
      <w:r>
        <w:rPr>
          <w:rStyle w:val="VerbatimChar"/>
        </w:rPr>
        <w:t xml:space="preserve">Level 3: Human-led with AI support -- human retains primary control</w:t>
      </w:r>
    </w:p>
    <w:p>
      <w:pPr>
        <w:pStyle w:val="FirstParagraph"/>
      </w:pPr>
      <w:r>
        <w:rPr>
          <w:b/>
          <w:bCs/>
        </w:rPr>
        <w:t xml:space="preserve">Problem 1: Level 1 codes</w:t>
      </w:r>
      <w:r>
        <w:rPr>
          <w:b/>
          <w:bCs/>
        </w:rPr>
        <w:t xml:space="preserve"> </w:t>
      </w:r>
      <w:r>
        <w:rPr>
          <w:b/>
          <w:bCs/>
        </w:rPr>
        <w:t xml:space="preserve">“absence = autonomous.”</w:t>
      </w:r>
      <w:r>
        <w:t xml:space="preserve"> </w:t>
      </w:r>
      <w:r>
        <w:t xml:space="preserve">The decision rule states that if no oversight mechanism is described, the study is coded as fully autonomous. This systematically encodes</w:t>
      </w:r>
      <w:r>
        <w:t xml:space="preserve"> </w:t>
      </w:r>
      <w:r>
        <w:rPr>
          <w:b/>
          <w:bCs/>
        </w:rPr>
        <w:t xml:space="preserve">reporting bias</w:t>
      </w:r>
      <w:r>
        <w:t xml:space="preserve"> </w:t>
      </w:r>
      <w:r>
        <w:t xml:space="preserve">into the moderator variable. Older studies, word-limited conference papers, and CS-venue publications that do not describe pedagogical context are more likely to omit oversight descriptions, biasing Level 1 toward these papers.</w:t>
      </w:r>
    </w:p>
    <w:p>
      <w:pPr>
        <w:pStyle w:val="BodyText"/>
      </w:pPr>
      <w:r>
        <w:rPr>
          <w:b/>
          <w:bCs/>
        </w:rPr>
        <w:t xml:space="preserve">Problem 2: Level 2’s</w:t>
      </w:r>
      <w:r>
        <w:rPr>
          <w:b/>
          <w:bCs/>
        </w:rPr>
        <w:t xml:space="preserve"> </w:t>
      </w:r>
      <w:r>
        <w:rPr>
          <w:b/>
          <w:bCs/>
        </w:rPr>
        <w:t xml:space="preserve">“defined intervals”</w:t>
      </w:r>
      <w:r>
        <w:rPr>
          <w:b/>
          <w:bCs/>
        </w:rPr>
        <w:t xml:space="preserve"> </w:t>
      </w:r>
      <w:r>
        <w:rPr>
          <w:b/>
          <w:bCs/>
        </w:rPr>
        <w:t xml:space="preserve">are unverifiable.</w:t>
      </w:r>
      <w:r>
        <w:t xml:space="preserve"> </w:t>
      </w:r>
      <w:r>
        <w:t xml:space="preserve">Most primary studies do not report when, how frequently, or under what conditions teachers intervene. If the existence of</w:t>
      </w:r>
      <w:r>
        <w:t xml:space="preserve"> </w:t>
      </w:r>
      <w:r>
        <w:t xml:space="preserve">“checkpoints”</w:t>
      </w:r>
      <w:r>
        <w:t xml:space="preserve"> </w:t>
      </w:r>
      <w:r>
        <w:t xml:space="preserve">cannot be confirmed, Level 1 and Level 2 are indistinguishable.</w:t>
      </w:r>
    </w:p>
    <w:p>
      <w:pPr>
        <w:pStyle w:val="BodyText"/>
      </w:pPr>
      <w:r>
        <w:rPr>
          <w:b/>
          <w:bCs/>
        </w:rPr>
        <w:t xml:space="preserve">Problem 3: The Level 2 / Level 3 boundary is ambiguous.</w:t>
      </w:r>
      <w:r>
        <w:t xml:space="preserve"> </w:t>
      </w:r>
      <w:r>
        <w:t xml:space="preserve">The difference between</w:t>
      </w:r>
      <w:r>
        <w:t xml:space="preserve"> </w:t>
      </w:r>
      <w:r>
        <w:t xml:space="preserve">“AI-led with checkpoints”</w:t>
      </w:r>
      <w:r>
        <w:t xml:space="preserve"> </w:t>
      </w:r>
      <w:r>
        <w:t xml:space="preserve">and</w:t>
      </w:r>
      <w:r>
        <w:t xml:space="preserve"> </w:t>
      </w:r>
      <w:r>
        <w:t xml:space="preserve">“human-led with AI support”</w:t>
      </w:r>
      <w:r>
        <w:t xml:space="preserve"> </w:t>
      </w:r>
      <w:r>
        <w:t xml:space="preserve">is a continuum, not a discrete category.</w:t>
      </w:r>
    </w:p>
    <w:bookmarkEnd w:id="27"/>
    <w:bookmarkStart w:id="28" w:name="X0a309ce86811c2d0756e32881585c7e74b6500b"/>
    <w:p>
      <w:pPr>
        <w:pStyle w:val="Heading3"/>
      </w:pPr>
      <w:r>
        <w:t xml:space="preserve">3.6 Alternative Proposal: Hierarchical Coding Strategy</w:t>
      </w:r>
    </w:p>
    <w:p>
      <w:pPr>
        <w:pStyle w:val="FirstParagraph"/>
      </w:pPr>
      <w:r>
        <w:t xml:space="preserve">Given that Cheng et al. (2026) detected significant moderation effects using only binary coding: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analysis: Binary coding</w:t>
            </w:r>
          </w:p>
        </w:tc>
        <w:tc>
          <w:tcPr/>
          <w:p>
            <w:pPr>
              <w:pStyle w:val="Compact"/>
            </w:pPr>
            <w:r>
              <w:t xml:space="preserve">“Teacher involvement reported”</w:t>
            </w:r>
            <w:r>
              <w:t xml:space="preserve"> </w:t>
            </w:r>
            <w:r>
              <w:t xml:space="preserve">vs. </w:t>
            </w:r>
            <w:r>
              <w:t xml:space="preserve">“No teacher involvement / not reported”</w:t>
            </w:r>
            <w:r>
              <w:t xml:space="preserve"> </w:t>
            </w:r>
            <w:r>
              <w:t xml:space="preserve">– following Cheng et al. (2026) precedent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analysis: 3-level (exploratory)</w:t>
            </w:r>
          </w:p>
        </w:tc>
        <w:tc>
          <w:tcPr/>
          <w:p>
            <w:pPr>
              <w:pStyle w:val="Compact"/>
            </w:pPr>
            <w:r>
              <w:t xml:space="preserve">Apply 3-level coding only to the codeable subset; report if k is sufficient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“not reported”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Maintain</w:t>
            </w:r>
            <w:r>
              <w:t xml:space="preserve"> </w:t>
            </w:r>
            <w:r>
              <w:t xml:space="preserve">“not reported”</w:t>
            </w:r>
            <w:r>
              <w:t xml:space="preserve"> </w:t>
            </w:r>
            <w:r>
              <w:t xml:space="preserve">as distinct from</w:t>
            </w:r>
            <w:r>
              <w:t xml:space="preserve"> </w:t>
            </w:r>
            <w:r>
              <w:t xml:space="preserve">“fully autonomous”</w:t>
            </w:r>
            <w:r>
              <w:t xml:space="preserve"> </w:t>
            </w:r>
            <w:r>
              <w:t xml:space="preserve">to separate reporting bias from actual autonomy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[Figure 3] Proposed Hierarchical Coding Strategy</w:t>
      </w:r>
      <w:r>
        <w:br/>
      </w:r>
      <w:r>
        <w:br/>
      </w:r>
      <w:r>
        <w:rPr>
          <w:rStyle w:val="VerbatimChar"/>
        </w:rPr>
        <w:t xml:space="preserve">                    Full Study Pool (k = 40-80)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+------------+------------+</w:t>
      </w:r>
      <w:r>
        <w:br/>
      </w:r>
      <w:r>
        <w:rPr>
          <w:rStyle w:val="VerbatimChar"/>
        </w:rPr>
        <w:t xml:space="preserve">              |                         |</w:t>
      </w:r>
      <w:r>
        <w:br/>
      </w:r>
      <w:r>
        <w:rPr>
          <w:rStyle w:val="VerbatimChar"/>
        </w:rPr>
        <w:t xml:space="preserve">    Teacher involvement           Teacher involvement</w:t>
      </w:r>
      <w:r>
        <w:br/>
      </w:r>
      <w:r>
        <w:rPr>
          <w:rStyle w:val="VerbatimChar"/>
        </w:rPr>
        <w:t xml:space="preserve">    REPORTED                      NOT REPORTED</w:t>
      </w:r>
      <w:r>
        <w:br/>
      </w:r>
      <w:r>
        <w:rPr>
          <w:rStyle w:val="VerbatimChar"/>
        </w:rPr>
        <w:t xml:space="preserve">    (Primary: "present")          (Primary: "absent/unreported")</w:t>
      </w:r>
      <w:r>
        <w:br/>
      </w:r>
      <w:r>
        <w:rPr>
          <w:rStyle w:val="VerbatimChar"/>
        </w:rPr>
        <w:t xml:space="preserve">              |                         |</w:t>
      </w:r>
      <w:r>
        <w:br/>
      </w:r>
      <w:r>
        <w:rPr>
          <w:rStyle w:val="VerbatimChar"/>
        </w:rPr>
        <w:t xml:space="preserve">    +---------+---------+        Kept as separate category</w:t>
      </w:r>
      <w:r>
        <w:br/>
      </w:r>
      <w:r>
        <w:rPr>
          <w:rStyle w:val="VerbatimChar"/>
        </w:rPr>
        <w:t xml:space="preserve">    |         |         |        (distinguished from "autonomous")</w:t>
      </w:r>
      <w:r>
        <w:br/>
      </w:r>
      <w:r>
        <w:rPr>
          <w:rStyle w:val="VerbatimChar"/>
        </w:rPr>
        <w:t xml:space="preserve">  Level 3  Level 2   Level 1</w:t>
      </w:r>
      <w:r>
        <w:br/>
      </w:r>
      <w:r>
        <w:rPr>
          <w:rStyle w:val="VerbatimChar"/>
        </w:rPr>
        <w:t xml:space="preserve">  Human-   AI-led    Autonomous</w:t>
      </w:r>
      <w:r>
        <w:br/>
      </w:r>
      <w:r>
        <w:rPr>
          <w:rStyle w:val="VerbatimChar"/>
        </w:rPr>
        <w:t xml:space="preserve">  led      + CP      (explicit)</w:t>
      </w:r>
      <w:r>
        <w:br/>
      </w:r>
      <w:r>
        <w:rPr>
          <w:rStyle w:val="VerbatimChar"/>
        </w:rPr>
        <w:t xml:space="preserve">  (Secondary analysis: exploratory, only when k is sufficient)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3e042bf8e017d2bda7be54c9ad1a5338a4294a4"/>
    <w:p>
      <w:pPr>
        <w:pStyle w:val="Heading2"/>
      </w:pPr>
      <w:r>
        <w:t xml:space="preserve">4. Single-Agent vs. Multi-Agent: Operational Distinction</w:t>
      </w:r>
    </w:p>
    <w:bookmarkStart w:id="30" w:name="Xb3439935302c660e788025de5cacb6820a1019a"/>
    <w:p>
      <w:pPr>
        <w:pStyle w:val="Heading3"/>
      </w:pPr>
      <w:r>
        <w:t xml:space="preserve">4.1 Key Finding: Three Coexisting, Incompatible Definitions</w:t>
      </w:r>
    </w:p>
    <w:p>
      <w:pPr>
        <w:pStyle w:val="FirstParagraph"/>
      </w:pPr>
      <w:r>
        <w:t xml:space="preserve">The distinction is real but means entirely different things depending on who defines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Perspective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  <w:r>
              <w:t xml:space="preserve"> </w:t>
            </w:r>
            <w:r>
              <w:t xml:space="preserve">“Multi-Agent”</w:t>
            </w:r>
            <w:r>
              <w:t xml:space="preserve"> </w:t>
            </w:r>
            <w:r>
              <w:t xml:space="preserve">Means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Computer Science</w:t>
            </w:r>
            <w:r>
              <w:t xml:space="preserve"> </w:t>
            </w:r>
            <w:r>
              <w:t xml:space="preserve">(Wooldridge &amp; Jennings, 1995)</w:t>
            </w:r>
          </w:p>
        </w:tc>
        <w:tc>
          <w:tcPr/>
          <w:p>
            <w:pPr>
              <w:pStyle w:val="Compact"/>
            </w:pPr>
            <w:r>
              <w:t xml:space="preserve">2+ autonomous decision-making entities with private state interacting</w:t>
            </w:r>
          </w:p>
        </w:tc>
        <w:tc>
          <w:tcPr/>
          <w:p>
            <w:pPr>
              <w:pStyle w:val="Compact"/>
            </w:pPr>
            <w:r>
              <w:t xml:space="preserve">Architectural: private state + communication 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Educational Technology</w:t>
            </w:r>
            <w:r>
              <w:t xml:space="preserve"> </w:t>
            </w:r>
            <w:r>
              <w:t xml:space="preserve">(Lippert/Graesser et al., 2020)</w:t>
            </w:r>
          </w:p>
        </w:tc>
        <w:tc>
          <w:tcPr/>
          <w:p>
            <w:pPr>
              <w:pStyle w:val="Compact"/>
            </w:pPr>
            <w:r>
              <w:t xml:space="preserve">Learner interacts with 2+ distinguishable characters</w:t>
            </w:r>
          </w:p>
        </w:tc>
        <w:tc>
          <w:tcPr/>
          <w:p>
            <w:pPr>
              <w:pStyle w:val="Compact"/>
            </w:pPr>
            <w:r>
              <w:t xml:space="preserve">Phenomenological: learner’s perceptual experience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Era</w:t>
            </w:r>
            <w:r>
              <w:t xml:space="preserve"> </w:t>
            </w:r>
            <w:r>
              <w:t xml:space="preserve">(AutoGen, CrewAI)</w:t>
            </w:r>
          </w:p>
        </w:tc>
        <w:tc>
          <w:tcPr/>
          <w:p>
            <w:pPr>
              <w:pStyle w:val="Compact"/>
            </w:pPr>
            <w:r>
              <w:t xml:space="preserve">Multiple LLM invocations with different system prompts/tools</w:t>
            </w:r>
          </w:p>
        </w:tc>
        <w:tc>
          <w:tcPr/>
          <w:p>
            <w:pPr>
              <w:pStyle w:val="Compact"/>
            </w:pPr>
            <w:r>
              <w:t xml:space="preserve">Functional: role separation</w:t>
            </w:r>
          </w:p>
        </w:tc>
      </w:tr>
    </w:tbl>
    <w:bookmarkEnd w:id="30"/>
    <w:bookmarkStart w:id="31" w:name="Xedaeceb70dc8c9bc9a8ec48e23a67809939d8df"/>
    <w:p>
      <w:pPr>
        <w:pStyle w:val="Heading3"/>
      </w:pPr>
      <w:r>
        <w:t xml:space="preserve">4.2 Cases Where the Three Definitions Diverge Completely</w:t>
      </w:r>
    </w:p>
    <w:p>
      <w:pPr>
        <w:pStyle w:val="SourceCode"/>
      </w:pPr>
      <w:r>
        <w:rPr>
          <w:rStyle w:val="VerbatimChar"/>
        </w:rPr>
        <w:t xml:space="preserve">[Figure 4] Divergence of Three Definitions</w:t>
      </w:r>
      <w:r>
        <w:br/>
      </w:r>
      <w:r>
        <w:br/>
      </w:r>
      <w:r>
        <w:rPr>
          <w:rStyle w:val="VerbatimChar"/>
        </w:rPr>
        <w:t xml:space="preserve">Case A: Single LLM alternating between "tutor" and "peer" personas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Architectural:   SINGLE agent   &lt;- one model     |</w:t>
      </w:r>
      <w:r>
        <w:br/>
      </w:r>
      <w:r>
        <w:rPr>
          <w:rStyle w:val="VerbatimChar"/>
        </w:rPr>
        <w:t xml:space="preserve">|  Phenomenological: MULTI agent   &lt;- learner sees 2|</w:t>
      </w:r>
      <w:r>
        <w:br/>
      </w:r>
      <w:r>
        <w:rPr>
          <w:rStyle w:val="VerbatimChar"/>
        </w:rPr>
        <w:t xml:space="preserve">|  Functional:      MULTI role     &lt;- two roles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br/>
      </w:r>
      <w:r>
        <w:rPr>
          <w:rStyle w:val="VerbatimChar"/>
        </w:rPr>
        <w:t xml:space="preserve">Case B: 5 LLMs processing curriculum/assessment/strategy/reflection/memory in backend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Architectural:   MULTI agent    &lt;- 5 models      |</w:t>
      </w:r>
      <w:r>
        <w:br/>
      </w:r>
      <w:r>
        <w:rPr>
          <w:rStyle w:val="VerbatimChar"/>
        </w:rPr>
        <w:t xml:space="preserve">|  Phenomenological: SINGLE agent  &lt;- learner sees 1|</w:t>
      </w:r>
      <w:r>
        <w:br/>
      </w:r>
      <w:r>
        <w:rPr>
          <w:rStyle w:val="VerbatimChar"/>
        </w:rPr>
        <w:t xml:space="preserve">|  Functional:      MULTI role     &lt;- five roles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br/>
      </w:r>
      <w:r>
        <w:rPr>
          <w:rStyle w:val="VerbatimChar"/>
        </w:rPr>
        <w:t xml:space="preserve">Case C: AutoTutor trialogue (tutor agent + peer student agent + human)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Architectural:   MULTI agent    &lt;- 2 agents      |</w:t>
      </w:r>
      <w:r>
        <w:br/>
      </w:r>
      <w:r>
        <w:rPr>
          <w:rStyle w:val="VerbatimChar"/>
        </w:rPr>
        <w:t xml:space="preserve">|  Phenomenological: MULTI agent   &lt;- learner sees 2|</w:t>
      </w:r>
      <w:r>
        <w:br/>
      </w:r>
      <w:r>
        <w:rPr>
          <w:rStyle w:val="VerbatimChar"/>
        </w:rPr>
        <w:t xml:space="preserve">|  Functional:      MULTI role     &lt;- two roles     |</w:t>
      </w:r>
      <w:r>
        <w:br/>
      </w:r>
      <w:r>
        <w:rPr>
          <w:rStyle w:val="VerbatimChar"/>
        </w:rPr>
        <w:t xml:space="preserve">+--------------------------------------------------+</w:t>
      </w:r>
    </w:p>
    <w:bookmarkEnd w:id="31"/>
    <w:bookmarkStart w:id="32" w:name="what-matters-educationally"/>
    <w:p>
      <w:pPr>
        <w:pStyle w:val="Heading3"/>
      </w:pPr>
      <w:r>
        <w:t xml:space="preserve">4.3 What Matters Educationally?</w:t>
      </w:r>
    </w:p>
    <w:p>
      <w:pPr>
        <w:pStyle w:val="FirstParagraph"/>
      </w:pPr>
      <w:r>
        <w:t xml:space="preserve">Graesser’s research group found that in trialogues, when two agents</w:t>
      </w:r>
      <w:r>
        <w:t xml:space="preserve"> </w:t>
      </w:r>
      <w:r>
        <w:rPr>
          <w:b/>
          <w:bCs/>
        </w:rPr>
        <w:t xml:space="preserve">disagree</w:t>
      </w:r>
      <w:r>
        <w:t xml:space="preserve">, this triggers</w:t>
      </w:r>
      <w:r>
        <w:t xml:space="preserve"> </w:t>
      </w:r>
      <w:r>
        <w:rPr>
          <w:b/>
          <w:bCs/>
        </w:rPr>
        <w:t xml:space="preserve">productive confusion</w:t>
      </w:r>
      <w:r>
        <w:t xml:space="preserve"> </w:t>
      </w:r>
      <w:r>
        <w:t xml:space="preserve">leading to deeper learning. The mechanisms: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Cognitive disequilibrium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Vicarious learning</w:t>
      </w:r>
      <w:r>
        <w:t xml:space="preserve"> </w:t>
      </w:r>
      <w:r>
        <w:t xml:space="preserve">(observing agent-to-agent dialogue)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Social role modeling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phenomenological</w:t>
      </w:r>
      <w:r>
        <w:t xml:space="preserve"> </w:t>
      </w:r>
      <w:r>
        <w:t xml:space="preserve">multi-agent effect – what matters is that learners perceive multiple characters and experience the social dynamics between them.</w:t>
      </w:r>
    </w:p>
    <w:p>
      <w:pPr>
        <w:pStyle w:val="BodyText"/>
      </w:pPr>
      <w:r>
        <w:t xml:space="preserve">In contrast, 5 LLMs coordinating in the backend (</w:t>
      </w:r>
      <w:r>
        <w:rPr>
          <w:b/>
          <w:bCs/>
        </w:rPr>
        <w:t xml:space="preserve">architectural</w:t>
      </w:r>
      <w:r>
        <w:t xml:space="preserve"> </w:t>
      </w:r>
      <w:r>
        <w:t xml:space="preserve">multi-agent) are invisible to the learner, so the mechanism for affecting learning is entirely different (e.g., better content quality, more accurate assessment).</w:t>
      </w:r>
    </w:p>
    <w:bookmarkEnd w:id="32"/>
    <w:bookmarkStart w:id="33" w:name="X51c3b4a0a93ea3686edcdce0b9447636a802f48"/>
    <w:p>
      <w:pPr>
        <w:pStyle w:val="Heading3"/>
      </w:pPr>
      <w:r>
        <w:t xml:space="preserve">4.4 Decisive Counter-Evidence from Recent Research</w:t>
      </w:r>
    </w:p>
    <w:p>
      <w:pPr>
        <w:pStyle w:val="FirstParagraph"/>
      </w:pPr>
      <w:r>
        <w:t xml:space="preserve">Two 2026 papers provide strong evidence:</w:t>
      </w:r>
    </w:p>
    <w:p>
      <w:pPr>
        <w:pStyle w:val="BodyText"/>
      </w:pPr>
      <w:r>
        <w:rPr>
          <w:b/>
          <w:bCs/>
        </w:rPr>
        <w:t xml:space="preserve">“Rethinking the Value of Multi-Agent Workflow”</w:t>
      </w:r>
      <w:r>
        <w:rPr>
          <w:b/>
          <w:bCs/>
        </w:rPr>
        <w:t xml:space="preserve"> </w:t>
      </w:r>
      <w:r>
        <w:rPr>
          <w:b/>
          <w:bCs/>
        </w:rPr>
        <w:t xml:space="preserve">(arXiv, 2026)</w:t>
      </w:r>
      <w:r>
        <w:t xml:space="preserve"> </w:t>
      </w:r>
      <w:r>
        <w:t xml:space="preserve">- Across 7 benchmarks, single-agent (performing multiple roles sequentially) matched or exceeded multi-agent performance, at ~23% lower cost</w:t>
      </w:r>
      <w:r>
        <w:t xml:space="preserve"> </w:t>
      </w:r>
      <w:r>
        <w:t xml:space="preserve">- Mathematical proof: Homogeneous multi-agent systems = single-agent (when tool side-effects are deterministic and routing depends only on visible history)</w:t>
      </w:r>
    </w:p>
    <w:p>
      <w:pPr>
        <w:pStyle w:val="BodyText"/>
      </w:pPr>
      <w:r>
        <w:rPr>
          <w:b/>
          <w:bCs/>
        </w:rPr>
        <w:t xml:space="preserve">“When Single-Agent with Skills Replace Multi-Agent Systems”</w:t>
      </w:r>
      <w:r>
        <w:rPr>
          <w:b/>
          <w:bCs/>
        </w:rPr>
        <w:t xml:space="preserve"> </w:t>
      </w:r>
      <w:r>
        <w:rPr>
          <w:b/>
          <w:bCs/>
        </w:rPr>
        <w:t xml:space="preserve">(arXiv, 2026)</w:t>
      </w:r>
      <w:r>
        <w:t xml:space="preserve"> </w:t>
      </w:r>
      <w:r>
        <w:t xml:space="preserve">- Multi-agent overhead: 58%-515% increase in token usage, 30-50% increase in cloud costs</w:t>
      </w:r>
      <w:r>
        <w:t xml:space="preserve"> </w:t>
      </w:r>
      <w:r>
        <w:t xml:space="preserve">- Truly necessary only when: (a) complex interdependencies, (b) non-consolidatable domain expertise, (c) parallel processing needed, (d) emergent consensus required</w:t>
      </w:r>
    </w:p>
    <w:bookmarkEnd w:id="33"/>
    <w:bookmarkStart w:id="34" w:name="current-empirical-evidence"/>
    <w:p>
      <w:pPr>
        <w:pStyle w:val="Heading3"/>
      </w:pPr>
      <w:r>
        <w:t xml:space="preserve">4.5 Current Empirical Evidence</w:t>
      </w:r>
    </w:p>
    <w:p>
      <w:pPr>
        <w:pStyle w:val="FirstParagraph"/>
      </w:pPr>
      <w:r>
        <w:t xml:space="preserve">Direct comparison studies are extremely scarce: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Studies Found (k)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vs. </w:t>
            </w:r>
            <w:r>
              <w:rPr>
                <w:b/>
                <w:bCs/>
              </w:rPr>
              <w:t xml:space="preserve">single</w:t>
            </w:r>
            <w:r>
              <w:t xml:space="preserve"> </w:t>
            </w:r>
            <w:r>
              <w:t xml:space="preserve">agent, with learning outcomes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 = 2</w:t>
            </w:r>
            <w:r>
              <w:t xml:space="preserve"> </w:t>
            </w:r>
            <w:r>
              <w:t xml:space="preserve">(possibly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vs. 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agent/traditional, with learning outcomes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 = 7-9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vs. </w:t>
            </w:r>
            <w:r>
              <w:rPr>
                <w:b/>
                <w:bCs/>
              </w:rPr>
              <w:t xml:space="preserve">any</w:t>
            </w:r>
            <w:r>
              <w:t xml:space="preserve"> </w:t>
            </w:r>
            <w:r>
              <w:t xml:space="preserve">control, with learning outcomes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 ~ 9-11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Conclusion</w:t>
      </w:r>
      <w:r>
        <w:t xml:space="preserve">: The single vs. multi-agent subgroup comparison does not meet k &gt;= 4.</w:t>
      </w:r>
    </w:p>
    <w:bookmarkEnd w:id="34"/>
    <w:bookmarkStart w:id="35" w:name="proposal-reoperationalize-rq3"/>
    <w:p>
      <w:pPr>
        <w:pStyle w:val="Heading3"/>
      </w:pPr>
      <w:r>
        <w:t xml:space="preserve">4.6 Proposal: Reoperationalize RQ3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RQ3</w:t>
            </w:r>
          </w:p>
        </w:tc>
        <w:tc>
          <w:tcPr/>
          <w:p>
            <w:pPr>
              <w:pStyle w:val="Compact"/>
            </w:pPr>
            <w:r>
              <w:t xml:space="preserve">Proposed 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is the difference in effect sizes between single-agent and multi-agent systems?”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“Does the number of agents perceived by the learner (1 vs. 2+) moderate learning outcomes?”</w:t>
            </w:r>
          </w:p>
        </w:tc>
      </w:tr>
    </w:tbl>
    <w:p>
      <w:pPr>
        <w:pStyle w:val="BodyText"/>
      </w:pPr>
      <w:r>
        <w:t xml:space="preserve">Advantages of this reformulation:</w:t>
      </w:r>
      <w:r>
        <w:t xml:space="preserve"> </w:t>
      </w:r>
      <w:r>
        <w:t xml:space="preserve">1. Adopts</w:t>
      </w:r>
      <w:r>
        <w:t xml:space="preserve"> </w:t>
      </w:r>
      <w:r>
        <w:rPr>
          <w:b/>
          <w:bCs/>
        </w:rPr>
        <w:t xml:space="preserve">phenomenological definition</w:t>
      </w:r>
      <w:r>
        <w:t xml:space="preserve"> </w:t>
      </w:r>
      <w:r>
        <w:t xml:space="preserve">-&gt; dramatically improves coding reliability</w:t>
      </w:r>
      <w:r>
        <w:t xml:space="preserve"> </w:t>
      </w:r>
      <w:r>
        <w:t xml:space="preserve">2. Focuses on educationally meaningful mechanisms (social dynamics, vicarious learning)</w:t>
      </w:r>
      <w:r>
        <w:t xml:space="preserve"> </w:t>
      </w:r>
      <w:r>
        <w:t xml:space="preserve">3. Expands the codeable study pool (k = 7-9 becomes feasible)</w:t>
      </w:r>
      <w:r>
        <w:t xml:space="preserve"> </w:t>
      </w:r>
      <w:r>
        <w:t xml:space="preserve">4. Theoretically sound distinction between architecture and learner experience</w:t>
      </w:r>
    </w:p>
    <w:p>
      <w:pPr>
        <w:pStyle w:val="SourceCode"/>
      </w:pPr>
      <w:r>
        <w:rPr>
          <w:rStyle w:val="VerbatimChar"/>
        </w:rPr>
        <w:t xml:space="preserve">[Figure 5] Proposed RQ3 Reoperationalization</w:t>
      </w:r>
      <w:r>
        <w:br/>
      </w:r>
      <w:r>
        <w:br/>
      </w:r>
      <w:r>
        <w:rPr>
          <w:rStyle w:val="VerbatimChar"/>
        </w:rPr>
        <w:t xml:space="preserve">Current: Architecture-based distinction</w:t>
      </w:r>
      <w:r>
        <w:br/>
      </w:r>
      <w:r>
        <w:rPr>
          <w:rStyle w:val="VerbatimChar"/>
        </w:rPr>
        <w:t xml:space="preserve">+--------------+     +--------------+</w:t>
      </w:r>
      <w:r>
        <w:br/>
      </w:r>
      <w:r>
        <w:rPr>
          <w:rStyle w:val="VerbatimChar"/>
        </w:rPr>
        <w:t xml:space="preserve">| Single agent | vs  | Multi-agent  |  -&gt; k = 2-3 (insufficient)</w:t>
      </w:r>
      <w:r>
        <w:br/>
      </w:r>
      <w:r>
        <w:rPr>
          <w:rStyle w:val="VerbatimChar"/>
        </w:rPr>
        <w:t xml:space="preserve">| (1 backend)  |     | (2+ backend) |</w:t>
      </w:r>
      <w:r>
        <w:br/>
      </w:r>
      <w:r>
        <w:rPr>
          <w:rStyle w:val="VerbatimChar"/>
        </w:rPr>
        <w:t xml:space="preserve">+--------------+     +--------------+</w:t>
      </w:r>
      <w:r>
        <w:br/>
      </w:r>
      <w:r>
        <w:br/>
      </w:r>
      <w:r>
        <w:rPr>
          <w:rStyle w:val="VerbatimChar"/>
        </w:rPr>
        <w:t xml:space="preserve">Proposed: Learner experience-based distinction</w:t>
      </w:r>
      <w:r>
        <w:br/>
      </w:r>
      <w:r>
        <w:rPr>
          <w:rStyle w:val="VerbatimChar"/>
        </w:rPr>
        <w:t xml:space="preserve">+-------------------+     +-------------------+</w:t>
      </w:r>
      <w:r>
        <w:br/>
      </w:r>
      <w:r>
        <w:rPr>
          <w:rStyle w:val="VerbatimChar"/>
        </w:rPr>
        <w:t xml:space="preserve">| Single character   | vs  | Multiple characters|  -&gt; k = 7-9 (feasible)</w:t>
      </w:r>
      <w:r>
        <w:br/>
      </w:r>
      <w:r>
        <w:rPr>
          <w:rStyle w:val="VerbatimChar"/>
        </w:rPr>
        <w:t xml:space="preserve">| perceived          |     | perceived          |</w:t>
      </w:r>
      <w:r>
        <w:br/>
      </w:r>
      <w:r>
        <w:rPr>
          <w:rStyle w:val="VerbatimChar"/>
        </w:rPr>
        <w:t xml:space="preserve">| (learner sees 1)   |     | (learner sees 2+)  |</w:t>
      </w:r>
      <w:r>
        <w:br/>
      </w:r>
      <w:r>
        <w:rPr>
          <w:rStyle w:val="VerbatimChar"/>
        </w:rPr>
        <w:t xml:space="preserve">+-------------------+     +-------------------+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8aa9419910cc68c6862140ba684f570faadf104"/>
    <w:p>
      <w:pPr>
        <w:pStyle w:val="Heading2"/>
      </w:pPr>
      <w:r>
        <w:t xml:space="preserve">5. Synthesis: Fundamental Challenges and Solutions</w:t>
      </w:r>
    </w:p>
    <w:bookmarkStart w:id="37" w:name="X3a0432dc37803a1df06bbd36fe3134e22df1b13"/>
    <w:p>
      <w:pPr>
        <w:pStyle w:val="Heading3"/>
      </w:pPr>
      <w:r>
        <w:t xml:space="preserve">5.1 Common Problem Across All Three Constructs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Status of Academic Definition</w:t>
            </w:r>
          </w:p>
        </w:tc>
        <w:tc>
          <w:tcPr/>
          <w:p>
            <w:pPr>
              <w:pStyle w:val="Compact"/>
            </w:pPr>
            <w:r>
              <w:t xml:space="preserve">Coding Feasibility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Agentic AI</w:t>
            </w:r>
          </w:p>
        </w:tc>
        <w:tc>
          <w:tcPr/>
          <w:p>
            <w:pPr>
              <w:pStyle w:val="Compact"/>
            </w:pPr>
            <w:r>
              <w:t xml:space="preserve">No consensus – continuum, not category</w:t>
            </w:r>
          </w:p>
        </w:tc>
        <w:tc>
          <w:tcPr/>
          <w:p>
            <w:pPr>
              <w:pStyle w:val="Compact"/>
            </w:pPr>
            <w:r>
              <w:t xml:space="preserve">Binary inclusion/exclusion possible but arbitrary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oversight level</w:t>
            </w:r>
          </w:p>
        </w:tc>
        <w:tc>
          <w:tcPr/>
          <w:p>
            <w:pPr>
              <w:pStyle w:val="Compact"/>
            </w:pPr>
            <w:r>
              <w:t xml:space="preserve">Frameworks exist but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meta-analytic applications</w:t>
            </w:r>
          </w:p>
        </w:tc>
        <w:tc>
          <w:tcPr/>
          <w:p>
            <w:pPr>
              <w:pStyle w:val="Compact"/>
            </w:pPr>
            <w:r>
              <w:t xml:space="preserve">Binary feasible; 3-level risky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Single/multi-agent</w:t>
            </w:r>
          </w:p>
        </w:tc>
        <w:tc>
          <w:tcPr/>
          <w:p>
            <w:pPr>
              <w:pStyle w:val="Compact"/>
            </w:pPr>
            <w:r>
              <w:t xml:space="preserve">Three incompatible definitions coexist</w:t>
            </w:r>
          </w:p>
        </w:tc>
        <w:tc>
          <w:tcPr/>
          <w:p>
            <w:pPr>
              <w:pStyle w:val="Compact"/>
            </w:pPr>
            <w:r>
              <w:t xml:space="preserve">Only phenomenological definition reliably codeable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Core diagnosis</w:t>
      </w:r>
      <w:r>
        <w:t xml:space="preserve">: This is a</w:t>
      </w:r>
      <w:r>
        <w:t xml:space="preserve"> </w:t>
      </w:r>
      <w:r>
        <w:rPr>
          <w:b/>
          <w:bCs/>
        </w:rPr>
        <w:t xml:space="preserve">construct validity</w:t>
      </w:r>
      <w:r>
        <w:t xml:space="preserve"> </w:t>
      </w:r>
      <w:r>
        <w:t xml:space="preserve">problem. When what is being measured is unclear, even the most sophisticated meta-analysis produces ambiguous results.</w:t>
      </w:r>
    </w:p>
    <w:bookmarkEnd w:id="37"/>
    <w:bookmarkStart w:id="38" w:name="X5fe6865b094fe30854e67b3887500b3e0529c61"/>
    <w:p>
      <w:pPr>
        <w:pStyle w:val="Heading3"/>
      </w:pPr>
      <w:r>
        <w:t xml:space="preserve">5.2 Integrated Recommendations for Meta-Analysis Redesign</w:t>
      </w:r>
    </w:p>
    <w:p>
      <w:pPr>
        <w:pStyle w:val="FirstParagraph"/>
      </w:pPr>
      <w:r>
        <w:t xml:space="preserve">This is not a call to abandon the current design, but to adjust operationalization to be realistic.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Inclusion criteria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  <w:r>
              <w:t xml:space="preserve"> </w:t>
            </w:r>
            <w:r>
              <w:t xml:space="preserve">“Agentic AI”</w:t>
            </w:r>
            <w:r>
              <w:t xml:space="preserve"> </w:t>
            </w: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Retain, but add Agenticity continuous score (0-4) -&gt; meta-regression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RQ2 (Oversight)</w:t>
            </w:r>
          </w:p>
        </w:tc>
        <w:tc>
          <w:tcPr/>
          <w:p>
            <w:pPr>
              <w:pStyle w:val="Compact"/>
            </w:pPr>
            <w:r>
              <w:t xml:space="preserve">3-level categorical (primary moderator)</w:t>
            </w:r>
          </w:p>
        </w:tc>
        <w:tc>
          <w:tcPr/>
          <w:p>
            <w:pPr>
              <w:pStyle w:val="Compact"/>
            </w:pPr>
            <w:r>
              <w:t xml:space="preserve">Primary: Binary (teacher involvement yes/no) + Secondary: 3-level (exploratory)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RQ3 (Architecture)</w:t>
            </w:r>
          </w:p>
        </w:tc>
        <w:tc>
          <w:tcPr/>
          <w:p>
            <w:pPr>
              <w:pStyle w:val="Compact"/>
            </w:pPr>
            <w:r>
              <w:t xml:space="preserve">Single vs. multi-agent (primary moderator)</w:t>
            </w:r>
          </w:p>
        </w:tc>
        <w:tc>
          <w:tcPr/>
          <w:p>
            <w:pPr>
              <w:pStyle w:val="Compact"/>
            </w:pPr>
            <w:r>
              <w:t xml:space="preserve">Reoperationalize as</w:t>
            </w:r>
            <w:r>
              <w:t xml:space="preserve"> </w:t>
            </w:r>
            <w:r>
              <w:t xml:space="preserve">“learner-perceived agent count”</w:t>
            </w:r>
            <w:r>
              <w:t xml:space="preserve"> </w:t>
            </w:r>
            <w:r>
              <w:t xml:space="preserve">+ downgrade to exploratory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“Not reported”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handling</w:t>
            </w:r>
          </w:p>
        </w:tc>
        <w:tc>
          <w:tcPr/>
          <w:p>
            <w:pPr>
              <w:pStyle w:val="Compact"/>
            </w:pPr>
            <w:r>
              <w:t xml:space="preserve">Absence = fully autonomous</w:t>
            </w:r>
          </w:p>
        </w:tc>
        <w:tc>
          <w:tcPr/>
          <w:p>
            <w:pPr>
              <w:pStyle w:val="Compact"/>
            </w:pPr>
            <w:r>
              <w:t xml:space="preserve">“Not reported”</w:t>
            </w:r>
            <w:r>
              <w:t xml:space="preserve"> </w:t>
            </w:r>
            <w:r>
              <w:t xml:space="preserve">as independent category – separate reporting bias from actual autonomy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Theoretical basis</w:t>
            </w:r>
          </w:p>
        </w:tc>
        <w:tc>
          <w:tcPr/>
          <w:p>
            <w:pPr>
              <w:pStyle w:val="Compact"/>
            </w:pPr>
            <w:r>
              <w:t xml:space="preserve">Parasuraman 10-&gt;3 collapse</w:t>
            </w:r>
          </w:p>
        </w:tc>
        <w:tc>
          <w:tcPr/>
          <w:p>
            <w:pPr>
              <w:pStyle w:val="Compact"/>
            </w:pPr>
            <w:r>
              <w:t xml:space="preserve">Add Molenaar (2022) 6-level model as primary reference – education-specific framework</w:t>
            </w:r>
          </w:p>
        </w:tc>
      </w:tr>
    </w:tbl>
    <w:bookmarkEnd w:id="38"/>
    <w:bookmarkStart w:id="39" w:name="advantages-of-this-redesign"/>
    <w:p>
      <w:pPr>
        <w:pStyle w:val="Heading3"/>
      </w:pPr>
      <w:r>
        <w:t xml:space="preserve">5.3 Advantages of This Redesign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Enhanced transparency of operational definitions</w:t>
      </w:r>
      <w:r>
        <w:t xml:space="preserve"> </w:t>
      </w:r>
      <w:r>
        <w:t xml:space="preserve">-&gt; preemptive response to reviewer criticism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Improved coding reliability</w:t>
      </w:r>
      <w:r>
        <w:t xml:space="preserve"> </w:t>
      </w:r>
      <w:r>
        <w:t xml:space="preserve">-&gt; binary coding achieves higher kappa than 3-level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Honest acknowledgment of evidence gaps</w:t>
      </w:r>
      <w:r>
        <w:t xml:space="preserve"> </w:t>
      </w:r>
      <w:r>
        <w:t xml:space="preserve">-&gt; frames gaps as contributions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operational definition proposal itself becomes a contribution</w:t>
      </w:r>
      <w:r>
        <w:t xml:space="preserve"> </w:t>
      </w:r>
      <w:r>
        <w:t xml:space="preserve">-&gt; organizing what the literature lacks</w:t>
      </w:r>
    </w:p>
    <w:p>
      <w:pPr>
        <w:pStyle w:val="BlockText"/>
      </w:pPr>
      <w:r>
        <w:rPr>
          <w:b/>
          <w:bCs/>
        </w:rPr>
        <w:t xml:space="preserve">Key insight</w:t>
      </w:r>
      <w:r>
        <w:t xml:space="preserve">: The greatest contribution of this meta-analysis may not be a single effect size, but the</w:t>
      </w:r>
      <w:r>
        <w:t xml:space="preserve"> </w:t>
      </w:r>
      <w:r>
        <w:rPr>
          <w:b/>
          <w:bCs/>
        </w:rPr>
        <w:t xml:space="preserve">methodological framework for how to code human oversight in educational AI</w:t>
      </w:r>
      <w:r>
        <w:t xml:space="preserve">. Establishing a lineage from Parasuraman (2000) -&gt; Molenaar (2022) -&gt; this study’s education-meta-analysis-specific coding system would constitute an independent contribution.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references"/>
    <w:p>
      <w:pPr>
        <w:pStyle w:val="Heading2"/>
      </w:pPr>
      <w:r>
        <w:t xml:space="preserve">6. References</w:t>
      </w:r>
    </w:p>
    <w:bookmarkStart w:id="41" w:name="agentic-ai-definitions"/>
    <w:p>
      <w:pPr>
        <w:pStyle w:val="Heading3"/>
      </w:pPr>
      <w:r>
        <w:t xml:space="preserve">Agentic AI Definitions</w:t>
      </w:r>
    </w:p>
    <w:p>
      <w:pPr>
        <w:pStyle w:val="Compact"/>
        <w:numPr>
          <w:ilvl w:val="0"/>
          <w:numId w:val="1008"/>
        </w:numPr>
      </w:pPr>
      <w:r>
        <w:t xml:space="preserve">Bandi, A., et al. (2025). The Rise of Agentic AI: A Review of Definitions, Frameworks, Architectures, Applications, Evaluation Metrics, and Challenges.</w:t>
      </w:r>
      <w:r>
        <w:t xml:space="preserve"> </w:t>
      </w:r>
      <w:r>
        <w:rPr>
          <w:i/>
          <w:iCs/>
        </w:rPr>
        <w:t xml:space="preserve">Future Internet</w:t>
      </w:r>
      <w:r>
        <w:t xml:space="preserve">, 17(9), 404.</w:t>
      </w:r>
    </w:p>
    <w:p>
      <w:pPr>
        <w:pStyle w:val="Compact"/>
        <w:numPr>
          <w:ilvl w:val="0"/>
          <w:numId w:val="1008"/>
        </w:numPr>
      </w:pPr>
      <w:r>
        <w:t xml:space="preserve">Huyen, C. (2025). Agents. Blog post, January 2025.</w:t>
      </w:r>
    </w:p>
    <w:p>
      <w:pPr>
        <w:pStyle w:val="Compact"/>
        <w:numPr>
          <w:ilvl w:val="0"/>
          <w:numId w:val="1008"/>
        </w:numPr>
      </w:pPr>
      <w:r>
        <w:t xml:space="preserve">MIT (2025). The 2025 AI Agent Index. aiagentindex.mit.edu.</w:t>
      </w:r>
    </w:p>
    <w:p>
      <w:pPr>
        <w:pStyle w:val="Compact"/>
        <w:numPr>
          <w:ilvl w:val="0"/>
          <w:numId w:val="1008"/>
        </w:numPr>
      </w:pPr>
      <w:r>
        <w:t xml:space="preserve">OpenAI / Shavit, Y., et al. (2023). Practices for Governing Agentic AI Systems. OpenAI whitepaper.</w:t>
      </w:r>
    </w:p>
    <w:p>
      <w:pPr>
        <w:pStyle w:val="Compact"/>
        <w:numPr>
          <w:ilvl w:val="0"/>
          <w:numId w:val="1008"/>
        </w:numPr>
      </w:pPr>
      <w:r>
        <w:t xml:space="preserve">Anthropic (2024). Building Effective Agents. Blog post, December 2024.</w:t>
      </w:r>
    </w:p>
    <w:p>
      <w:pPr>
        <w:pStyle w:val="Compact"/>
        <w:numPr>
          <w:ilvl w:val="0"/>
          <w:numId w:val="1008"/>
        </w:numPr>
      </w:pPr>
      <w:r>
        <w:t xml:space="preserve">Russell, S. &amp; Norvig, P. (2021).</w:t>
      </w:r>
      <w:r>
        <w:t xml:space="preserve"> </w:t>
      </w:r>
      <w:r>
        <w:rPr>
          <w:i/>
          <w:iCs/>
        </w:rPr>
        <w:t xml:space="preserve">Artificial Intelligence: A Modern Approach</w:t>
      </w:r>
      <w:r>
        <w:t xml:space="preserve"> </w:t>
      </w:r>
      <w:r>
        <w:t xml:space="preserve">(4th ed.). Pearson.</w:t>
      </w:r>
    </w:p>
    <w:p>
      <w:pPr>
        <w:pStyle w:val="Compact"/>
        <w:numPr>
          <w:ilvl w:val="0"/>
          <w:numId w:val="1008"/>
        </w:numPr>
      </w:pPr>
      <w:r>
        <w:t xml:space="preserve">Suri, M., et al. (2025). AI Agents vs. Agentic AI: A Conceptual Taxonomy.</w:t>
      </w:r>
      <w:r>
        <w:t xml:space="preserve"> </w:t>
      </w:r>
      <w:r>
        <w:rPr>
          <w:i/>
          <w:iCs/>
        </w:rPr>
        <w:t xml:space="preserve">Information Fusion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Yan, L. (2025). From Passive Tool to Socio-cognitive Teammate: APCP Framework. arXiv:2508.14825.</w:t>
      </w:r>
    </w:p>
    <w:bookmarkEnd w:id="41"/>
    <w:bookmarkStart w:id="42" w:name="human-oversight-and-automation-levels"/>
    <w:p>
      <w:pPr>
        <w:pStyle w:val="Heading3"/>
      </w:pPr>
      <w:r>
        <w:t xml:space="preserve">Human Oversight and Automation Levels</w:t>
      </w:r>
    </w:p>
    <w:p>
      <w:pPr>
        <w:pStyle w:val="Compact"/>
        <w:numPr>
          <w:ilvl w:val="0"/>
          <w:numId w:val="1009"/>
        </w:numPr>
      </w:pPr>
      <w:r>
        <w:t xml:space="preserve">Bastani, H., et al. (2025). Generative AI without guardrails can harm learning.</w:t>
      </w:r>
      <w:r>
        <w:t xml:space="preserve"> </w:t>
      </w:r>
      <w:r>
        <w:rPr>
          <w:i/>
          <w:iCs/>
        </w:rPr>
        <w:t xml:space="preserve">PNAS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Cheng, L., et al. (2026). Do GenAI-powered pedagogical agents improve academic performance?</w:t>
      </w:r>
      <w:r>
        <w:t xml:space="preserve"> </w:t>
      </w:r>
      <w:r>
        <w:rPr>
          <w:i/>
          <w:iCs/>
        </w:rPr>
        <w:t xml:space="preserve">JCER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EU AI Act (2024). Article 14: Human Oversight.</w:t>
      </w:r>
    </w:p>
    <w:p>
      <w:pPr>
        <w:pStyle w:val="Compact"/>
        <w:numPr>
          <w:ilvl w:val="0"/>
          <w:numId w:val="1009"/>
        </w:numPr>
      </w:pPr>
      <w:r>
        <w:t xml:space="preserve">Holstein, K., et al. (2019). Co-Designing a Real-Time Classroom Orchestration Tool.</w:t>
      </w:r>
      <w:r>
        <w:t xml:space="preserve"> </w:t>
      </w:r>
      <w:r>
        <w:rPr>
          <w:i/>
          <w:iCs/>
        </w:rPr>
        <w:t xml:space="preserve">Journal of Learning Analytics</w:t>
      </w:r>
      <w:r>
        <w:t xml:space="preserve">, 6(2), 27-52.</w:t>
      </w:r>
    </w:p>
    <w:p>
      <w:pPr>
        <w:pStyle w:val="Compact"/>
        <w:numPr>
          <w:ilvl w:val="0"/>
          <w:numId w:val="1009"/>
        </w:numPr>
      </w:pPr>
      <w:r>
        <w:t xml:space="preserve">Jia, F., et al. (2024). Human-in-the-loop in AIED: A review and ER analysis.</w:t>
      </w:r>
      <w:r>
        <w:t xml:space="preserve"> </w:t>
      </w:r>
      <w:r>
        <w:rPr>
          <w:i/>
          <w:iCs/>
        </w:rPr>
        <w:t xml:space="preserve">CEAI</w:t>
      </w:r>
      <w:r>
        <w:t xml:space="preserve">, 6.</w:t>
      </w:r>
    </w:p>
    <w:p>
      <w:pPr>
        <w:pStyle w:val="Compact"/>
        <w:numPr>
          <w:ilvl w:val="0"/>
          <w:numId w:val="1009"/>
        </w:numPr>
      </w:pPr>
      <w:r>
        <w:t xml:space="preserve">Lawrence, L., et al. (2024). How teachers conceptualise shared control with an AI co-orchestration tool.</w:t>
      </w:r>
      <w:r>
        <w:t xml:space="preserve"> </w:t>
      </w:r>
      <w:r>
        <w:rPr>
          <w:i/>
          <w:iCs/>
        </w:rPr>
        <w:t xml:space="preserve">BJET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Molenaar, I. (2022). Towards hybrid human-AI learning technologies.</w:t>
      </w:r>
      <w:r>
        <w:t xml:space="preserve"> </w:t>
      </w:r>
      <w:r>
        <w:rPr>
          <w:i/>
          <w:iCs/>
        </w:rPr>
        <w:t xml:space="preserve">European Journal of Education</w:t>
      </w:r>
      <w:r>
        <w:t xml:space="preserve">, 57(4), 632-645.</w:t>
      </w:r>
    </w:p>
    <w:p>
      <w:pPr>
        <w:pStyle w:val="Compact"/>
        <w:numPr>
          <w:ilvl w:val="0"/>
          <w:numId w:val="1009"/>
        </w:numPr>
      </w:pPr>
      <w:r>
        <w:t xml:space="preserve">Parasuraman, R., et al. (2000). A model for types and levels of human interaction with automation.</w:t>
      </w:r>
      <w:r>
        <w:t xml:space="preserve"> </w:t>
      </w:r>
      <w:r>
        <w:rPr>
          <w:i/>
          <w:iCs/>
        </w:rPr>
        <w:t xml:space="preserve">IEEE Trans. SMC</w:t>
      </w:r>
      <w:r>
        <w:t xml:space="preserve">, 30(3), 286-297.</w:t>
      </w:r>
    </w:p>
    <w:p>
      <w:pPr>
        <w:pStyle w:val="Compact"/>
        <w:numPr>
          <w:ilvl w:val="0"/>
          <w:numId w:val="1009"/>
        </w:numPr>
      </w:pPr>
      <w:r>
        <w:t xml:space="preserve">Topali, P., et al. (2025). Pedagogical considerations in the automation era.</w:t>
      </w:r>
      <w:r>
        <w:t xml:space="preserve"> </w:t>
      </w:r>
      <w:r>
        <w:rPr>
          <w:i/>
          <w:iCs/>
        </w:rPr>
        <w:t xml:space="preserve">BERJ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UNESCO (2023). Guidance for generative AI in education and research.</w:t>
      </w:r>
    </w:p>
    <w:p>
      <w:pPr>
        <w:pStyle w:val="Compact"/>
        <w:numPr>
          <w:ilvl w:val="0"/>
          <w:numId w:val="1009"/>
        </w:numPr>
      </w:pPr>
      <w:r>
        <w:t xml:space="preserve">UNESCO (2024). AI Competency Framework for Teachers.</w:t>
      </w:r>
    </w:p>
    <w:bookmarkEnd w:id="42"/>
    <w:bookmarkStart w:id="43" w:name="singlemulti-agent-systems"/>
    <w:p>
      <w:pPr>
        <w:pStyle w:val="Heading3"/>
      </w:pPr>
      <w:r>
        <w:t xml:space="preserve">Single/Multi-Agent Systems</w:t>
      </w:r>
    </w:p>
    <w:p>
      <w:pPr>
        <w:pStyle w:val="Compact"/>
        <w:numPr>
          <w:ilvl w:val="0"/>
          <w:numId w:val="1010"/>
        </w:numPr>
      </w:pPr>
      <w:r>
        <w:t xml:space="preserve">Botti, V. (2025). Agentic AI and Multiagentic: Are We Reinventing the Wheel? arXiv:2506.01463.</w:t>
      </w:r>
    </w:p>
    <w:p>
      <w:pPr>
        <w:pStyle w:val="Compact"/>
        <w:numPr>
          <w:ilvl w:val="0"/>
          <w:numId w:val="1010"/>
        </w:numPr>
      </w:pPr>
      <w:r>
        <w:t xml:space="preserve">Goldberg, Y. (2024). What makes multi-agent LLM systems multi-agent? GitHub Gist.</w:t>
      </w:r>
    </w:p>
    <w:p>
      <w:pPr>
        <w:pStyle w:val="Compact"/>
        <w:numPr>
          <w:ilvl w:val="0"/>
          <w:numId w:val="1010"/>
        </w:numPr>
      </w:pPr>
      <w:r>
        <w:t xml:space="preserve">Lippert, A., et al. (2020). Multiple Agent Designs in Conversational ITS.</w:t>
      </w:r>
      <w:r>
        <w:t xml:space="preserve"> </w:t>
      </w:r>
      <w:r>
        <w:rPr>
          <w:i/>
          <w:iCs/>
        </w:rPr>
        <w:t xml:space="preserve">Technology, Knowledge and Learning</w:t>
      </w:r>
      <w:r>
        <w:t xml:space="preserve">, 25, 443-463.</w:t>
      </w:r>
    </w:p>
    <w:p>
      <w:pPr>
        <w:pStyle w:val="Compact"/>
        <w:numPr>
          <w:ilvl w:val="0"/>
          <w:numId w:val="1010"/>
        </w:numPr>
      </w:pPr>
      <w:r>
        <w:t xml:space="preserve">Rethinking the Value of Multi-Agent Workflow (2026). arXiv:2601.12307.</w:t>
      </w:r>
    </w:p>
    <w:p>
      <w:pPr>
        <w:pStyle w:val="Compact"/>
        <w:numPr>
          <w:ilvl w:val="0"/>
          <w:numId w:val="1010"/>
        </w:numPr>
      </w:pPr>
      <w:r>
        <w:t xml:space="preserve">When Single-Agent with Skills Replace Multi-Agent Systems (2026). arXiv:2601.04748.</w:t>
      </w:r>
    </w:p>
    <w:p>
      <w:pPr>
        <w:pStyle w:val="Compact"/>
        <w:numPr>
          <w:ilvl w:val="0"/>
          <w:numId w:val="1010"/>
        </w:numPr>
      </w:pPr>
      <w:r>
        <w:t xml:space="preserve">Wooldridge, M. &amp; Jennings, N.R. (1995). Intelligent Agents: Theory and Practice.</w:t>
      </w:r>
      <w:r>
        <w:t xml:space="preserve"> </w:t>
      </w:r>
      <w:r>
        <w:rPr>
          <w:i/>
          <w:iCs/>
        </w:rPr>
        <w:t xml:space="preserve">Knowledge Engineering Review</w:t>
      </w:r>
      <w:r>
        <w:t xml:space="preserve">, 10(2), 115-152.</w:t>
      </w:r>
    </w:p>
    <w:bookmarkEnd w:id="43"/>
    <w:bookmarkStart w:id="44" w:name="meta-analysis-methodology"/>
    <w:p>
      <w:pPr>
        <w:pStyle w:val="Heading3"/>
      </w:pPr>
      <w:r>
        <w:t xml:space="preserve">Meta-Analysis Methodology</w:t>
      </w:r>
    </w:p>
    <w:p>
      <w:pPr>
        <w:pStyle w:val="Compact"/>
        <w:numPr>
          <w:ilvl w:val="0"/>
          <w:numId w:val="1011"/>
        </w:numPr>
      </w:pPr>
      <w:r>
        <w:t xml:space="preserve">Dai, C.-P., et al. (2024). Effects of AI-Powered Virtual Agents.</w:t>
      </w:r>
      <w:r>
        <w:t xml:space="preserve"> </w:t>
      </w:r>
      <w:r>
        <w:rPr>
          <w:i/>
          <w:iCs/>
        </w:rPr>
        <w:t xml:space="preserve">Educational Psychology Review</w:t>
      </w:r>
      <w:r>
        <w:t xml:space="preserve">, 36, 31.</w:t>
      </w:r>
    </w:p>
    <w:p>
      <w:pPr>
        <w:pStyle w:val="Compact"/>
        <w:numPr>
          <w:ilvl w:val="0"/>
          <w:numId w:val="1011"/>
        </w:numPr>
      </w:pPr>
      <w:r>
        <w:t xml:space="preserve">Ma, W., et al. (2014). Intelligent Tutoring Systems and Learning Outcomes.</w:t>
      </w:r>
      <w:r>
        <w:t xml:space="preserve"> </w:t>
      </w:r>
      <w:r>
        <w:rPr>
          <w:i/>
          <w:iCs/>
        </w:rPr>
        <w:t xml:space="preserve">JEP</w:t>
      </w:r>
      <w:r>
        <w:t xml:space="preserve">, 106(4), 901-918.</w:t>
      </w:r>
    </w:p>
    <w:p>
      <w:pPr>
        <w:pStyle w:val="Compact"/>
        <w:numPr>
          <w:ilvl w:val="0"/>
          <w:numId w:val="1011"/>
        </w:numPr>
      </w:pPr>
      <w:r>
        <w:t xml:space="preserve">Vaccaro, M., et al. (2024). When combinations of humans and AI are useful.</w:t>
      </w:r>
      <w:r>
        <w:t xml:space="preserve"> </w:t>
      </w:r>
      <w:r>
        <w:rPr>
          <w:i/>
          <w:iCs/>
        </w:rPr>
        <w:t xml:space="preserve">Nature Human Behaviour</w:t>
      </w:r>
      <w:r>
        <w:t xml:space="preserve">, 8(12), 2293-2303.</w:t>
      </w:r>
    </w:p>
    <w:p>
      <w:pPr>
        <w:pStyle w:val="Compact"/>
        <w:numPr>
          <w:ilvl w:val="0"/>
          <w:numId w:val="1011"/>
        </w:numPr>
      </w:pPr>
      <w:r>
        <w:t xml:space="preserve">Wang, X., et al. (2024). The efficacy of AI-enabled adaptive learning systems.</w:t>
      </w:r>
      <w:r>
        <w:t xml:space="preserve"> </w:t>
      </w:r>
      <w:r>
        <w:rPr>
          <w:i/>
          <w:iCs/>
        </w:rPr>
        <w:t xml:space="preserve">JCER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for internal discussion purposes. Co-author review is recommended prior to final methodological decisions.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2026-02-27T14:42:48Z</dcterms:created>
  <dcterms:modified xsi:type="dcterms:W3CDTF">2026-02-27T14:42:48Z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