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4"/>
        </w:rPr>
        <w:t>Effects of Agentic AI on Learning Outcomes Across Educational Contexts:</w:t>
        <w:br/>
        <w:t>A Meta-Analysis with Implications for Human-AI Learning Orchestration</w:t>
      </w:r>
    </w:p>
    <w:p>
      <w:r>
        <w:br w:type="page"/>
      </w:r>
    </w:p>
    <w:p>
      <w:pPr>
        <w:pStyle w:val="Heading1"/>
      </w:pPr>
      <w:r>
        <w:t>Abstract</w:t>
      </w:r>
    </w:p>
    <w:p>
      <w:pPr>
        <w:ind w:firstLine="720"/>
      </w:pPr>
      <w:r>
        <w:rPr>
          <w:b/>
          <w:i/>
        </w:rPr>
        <w:t xml:space="preserve">Background: </w:t>
      </w:r>
      <w:r>
        <w:t>AI systems capable of autonomous pedagogical action are rapidly expanding across educational contexts, yet meta-analytic evidence on a critical design dimension remains absent: how should human oversight be calibrated during AI-assisted learning? Existing meta-analyses have examined intelligent tutoring systems (Ma et al., 2014) and AI virtual agents in simulations (Dai et al., 2024), but none have applied established automation level taxonomies (Parasuraman et al., 2000) to examine human oversight as a moderator of AI effectiveness in education, a gap made pressing by emerging AI governance mandates requiring human oversight of high-risk AI systems, including those deployed in education (EU AI Act, 2024).</w:t>
      </w:r>
    </w:p>
    <w:p>
      <w:pPr>
        <w:ind w:firstLine="720"/>
      </w:pPr>
      <w:r>
        <w:rPr>
          <w:b/>
          <w:i/>
        </w:rPr>
        <w:t xml:space="preserve">Purpose: </w:t>
      </w:r>
      <w:r>
        <w:t>This meta-analysis synthesizes empirical evidence on the effects of agentic AI on learning outcomes across K-12, higher education, and workplace training contexts. Five research questions guide the analysis: (1) the overall effect of agentic AI on learning outcomes; (2) the moderating role of human oversight level, specifically fully autonomous, AI-led with human checkpoints, and human-led with AI support, coded using a three-level taxonomy grounded in automation theory; (3) the comparative effectiveness of single-agent versus multi-agent architectures; (4) differential effects across learning contexts; and (5) the derivation of empirically grounded design principles for the HALO (Human-AI Learning Orchestration) Framework.</w:t>
      </w:r>
    </w:p>
    <w:p>
      <w:pPr>
        <w:ind w:firstLine="720"/>
      </w:pPr>
      <w:r>
        <w:rPr>
          <w:b/>
          <w:i/>
        </w:rPr>
        <w:t xml:space="preserve">Method: </w:t>
      </w:r>
      <w:r>
        <w:t xml:space="preserve">Following PRISMA 2020 guidelines, six databases (Web of Science, Scopus, ERIC, PsycINFO, IEEE Xplore, and ACM Digital Library) are searched for experimental and quasi-experimental studies published between 2018 and 2025. Agentic AI is operationally defined as AI systems exhibiting autonomous pedagogical action across the agency spectrum, from adaptive response through peer-level interaction (Yan, 2025). Effect sizes are computed as Hedges' </w:t>
      </w:r>
      <w:r>
        <w:rPr>
          <w:i/>
        </w:rPr>
        <w:t>g</w:t>
      </w:r>
      <w:r>
        <w:t xml:space="preserve"> within a random-effects framework (REML estimator), with robust variance estimation (RVE) to handle dependent effect sizes. Moderator analyses employ three-level meta-analytic models with robust inference via cluster-robust variance estimation.</w:t>
      </w:r>
    </w:p>
    <w:p>
      <w:pPr>
        <w:ind w:firstLine="720"/>
      </w:pPr>
      <w:r>
        <w:rPr>
          <w:b/>
          <w:i/>
        </w:rPr>
        <w:t xml:space="preserve">Expected Contributions: </w:t>
      </w:r>
      <w:r>
        <w:t>This study introduces human oversight level as a novel moderator in educational AI meta-analysis, drawing on established automation level frameworks (Parasuraman et al., 2000) and responsive to current AI governance requirements (EU AI Act, 2024). Additionally, moderator analysis results are systematically mapped to the HALO (Human-AI Learning Orchestration) Framework, a three-layer evidence-based architecture (Foundation, Protocol, Orchestration) that translates meta-analytic findings into actionable design principles for AI agent-based learning systems across educational contexts.</w:t>
      </w:r>
    </w:p>
    <w:p>
      <w:pPr>
        <w:ind w:firstLine="720"/>
      </w:pPr>
      <w:r>
        <w:rPr>
          <w:i/>
        </w:rPr>
        <w:t xml:space="preserve">Keywords: </w:t>
      </w:r>
      <w:r>
        <w:t>agentic AI, meta-analysis, learning outcomes, human oversight, automation levels, multi-agent systems, HALO framework, educational technology</w:t>
      </w:r>
    </w:p>
    <w:p>
      <w:r>
        <w:br w:type="page"/>
      </w:r>
    </w:p>
    <w:p>
      <w:pPr>
        <w:pStyle w:val="Heading1"/>
      </w:pPr>
      <w:r>
        <w:t>1. Introduction</w:t>
      </w:r>
    </w:p>
    <w:p>
      <w:pPr>
        <w:ind w:firstLine="720"/>
      </w:pPr>
      <w:r>
        <w:t>Artificial intelligence systems capable of autonomous pedagogical action, from adaptive tutoring to peer-level collaboration, are rapidly proliferating across educational settings. In K-12 classrooms, AI tutors adapt instruction in real time to individual learner performance; in higher education, conversational AI agents scaffold academic writing and problem-solving; in workplace training, multi-agent systems coordinate specialized roles to deliver personalized professional development (Kasneci et al., 2023; Ouyang &amp; Jiao, 2021). This new generation of educational AI, increasingly characterized as "agentic" for its capacity to set goals, monitor progress, and initiate actions without continuous human direction, represents a qualitative shift from earlier AI tools that served primarily as content delivery or information retrieval mechanisms.</w:t>
      </w:r>
    </w:p>
    <w:p>
      <w:pPr>
        <w:ind w:firstLine="720"/>
      </w:pPr>
      <w:r>
        <w:t>Yet this rapid deployment has outpaced the development of evidence-based design principles. A critical question, largely unaddressed by the existing evidence base, concerns the calibration of human oversight: when should these AI systems operate autonomously, when should human educators intervene, and how should this balance be configured across different learning contexts? This question has gained particular urgency following the enactment of the European Union's AI Act (2024), which mandates human oversight for high-risk AI systems, a category that explicitly includes AI deployed in educational contexts (Article 14). Without meta-analytic evidence on how different levels of human oversight moderate AI effectiveness in education, practitioners and policymakers lack a principled basis for meeting governance requirements while maximizing learning outcomes.</w:t>
      </w:r>
    </w:p>
    <w:p>
      <w:pPr>
        <w:ind w:firstLine="720"/>
      </w:pPr>
      <w:r>
        <w:t>The existing meta-analytic literature, while informative, leaves three significant gaps that the present study addresses. First, prior meta-analyses have focused on specific AI subtypes, including intelligent tutoring systems (Ma et al., 2014; Kulik &amp; Fletcher, 2016), virtual agents in simulations (Dai et al., 2024), and pedagogical agents (Schroeder et al., 2013), rather than examining the full agency spectrum of AI systems now deployed in education. As AI capabilities have expanded from adaptive response to peer-level interaction (Yan, 2025), a synthesis that captures this full spectrum is needed. Second, no meta-analysis has examined human oversight level as a moderator of AI effectiveness, despite the theoretical and regulatory importance of this design dimension. Existing reviews have coded moderators such as subject domain, comparison condition, and study design, but the degree of human involvement during AI-mediated learning has been entirely absent from the evidence base. Third, the emergence of multi-agent AI architectures (systems in which multiple specialized agents coordinate to support different aspects of learning) introduces a design dimension whose effects have not been quantified at the meta-analytic level.</w:t>
      </w:r>
    </w:p>
    <w:p>
      <w:pPr>
        <w:ind w:firstLine="720"/>
      </w:pPr>
      <w:r>
        <w:t>This study addresses these gaps through a comprehensive meta-analysis of agentic AI effects on learning outcomes across K-12, higher education, and workplace training contexts. Drawing on established automation level frameworks (Parasuraman et al., 2000) and recent educational AI taxonomies (Yan, 2025; Yang, 2025), the study introduces human oversight level as a novel moderator, examines single-agent versus multi-agent architectures, and compares effects across learning contexts. Five research questions guide the analysis: (1) the overall effect of agentic AI on learning outcomes; (2) the moderating role of human oversight level; (3) the comparative effectiveness of single-agent versus multi-agent architectures; (4) differential effects across learning contexts; and (5) the derivation of empirically grounded design principles.</w:t>
      </w:r>
    </w:p>
    <w:p>
      <w:pPr>
        <w:ind w:firstLine="720"/>
      </w:pPr>
      <w:r>
        <w:t>The study makes two primary contributions. First, it provides the first meta-analytic examination of human oversight level as a moderator of agentic AI effectiveness in education, grounding this novel moderator in Parasuraman et al.'s (2000) established automation level taxonomy and connecting it to current AI governance requirements. Second, it derives the HALO (Human-AI Learning Orchestration) Framework, a three-layer, evidence-based architecture that systematically maps moderator analysis results to actionable design principles for AI agent-based learning systems. By translating meta-analytic findings into a structured design framework, this study bridges the gap between empirical evidence and educational AI practice.</w:t>
      </w:r>
    </w:p>
    <w:p>
      <w:pPr>
        <w:ind w:firstLine="720"/>
      </w:pPr>
      <w:r>
        <w:t>The remainder of this paper is organized as follows. Section 2 reviews the relevant literature and presents the theoretical foundations informing the research questions. Section 3 introduces the initial (pre-analysis) version of the HALO Framework. Section 4 describes the meta-analytic method. Section 5 reports the results. Section 6 presents the refined, evidence-based HALO Framework. Section 7 discusses theoretical and practical implications. Section 8 concludes with directions for future research.</w:t>
      </w:r>
    </w:p>
    <w:p>
      <w:pPr>
        <w:pStyle w:val="Heading1"/>
      </w:pPr>
      <w:r>
        <w:t>2. Literature Review and Theoretical Framework</w:t>
      </w:r>
    </w:p>
    <w:p>
      <w:pPr>
        <w:pStyle w:val="Heading2"/>
      </w:pPr>
      <w:r>
        <w:t>2.1 Agentic AI in Education: From Intelligent Tutoring to Autonomous Pedagogical Action</w:t>
      </w:r>
    </w:p>
    <w:p>
      <w:pPr>
        <w:ind w:firstLine="720"/>
      </w:pPr>
      <w:r>
        <w:t>The application of artificial intelligence to education has progressed through several distinct generations. Early computer-assisted instruction systems of the 1970s and 1980s delivered pre-programmed content sequences with minimal adaptation (Suppes, 1966). The emergence of intelligent tutoring systems (ITS) in the 1990s and 2000s represented a significant advance: these systems employed student models and pedagogical strategies to tailor instruction to individual learners in real time (VanLehn, 2011; Woolf, 2009). More recently, the convergence of large language models, reinforcement learning, and multi-agent architectures has given rise to AI systems capable of qualitatively different forms of pedagogical action: systems that can set sub-goals, monitor progress, initiate interactions, and adapt strategies without continuous human direction (Kasneci et al., 2023; Ouyang &amp; Jiao, 2021).</w:t>
      </w:r>
    </w:p>
    <w:p>
      <w:pPr>
        <w:ind w:firstLine="720"/>
      </w:pPr>
      <w:r>
        <w:t xml:space="preserve">This latest generation of educational AI is increasingly characterized as "agentic," a term denoting systems that exhibit autonomous, goal-directed behavior rather than merely responding to user inputs (Russell &amp; Norvig, 2021). However, the field has lacked a systematic taxonomy for classifying the </w:t>
      </w:r>
      <w:r>
        <w:rPr>
          <w:i/>
        </w:rPr>
        <w:t>degree</w:t>
      </w:r>
      <w:r>
        <w:t xml:space="preserve"> of agency that AI systems exhibit in educational contexts. Yan (2025) addresses this gap with the Adaptive-Proactive-Co-Learner-Peer (APCP) framework, which identifies four progressive levels of AI agency in education:</w:t>
      </w:r>
    </w:p>
    <w:p>
      <w:pPr>
        <w:ind w:firstLine="720"/>
      </w:pPr>
      <w:r>
        <w:t xml:space="preserve">1. </w:t>
      </w:r>
      <w:r>
        <w:rPr>
          <w:b/>
        </w:rPr>
        <w:t>Adaptive</w:t>
      </w:r>
      <w:r>
        <w:t>: The AI reacts to learner inputs, adjusting difficulty, content, or pacing based on performance data. Traditional ITS with mastery-based progression exemplify this level.</w:t>
      </w:r>
    </w:p>
    <w:p>
      <w:pPr>
        <w:ind w:firstLine="720"/>
      </w:pPr>
      <w:r>
        <w:t xml:space="preserve">2. </w:t>
      </w:r>
      <w:r>
        <w:rPr>
          <w:b/>
        </w:rPr>
        <w:t>Proactive</w:t>
      </w:r>
      <w:r>
        <w:t>: The AI anticipates learner needs and initiates interactions without being prompted, for example, detecting confusion from behavioral patterns and offering unsolicited scaffolding.</w:t>
      </w:r>
    </w:p>
    <w:p>
      <w:pPr>
        <w:ind w:firstLine="720"/>
      </w:pPr>
      <w:r>
        <w:t xml:space="preserve">3. </w:t>
      </w:r>
      <w:r>
        <w:rPr>
          <w:b/>
        </w:rPr>
        <w:t>Co-Learner</w:t>
      </w:r>
      <w:r>
        <w:t>: The AI engages as a learning partner that shares the learning process, modeling joint problem-solving and collaborative knowledge construction.</w:t>
      </w:r>
    </w:p>
    <w:p>
      <w:pPr>
        <w:ind w:firstLine="720"/>
      </w:pPr>
      <w:r>
        <w:t xml:space="preserve">4. </w:t>
      </w:r>
      <w:r>
        <w:rPr>
          <w:b/>
        </w:rPr>
        <w:t>Peer</w:t>
      </w:r>
      <w:r>
        <w:t>: The AI functions as an equal capable of reciprocal interaction and socio-cognitive co-regulation, such as AI debate partners or peer-review agents.</w:t>
      </w:r>
    </w:p>
    <w:p>
      <w:pPr>
        <w:ind w:firstLine="720"/>
      </w:pPr>
      <w:r>
        <w:t>The APCP taxonomy is significant for meta-analytic purposes because it transforms a binary distinction (AI present vs. absent) into a graduated spectrum of agency, enabling more nuanced moderator analysis of how agent capability relates to learning effectiveness.</w:t>
      </w:r>
    </w:p>
    <w:p>
      <w:pPr>
        <w:ind w:firstLine="720"/>
      </w:pPr>
      <w:r>
        <w:t>Concurrently, the architecture of educational AI systems has grown more complex. While early ITS operated as monolithic single-agent systems, recent designs increasingly deploy multiple specialized agents that coordinate to support different aspects of learning, for instance, a tutor agent, an assessment agent, and a motivational coach operating within a shared framework (Yang, 2025). This shift from single-agent to multi-agent architectures introduces a design dimension, agent architecture, whose effects on learning outcomes have not been examined at the meta-analytic level.</w:t>
      </w:r>
    </w:p>
    <w:p>
      <w:pPr>
        <w:ind w:firstLine="720"/>
      </w:pPr>
      <w:r>
        <w:t xml:space="preserve">For the present meta-analysis, </w:t>
      </w:r>
      <w:r>
        <w:rPr>
          <w:i/>
        </w:rPr>
        <w:t>agentic AI</w:t>
      </w:r>
      <w:r>
        <w:t xml:space="preserve"> is operationally defined as AI systems exhibiting autonomous pedagogical action at any level of the APCP spectrum, from adaptive response through peer-level interaction. This inclusive definition maximizes the breadth of the evidence base while the APCP coding scheme preserves the ability to examine differential effects by agency level.</w:t>
      </w:r>
    </w:p>
    <w:p>
      <w:pPr>
        <w:pStyle w:val="Heading2"/>
      </w:pPr>
      <w:r>
        <w:t>2.2 Meta-Analytic Evidence on AI and Learning Outcomes</w:t>
      </w:r>
    </w:p>
    <w:p>
      <w:pPr>
        <w:ind w:firstLine="720"/>
      </w:pPr>
      <w:r>
        <w:t>Several meta-analyses have examined the effects of AI-based educational technologies on learning outcomes, though none have addressed the full spectrum of agentic AI or examined human oversight as a moderator.</w:t>
      </w:r>
    </w:p>
    <w:p>
      <w:pPr>
        <w:pStyle w:val="Heading3"/>
      </w:pPr>
      <w:r>
        <w:t>Intelligent Tutoring Systems</w:t>
      </w:r>
    </w:p>
    <w:p>
      <w:pPr>
        <w:ind w:firstLine="720"/>
      </w:pPr>
      <w:r>
        <w:t>The most extensive evidence base concerns intelligent tutoring systems. Ma et al. (2014), in the most comprehensive ITS meta-analysis to date, synthesized 107 effect sizes from 73 studies and found that ITS produced significantly positive effects on learning outcomes relative to teacher-led instruction (</w:t>
      </w:r>
      <w:r>
        <w:rPr>
          <w:i/>
        </w:rPr>
        <w:t>g</w:t>
      </w:r>
      <w:r>
        <w:t xml:space="preserve"> = 0.42), textbooks (</w:t>
      </w:r>
      <w:r>
        <w:rPr>
          <w:i/>
        </w:rPr>
        <w:t>g</w:t>
      </w:r>
      <w:r>
        <w:t xml:space="preserve"> = 0.55), and non-ITS computer-based instruction (</w:t>
      </w:r>
      <w:r>
        <w:rPr>
          <w:i/>
        </w:rPr>
        <w:t>g</w:t>
      </w:r>
      <w:r>
        <w:t xml:space="preserve"> = 0.37), though the advantage over human one-on-one tutoring was negligible (</w:t>
      </w:r>
      <w:r>
        <w:rPr>
          <w:i/>
        </w:rPr>
        <w:t>g</w:t>
      </w:r>
      <w:r>
        <w:t xml:space="preserve"> = 0.11). Steenbergen-Hu and Cooper (2013) focused on K-12 populations and reported more modest effects, while their subsequent analysis of postsecondary students found somewhat larger effects (Steenbergen-Hu &amp; Cooper, 2014). VanLehn (2011), in a direct comparison of ITS and human tutoring, found that step-based ITS approached the effectiveness of expert human tutors (</w:t>
      </w:r>
      <w:r>
        <w:rPr>
          <w:i/>
        </w:rPr>
        <w:t>d</w:t>
      </w:r>
      <w:r>
        <w:t xml:space="preserve"> = 0.76). Kulik and Fletcher (2016) reported a mean effect of </w:t>
      </w:r>
      <w:r>
        <w:rPr>
          <w:i/>
        </w:rPr>
        <w:t>d</w:t>
      </w:r>
      <w:r>
        <w:t xml:space="preserve"> = 0.66 across 50 controlled evaluations in the broadest ITS review.</w:t>
      </w:r>
    </w:p>
    <w:p>
      <w:pPr>
        <w:pStyle w:val="Heading3"/>
      </w:pPr>
      <w:r>
        <w:t>Pedagogical and Virtual Agents</w:t>
      </w:r>
    </w:p>
    <w:p>
      <w:pPr>
        <w:ind w:firstLine="720"/>
      </w:pPr>
      <w:r>
        <w:t>Research on pedagogical agents, embodied or animated characters that provide instruction or scaffolding, has yielded mixed results. Schroeder et al. (2013) conducted a meta-analysis of pedagogical agent effects on learning and found modest positive effects, with agent characteristics (voice, appearance, gestures) moderating outcomes. Heidig and Clarebout (2011) similarly found that pedagogical agents' effects on motivation and learning varied substantially depending on design features. More recently, Dai et al. (2024) conducted the first meta-analysis specifically focused on AI virtual agents in educational simulations, synthesizing 22 studies and reporting a moderate positive effect on learning outcomes (</w:t>
      </w:r>
      <w:r>
        <w:rPr>
          <w:i/>
        </w:rPr>
        <w:t>g</w:t>
      </w:r>
      <w:r>
        <w:t xml:space="preserve"> = 0.43). Their analysis identified simulation fidelity and agent anthropomorphism as significant moderators.</w:t>
      </w:r>
    </w:p>
    <w:p>
      <w:pPr>
        <w:pStyle w:val="Heading3"/>
      </w:pPr>
      <w:r>
        <w:t>Broader AI in Education</w:t>
      </w:r>
    </w:p>
    <w:p>
      <w:pPr>
        <w:ind w:firstLine="720"/>
      </w:pPr>
      <w:r>
        <w:t>Following the release of large language models, the landscape has expanded rapidly. Zheng et al. (2021) conducted a broad meta-analysis of AI effects on learning achievement and found significant overall positive effects, though with substantial heterogeneity. Several narrative reviews have examined AI chatbot effects on learning, identifying increased engagement but inconsistent cognitive outcomes (Deng &amp; Yu, 2023).</w:t>
      </w:r>
    </w:p>
    <w:p>
      <w:pPr>
        <w:pStyle w:val="Heading3"/>
      </w:pPr>
      <w:r>
        <w:t>Critical Gaps</w:t>
      </w:r>
    </w:p>
    <w:p>
      <w:pPr>
        <w:ind w:firstLine="720"/>
      </w:pPr>
      <w:r>
        <w:t>Despite this growing evidence base, three significant gaps persist in the meta-analytic literature:</w:t>
      </w:r>
    </w:p>
    <w:p>
      <w:pPr>
        <w:ind w:firstLine="720"/>
      </w:pPr>
      <w:r/>
      <w:r>
        <w:rPr>
          <w:i/>
        </w:rPr>
        <w:t>First</w:t>
      </w:r>
      <w:r>
        <w:t xml:space="preserve">, existing meta-analyses have focused on specific AI subtypes (ITS, virtual agents, chatbots) rather than examining the full agency spectrum of AI systems now deployed in education. As a result, the field lacks a synthesized understanding of how agentic AI </w:t>
      </w:r>
      <w:r>
        <w:rPr>
          <w:i/>
        </w:rPr>
        <w:t>as a class</w:t>
      </w:r>
      <w:r>
        <w:t xml:space="preserve"> affects learning, and whether effects differ across agency levels.</w:t>
      </w:r>
    </w:p>
    <w:p>
      <w:pPr>
        <w:ind w:firstLine="720"/>
      </w:pPr>
      <w:r/>
      <w:r>
        <w:rPr>
          <w:i/>
        </w:rPr>
        <w:t>Second</w:t>
      </w:r>
      <w:r>
        <w:t xml:space="preserve">, and most critically for the present study, no meta-analysis has examined </w:t>
      </w:r>
      <w:r>
        <w:rPr>
          <w:i/>
        </w:rPr>
        <w:t>human oversight level</w:t>
      </w:r>
      <w:r>
        <w:t xml:space="preserve"> as a moderator of AI effectiveness in education. Prior meta-analyses have coded moderators such as study design, subject domain, comparison condition, and learner characteristics (Dai et al., 2024; Ma et al., 2014). However, the degree of human involvement during AI-mediated learning, a dimension of increasing practical importance and now a regulatory requirement, has been entirely absent from the evidence base.</w:t>
      </w:r>
    </w:p>
    <w:p>
      <w:pPr>
        <w:ind w:firstLine="720"/>
      </w:pPr>
      <w:r/>
      <w:r>
        <w:rPr>
          <w:i/>
        </w:rPr>
        <w:t>Third</w:t>
      </w:r>
      <w:r>
        <w:t>, the emergence of multi-agent AI systems in educational contexts (e.g., multi-agent debate, collaborative AI tutoring teams) introduces an architectural dimension, single-agent versus multi-agent, that existing meta-analyses have not addressed. This gap is particularly consequential given the rapid growth of multi-agent frameworks in educational technology development.</w:t>
      </w:r>
    </w:p>
    <w:p>
      <w:pPr>
        <w:pStyle w:val="Heading2"/>
      </w:pPr>
      <w:r>
        <w:t>2.3 Human Oversight of Educational AI: An Unexamined Moderator</w:t>
      </w:r>
    </w:p>
    <w:p>
      <w:pPr>
        <w:ind w:firstLine="720"/>
      </w:pPr>
      <w:r>
        <w:t>The question of how much human oversight to maintain over AI systems has emerged as a central concern across multiple fields. In education, this concern is particularly acute: AI systems are interacting with developing learners in high-stakes contexts where errors in pedagogical judgment can have lasting consequences. Yet the empirical basis for calibrating human oversight in educational AI remains remarkably thin.</w:t>
      </w:r>
    </w:p>
    <w:p>
      <w:pPr>
        <w:pStyle w:val="Heading3"/>
      </w:pPr>
      <w:r>
        <w:t>Automation Level Theory</w:t>
      </w:r>
    </w:p>
    <w:p>
      <w:pPr>
        <w:ind w:firstLine="720"/>
      </w:pPr>
      <w:r>
        <w:t>Parasuraman, Sheridan, and Wickens (2000) established the foundational framework for conceptualizing human-automation interaction. Their model identifies 10 levels of automation, ranging from full human control (Level 1: the computer offers no assistance) to full computer autonomy (Level 10: the computer acts entirely on its own). Critically, Parasuraman et al. demonstrated that the optimal level of automation is not fixed but depends on the interaction among task type, environmental complexity, and the costs of automation errors. This framework has been cited over 5,000 times and successfully applied across domains including aviation (Endsley, 2017), healthcare (Parasuraman &amp; Wickens, 2008), and autonomous vehicles (SAE International, 2021), but it has not been systematically applied to educational AI at the meta-analytic level.</w:t>
      </w:r>
    </w:p>
    <w:p>
      <w:pPr>
        <w:pStyle w:val="Heading3"/>
      </w:pPr>
      <w:r>
        <w:t>Human-Centered AI</w:t>
      </w:r>
    </w:p>
    <w:p>
      <w:pPr>
        <w:ind w:firstLine="720"/>
      </w:pPr>
      <w:r>
        <w:t xml:space="preserve">Shneiderman (2022) extended this line of thinking by proposing a two-dimensional model in which human control and computer automation are not inversely related but can be independently calibrated. His framework suggests that the design goal should be systems that are simultaneously high in human control </w:t>
      </w:r>
      <w:r>
        <w:rPr>
          <w:i/>
        </w:rPr>
        <w:t>and</w:t>
      </w:r>
      <w:r>
        <w:t xml:space="preserve"> high in computer automation, a vision that challenges the assumption of a simple trade-off between human and machine authority. In educational terms, this perspective suggests that maximizing AI capability and maintaining meaningful human oversight are not competing objectives.</w:t>
      </w:r>
    </w:p>
    <w:p>
      <w:pPr>
        <w:pStyle w:val="Heading3"/>
      </w:pPr>
      <w:r>
        <w:t>Educational Applications</w:t>
      </w:r>
    </w:p>
    <w:p>
      <w:pPr>
        <w:ind w:firstLine="720"/>
      </w:pPr>
      <w:r>
        <w:t>Within educational research, Molenaar (2022) introduced the concept of "hybrid human-AI regulation," arguing that effective AI-supported learning requires a dynamic allocation of regulatory authority between AI-driven processes and human (teacher or learner) decision-making. She demonstrated this concept in the context of young learners' self-regulated learning, showing that the balance between human and AI regulation affects both learning processes and outcomes. Holstein et al. (2019) provided complementary empirical evidence by developing teacher awareness dashboards for AI tutoring systems and demonstrating that augmenting teachers with real-time information about AI-student interactions improved instructional targeting, suggesting that AI tutoring effectiveness is not a fixed property of the system but depends partly on the human oversight infrastructure surrounding it.</w:t>
      </w:r>
    </w:p>
    <w:p>
      <w:pPr>
        <w:pStyle w:val="Heading3"/>
      </w:pPr>
      <w:r>
        <w:t>Policy Imperative</w:t>
      </w:r>
    </w:p>
    <w:p>
      <w:pPr>
        <w:ind w:firstLine="720"/>
      </w:pPr>
      <w:r>
        <w:t>The regulatory landscape has further elevated the significance of human oversight. The European Union's AI Act (2024), specifically Article 14, mandates that high-risk AI systems, a category that explicitly includes AI deployed in educational contexts, must be designed to allow "effective oversight by natural persons." This legal requirement creates an urgent need for empirical evidence on how different configurations of human oversight affect AI-assisted learning outcomes. Without such evidence, educational institutions and AI developers lack a principled basis for meeting regulatory requirements while maximizing pedagogical effectiveness.</w:t>
      </w:r>
    </w:p>
    <w:p>
      <w:pPr>
        <w:pStyle w:val="Heading3"/>
      </w:pPr>
      <w:r>
        <w:t>Three-Level Taxonomy for Meta-Analytic Coding</w:t>
      </w:r>
    </w:p>
    <w:p>
      <w:pPr>
        <w:ind w:firstLine="720"/>
      </w:pPr>
      <w:r>
        <w:t>For the present study, Parasuraman et al.'s (2000) 10-level automation framework is collapsed into three meta-analytically tractable categories:</w:t>
      </w:r>
    </w:p>
    <w:p>
      <w:pPr>
        <w:ind w:firstLine="720"/>
      </w:pPr>
      <w:r>
        <w:t xml:space="preserve">1. </w:t>
      </w:r>
      <w:r>
        <w:rPr>
          <w:b/>
        </w:rPr>
        <w:t>Fully Autonomous</w:t>
      </w:r>
      <w:r>
        <w:t xml:space="preserve"> (corresponding to automation levels 7-10): The AI system operates independently during the learning interaction, making all pedagogical decisions without human intervention.</w:t>
      </w:r>
    </w:p>
    <w:p>
      <w:pPr>
        <w:ind w:firstLine="720"/>
      </w:pPr>
      <w:r>
        <w:t xml:space="preserve">2. </w:t>
      </w:r>
      <w:r>
        <w:rPr>
          <w:b/>
        </w:rPr>
        <w:t>AI-Led with Human Checkpoints</w:t>
      </w:r>
      <w:r>
        <w:t xml:space="preserve"> (levels 4-6): The AI system drives the learning experience, but human educators monitor progress and can intervene at defined checkpoints or when specific conditions are triggered.</w:t>
      </w:r>
    </w:p>
    <w:p>
      <w:pPr>
        <w:ind w:firstLine="720"/>
      </w:pPr>
      <w:r>
        <w:t xml:space="preserve">3. </w:t>
      </w:r>
      <w:r>
        <w:rPr>
          <w:b/>
        </w:rPr>
        <w:t>Human-Led with AI Support</w:t>
      </w:r>
      <w:r>
        <w:t xml:space="preserve"> (levels 1-3): Human educators retain primary pedagogical decision authority and employ the AI system as a tool that provides recommendations, automates routine tasks, or augments instruction.</w:t>
      </w:r>
    </w:p>
    <w:p>
      <w:pPr>
        <w:ind w:firstLine="720"/>
      </w:pPr>
      <w:r>
        <w:t xml:space="preserve">This three-level scheme balances conceptual granularity with the practical requirements of meta-analytic coding: adequate cell sizes (target </w:t>
      </w:r>
      <w:r>
        <w:rPr>
          <w:i/>
        </w:rPr>
        <w:t>k</w:t>
      </w:r>
      <w:r>
        <w:t xml:space="preserve"> &gt;= 4 per level) and coding reliability (target Cohen's kappa &gt;= 0.80). The approach follows the methodological precedent of collapsing continuous moderator dimensions in educational meta-analyses (Lipsey &amp; Wilson, 2001) and aligns with Molenaar's (2022) conceptualization of regulation as a spectrum between full AI autonomy and full human control.</w:t>
      </w:r>
    </w:p>
    <w:p>
      <w:pPr>
        <w:ind w:firstLine="720"/>
      </w:pPr>
      <w:r>
        <w:t>Importantly, human oversight level is coded post hoc from intervention descriptions in primary studies using a structured decision protocol, rather than being an independent variable manipulated by original researchers. This approach, which is standard in meta-analytic moderator coding (cf. Ma et al., 2014, who similarly post-hoc coded ITS dialogue type), constitutes a core methodological innovation of this study.</w:t>
      </w:r>
    </w:p>
    <w:p>
      <w:pPr>
        <w:pStyle w:val="Heading2"/>
      </w:pPr>
      <w:r>
        <w:t>2.4 Theoretical Foundations</w:t>
      </w:r>
    </w:p>
    <w:p>
      <w:pPr>
        <w:ind w:firstLine="720"/>
      </w:pPr>
      <w:r>
        <w:t>Four theoretical frameworks jointly inform the research questions, moderator hypotheses, and interpretive lens of this meta-analysis. Their integration provides a multi-level explanation for why agentic AI effects on learning outcomes are expected to vary systematically by oversight level, agent architecture, and learning context.</w:t>
      </w:r>
    </w:p>
    <w:p>
      <w:pPr>
        <w:pStyle w:val="Heading3"/>
      </w:pPr>
      <w:r>
        <w:t>2.4.1 Affordance Actualization Theory (AAT)</w:t>
      </w:r>
    </w:p>
    <w:p>
      <w:pPr>
        <w:ind w:firstLine="720"/>
      </w:pPr>
      <w:r>
        <w:t>Affordance Actualization Theory (Bernhard et al., 2013) proposes that the effects of technology are determined not by its features alone but by the interaction between technological affordances and the context of use. An affordance, a potential for action enabled by a technology, is only "actualized" when contextual conditions support its realization. Applied to educational AI, AAT explains a persistent finding in the existing literature: the same AI system can produce substantially different effects across settings (Ma et al., 2014). An adaptive AI tutor that is highly effective for well-structured mathematics instruction may produce negligible effects in ill-structured workplace problem-solving, not because the technology changes but because the conditions for affordance actualization differ.</w:t>
      </w:r>
    </w:p>
    <w:p>
      <w:pPr>
        <w:ind w:firstLine="720"/>
      </w:pPr>
      <w:r>
        <w:t>For this meta-analysis, AAT provides the primary theoretical rationale for Research Question 4 (differential effects across learning contexts). It predicts that effect sizes will vary systematically across K-12, higher education, and workplace training because each context presents different conditions for affordance actualization, including different learner developmental stages, different institutional structures, and different pedagogical traditions that collectively shape whether and how AI agent affordances are realized.</w:t>
      </w:r>
    </w:p>
    <w:p>
      <w:pPr>
        <w:pStyle w:val="Heading3"/>
      </w:pPr>
      <w:r>
        <w:t>2.4.2 Event System Theory (EST)</w:t>
      </w:r>
    </w:p>
    <w:p>
      <w:pPr>
        <w:ind w:firstLine="720"/>
      </w:pPr>
      <w:r>
        <w:t>Event System Theory (Morgeson et al., 2015) characterizes events in organizational settings along three dimensions: novelty (how unusual the event is relative to existing routines), disruption (how much the event disturbs ongoing processes), and criticality (how consequential the event is for valued outcomes). Originally developed for organizational science, EST has been applied to educational settings to understand when and why interventions produce differential effects.</w:t>
      </w:r>
    </w:p>
    <w:p>
      <w:pPr>
        <w:ind w:firstLine="720"/>
      </w:pPr>
      <w:r>
        <w:t>In the context of human oversight of AI-assisted learning, EST provides a theoretical mechanism for predicting when human intervention is most consequential. When learning events are high in novelty (a learner encounters an unfamiliar problem type), disruption (the AI's adaptive algorithm produces an unexpected or counterproductive response), or criticality (the learner approaches a high-stakes assessment or makes an error with lasting consequences), human oversight is theoretically more valuable because automated responses are less likely to be adequate for managing the event. Conversely, for routine, low-novelty events, fully autonomous AI operation may be sufficient or even preferable, as human intervention may interrupt productive learning flow.</w:t>
      </w:r>
    </w:p>
    <w:p>
      <w:pPr>
        <w:ind w:firstLine="720"/>
      </w:pPr>
      <w:r>
        <w:t>EST thus informs Research Question 2 not merely by predicting that human oversight matters, but by specifying the mechanism through which it operates: oversight level moderates AI effectiveness because it determines the system's capacity to respond appropriately to learning events of varying novelty, disruption, and criticality.</w:t>
      </w:r>
    </w:p>
    <w:p>
      <w:pPr>
        <w:pStyle w:val="Heading3"/>
      </w:pPr>
      <w:r>
        <w:t>2.4.3 Self-Determination Theory (SDT)</w:t>
      </w:r>
    </w:p>
    <w:p>
      <w:pPr>
        <w:ind w:firstLine="720"/>
      </w:pPr>
      <w:r>
        <w:t>Self-Determination Theory (Ryan &amp; Deci, 2000, 2017) identifies three basic psychological needs (autonomy, competence, and relatedness) whose satisfaction is essential for intrinsic motivation, engagement, and deep learning. SDT is among the most widely applied motivational frameworks in educational technology research and has direct implications for the human oversight moderator.</w:t>
      </w:r>
    </w:p>
    <w:p>
      <w:pPr>
        <w:ind w:firstLine="720"/>
      </w:pPr>
      <w:r>
        <w:t>The critical theoretical tension lies between autonomy and competence. Fully autonomous AI systems (Level 1) may support learner autonomy by enabling self-paced, self-directed learning without external surveillance, but may undermine competence if the AI fails to calibrate challenge appropriately or provide adequate feedback at critical moments. Conversely, human-led systems (Level 3) may support competence through expert pedagogical judgment but risk undermining perceived autonomy if learners experience excessive monitoring or external control. AI-led systems with checkpoints (Level 2) represent a theoretical balance: the AI provides structure and responsiveness (supporting competence), while human oversight is reserved for critical junctures rather than continuous monitoring (preserving autonomy).</w:t>
      </w:r>
    </w:p>
    <w:p>
      <w:pPr>
        <w:ind w:firstLine="720"/>
      </w:pPr>
      <w:r>
        <w:t>SDT also generates predictions for the agent architecture moderator (Research Question 3). Multi-agent systems, where learners interact with distinct AI agents fulfilling different roles (tutor, coach, collaborator), may better satisfy the need for relatedness by providing varied social interaction partners. Single-agent systems, by contrast, may better satisfy autonomy by offering a more predictable, learner-controlled interaction with a single consistent partner.</w:t>
      </w:r>
    </w:p>
    <w:p>
      <w:pPr>
        <w:pStyle w:val="Heading3"/>
      </w:pPr>
      <w:r>
        <w:t>2.4.4 Dynamic Learner State Model (DLS)</w:t>
      </w:r>
    </w:p>
    <w:p>
      <w:pPr>
        <w:ind w:firstLine="720"/>
      </w:pPr>
      <w:r>
        <w:t xml:space="preserve">Yang (2025) proposes the Dynamic Learner State (DLS) model, which conceptualizes the learner's condition during AI-assisted learning as a multi-dimensional, continuously evolving state. The DLS model identifies four core dimensions: mastery (current knowledge and skill levels relative to learning objectives), confidence (the calibration between self-assessed and actual competence), context (environmental and situational variables that shape learning conditions), and decay (predicted knowledge deterioration since the last learning interaction). Unlike static learner models that characterize learners by fixed attributes such as prior knowledge or learning style, the DLS model emphasizes that effective AI adaptation requires tracking how learner states change </w:t>
      </w:r>
      <w:r>
        <w:rPr>
          <w:i/>
        </w:rPr>
        <w:t>during</w:t>
      </w:r>
      <w:r>
        <w:t xml:space="preserve"> the learning interaction, not merely at its outset.</w:t>
      </w:r>
    </w:p>
    <w:p>
      <w:pPr>
        <w:ind w:firstLine="720"/>
      </w:pPr>
      <w:r>
        <w:t xml:space="preserve">The DLS model is significant for this meta-analysis in two respects. First, it provides a theoretical basis for coding the </w:t>
      </w:r>
      <w:r>
        <w:rPr>
          <w:i/>
        </w:rPr>
        <w:t>adaptivity</w:t>
      </w:r>
      <w:r>
        <w:t xml:space="preserve"> dimension of AI interventions: studies employing AI systems that track multiple learner state dimensions (e.g., knowledge mastery combined with affective state and engagement patterns) can be distinguished from those employing single-dimension tracking (e.g., performance scores alone). The adaptivity coding variable (C7 in the coding scheme) operationalizes this distinction as a five-level scale from static to multi-dimensional adaptation. Second, the DLS model's emphasis on dynamic state changes provides a theoretical link between the APCP agency levels and learning outcomes: higher-agency AI systems (Co-Learner, Peer) are theoretically more capable of tracking and responding to dynamic, multi-dimensional learner states than lower-agency systems (Adaptive), suggesting a potential mechanism for differential effectiveness across agency levels.</w:t>
      </w:r>
    </w:p>
    <w:p>
      <w:pPr>
        <w:pStyle w:val="Heading2"/>
      </w:pPr>
      <w:r>
        <w:t>2.5 Theoretical Integration and Research Questions</w:t>
      </w:r>
    </w:p>
    <w:p>
      <w:pPr>
        <w:ind w:firstLine="720"/>
      </w:pPr>
      <w:r>
        <w:t>The four theoretical frameworks converge on a central prediction: the effectiveness of agentic AI in education is not a fixed property of the technology but emerges from the interaction among agent characteristics (APCP level, architecture, adaptivity), oversight configuration (Parasuraman automation levels), and contextual factors (learning setting, learner characteristics, outcome type). Table 1 summarizes the mapping between each theory, the moderator variables it informs, and the research questions it grounds.</w:t>
      </w:r>
    </w:p>
    <w:p>
      <w:pPr>
        <w:ind w:firstLine="720"/>
      </w:pPr>
      <w:r/>
      <w:r>
        <w:rPr>
          <w:b/>
        </w:rPr>
        <w:t>Table 1</w:t>
      </w:r>
      <w:r/>
    </w:p>
    <w:p>
      <w:pPr>
        <w:ind w:firstLine="720"/>
      </w:pPr>
      <w:r/>
      <w:r>
        <w:rPr>
          <w:i/>
        </w:rPr>
        <w:t>Theory-to-Research Question Mapping</w:t>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Theory</w:t>
            </w:r>
          </w:p>
        </w:tc>
        <w:tc>
          <w:tcPr>
            <w:tcW w:type="dxa" w:w="2340"/>
          </w:tcPr>
          <w:p>
            <w:r/>
            <w:r>
              <w:rPr>
                <w:rFonts w:ascii="Times New Roman" w:hAnsi="Times New Roman"/>
                <w:b/>
                <w:sz w:val="20"/>
              </w:rPr>
              <w:t>Core Mechanism</w:t>
            </w:r>
          </w:p>
        </w:tc>
        <w:tc>
          <w:tcPr>
            <w:tcW w:type="dxa" w:w="2340"/>
          </w:tcPr>
          <w:p>
            <w:r/>
            <w:r>
              <w:rPr>
                <w:rFonts w:ascii="Times New Roman" w:hAnsi="Times New Roman"/>
                <w:b/>
                <w:sz w:val="20"/>
              </w:rPr>
              <w:t>Primary RQ</w:t>
            </w:r>
          </w:p>
        </w:tc>
        <w:tc>
          <w:tcPr>
            <w:tcW w:type="dxa" w:w="2340"/>
          </w:tcPr>
          <w:p>
            <w:r/>
            <w:r>
              <w:rPr>
                <w:rFonts w:ascii="Times New Roman" w:hAnsi="Times New Roman"/>
                <w:b/>
                <w:sz w:val="20"/>
              </w:rPr>
              <w:t>Coded Variable(s)</w:t>
            </w:r>
          </w:p>
        </w:tc>
      </w:tr>
      <w:tr>
        <w:tc>
          <w:tcPr>
            <w:tcW w:type="dxa" w:w="2340"/>
          </w:tcPr>
          <w:p>
            <w:r/>
            <w:r>
              <w:rPr>
                <w:rFonts w:ascii="Times New Roman" w:hAnsi="Times New Roman"/>
                <w:sz w:val="20"/>
              </w:rPr>
              <w:t>AAT (Bernhard et al., 2013)</w:t>
            </w:r>
          </w:p>
        </w:tc>
        <w:tc>
          <w:tcPr>
            <w:tcW w:type="dxa" w:w="2340"/>
          </w:tcPr>
          <w:p>
            <w:r/>
            <w:r>
              <w:rPr>
                <w:rFonts w:ascii="Times New Roman" w:hAnsi="Times New Roman"/>
                <w:sz w:val="20"/>
              </w:rPr>
              <w:t>Affordance-context fit determines effectiveness</w:t>
            </w:r>
          </w:p>
        </w:tc>
        <w:tc>
          <w:tcPr>
            <w:tcW w:type="dxa" w:w="2340"/>
          </w:tcPr>
          <w:p>
            <w:r/>
            <w:r>
              <w:rPr>
                <w:rFonts w:ascii="Times New Roman" w:hAnsi="Times New Roman"/>
                <w:sz w:val="20"/>
              </w:rPr>
              <w:t>RQ4</w:t>
            </w:r>
          </w:p>
        </w:tc>
        <w:tc>
          <w:tcPr>
            <w:tcW w:type="dxa" w:w="2340"/>
          </w:tcPr>
          <w:p>
            <w:r/>
            <w:r>
              <w:rPr>
                <w:rFonts w:ascii="Times New Roman" w:hAnsi="Times New Roman"/>
                <w:sz w:val="20"/>
              </w:rPr>
              <w:t>Learning context, agent role</w:t>
            </w:r>
          </w:p>
        </w:tc>
      </w:tr>
      <w:tr>
        <w:tc>
          <w:tcPr>
            <w:tcW w:type="dxa" w:w="2340"/>
          </w:tcPr>
          <w:p>
            <w:r/>
            <w:r>
              <w:rPr>
                <w:rFonts w:ascii="Times New Roman" w:hAnsi="Times New Roman"/>
                <w:sz w:val="20"/>
              </w:rPr>
              <w:t>EST (Morgeson et al., 2015)</w:t>
            </w:r>
          </w:p>
        </w:tc>
        <w:tc>
          <w:tcPr>
            <w:tcW w:type="dxa" w:w="2340"/>
          </w:tcPr>
          <w:p>
            <w:r/>
            <w:r>
              <w:rPr>
                <w:rFonts w:ascii="Times New Roman" w:hAnsi="Times New Roman"/>
                <w:sz w:val="20"/>
              </w:rPr>
              <w:t>Event novelty/disruption/criticality determines oversight value</w:t>
            </w:r>
          </w:p>
        </w:tc>
        <w:tc>
          <w:tcPr>
            <w:tcW w:type="dxa" w:w="2340"/>
          </w:tcPr>
          <w:p>
            <w:r/>
            <w:r>
              <w:rPr>
                <w:rFonts w:ascii="Times New Roman" w:hAnsi="Times New Roman"/>
                <w:sz w:val="20"/>
              </w:rPr>
              <w:t>RQ2</w:t>
            </w:r>
          </w:p>
        </w:tc>
        <w:tc>
          <w:tcPr>
            <w:tcW w:type="dxa" w:w="2340"/>
          </w:tcPr>
          <w:p>
            <w:r/>
            <w:r>
              <w:rPr>
                <w:rFonts w:ascii="Times New Roman" w:hAnsi="Times New Roman"/>
                <w:sz w:val="20"/>
              </w:rPr>
              <w:t>Human oversight level</w:t>
            </w:r>
          </w:p>
        </w:tc>
      </w:tr>
      <w:tr>
        <w:tc>
          <w:tcPr>
            <w:tcW w:type="dxa" w:w="2340"/>
          </w:tcPr>
          <w:p>
            <w:r/>
            <w:r>
              <w:rPr>
                <w:rFonts w:ascii="Times New Roman" w:hAnsi="Times New Roman"/>
                <w:sz w:val="20"/>
              </w:rPr>
              <w:t>SDT (Ryan &amp; Deci, 2000)</w:t>
            </w:r>
          </w:p>
        </w:tc>
        <w:tc>
          <w:tcPr>
            <w:tcW w:type="dxa" w:w="2340"/>
          </w:tcPr>
          <w:p>
            <w:r/>
            <w:r>
              <w:rPr>
                <w:rFonts w:ascii="Times New Roman" w:hAnsi="Times New Roman"/>
                <w:sz w:val="20"/>
              </w:rPr>
              <w:t>Autonomy-competence tension shaped by oversight and architecture</w:t>
            </w:r>
          </w:p>
        </w:tc>
        <w:tc>
          <w:tcPr>
            <w:tcW w:type="dxa" w:w="2340"/>
          </w:tcPr>
          <w:p>
            <w:r/>
            <w:r>
              <w:rPr>
                <w:rFonts w:ascii="Times New Roman" w:hAnsi="Times New Roman"/>
                <w:sz w:val="20"/>
              </w:rPr>
              <w:t>RQ2, RQ3</w:t>
            </w:r>
          </w:p>
        </w:tc>
        <w:tc>
          <w:tcPr>
            <w:tcW w:type="dxa" w:w="2340"/>
          </w:tcPr>
          <w:p>
            <w:r/>
            <w:r>
              <w:rPr>
                <w:rFonts w:ascii="Times New Roman" w:hAnsi="Times New Roman"/>
                <w:sz w:val="20"/>
              </w:rPr>
              <w:t>Oversight level, agent architecture</w:t>
            </w:r>
          </w:p>
        </w:tc>
      </w:tr>
      <w:tr>
        <w:tc>
          <w:tcPr>
            <w:tcW w:type="dxa" w:w="2340"/>
          </w:tcPr>
          <w:p>
            <w:r/>
            <w:r>
              <w:rPr>
                <w:rFonts w:ascii="Times New Roman" w:hAnsi="Times New Roman"/>
                <w:sz w:val="20"/>
              </w:rPr>
              <w:t>DLS (Yang, 2025)</w:t>
            </w:r>
          </w:p>
        </w:tc>
        <w:tc>
          <w:tcPr>
            <w:tcW w:type="dxa" w:w="2340"/>
          </w:tcPr>
          <w:p>
            <w:r/>
            <w:r>
              <w:rPr>
                <w:rFonts w:ascii="Times New Roman" w:hAnsi="Times New Roman"/>
                <w:sz w:val="20"/>
              </w:rPr>
              <w:t>Dynamic multi-dimensional state tracking enables adaptive response</w:t>
            </w:r>
          </w:p>
        </w:tc>
        <w:tc>
          <w:tcPr>
            <w:tcW w:type="dxa" w:w="2340"/>
          </w:tcPr>
          <w:p>
            <w:r/>
            <w:r>
              <w:rPr>
                <w:rFonts w:ascii="Times New Roman" w:hAnsi="Times New Roman"/>
                <w:sz w:val="20"/>
              </w:rPr>
              <w:t>RQ1, RQ3</w:t>
            </w:r>
          </w:p>
        </w:tc>
        <w:tc>
          <w:tcPr>
            <w:tcW w:type="dxa" w:w="2340"/>
          </w:tcPr>
          <w:p>
            <w:r/>
            <w:r>
              <w:rPr>
                <w:rFonts w:ascii="Times New Roman" w:hAnsi="Times New Roman"/>
                <w:sz w:val="20"/>
              </w:rPr>
              <w:t>Adaptivity level, APCP agency level</w:t>
            </w:r>
          </w:p>
        </w:tc>
      </w:tr>
    </w:tbl>
    <w:p>
      <w:pPr>
        <w:ind w:firstLine="720"/>
      </w:pPr>
      <w:r>
        <w:t>Building on this theoretical integration and the empirical gaps identified in Sections 2.2 and 2.3, the present study addresses five research questions:</w:t>
      </w:r>
    </w:p>
    <w:p>
      <w:pPr>
        <w:ind w:firstLine="720"/>
      </w:pPr>
      <w:r/>
      <w:r>
        <w:rPr>
          <w:b/>
        </w:rPr>
        <w:t>RQ1.</w:t>
      </w:r>
      <w:r>
        <w:t xml:space="preserve"> What is the overall effect of agentic AI interventions on learning outcomes?</w:t>
      </w:r>
    </w:p>
    <w:p>
      <w:pPr>
        <w:ind w:firstLine="720"/>
      </w:pPr>
      <w:r/>
      <w:r>
        <w:rPr>
          <w:b/>
        </w:rPr>
        <w:t>RQ2.</w:t>
      </w:r>
      <w:r>
        <w:t xml:space="preserve"> Does the level of human oversight, coded as fully autonomous, AI-led with human checkpoints, or human-led with AI support, moderate the effect of agentic AI on learning outcomes?</w:t>
      </w:r>
    </w:p>
    <w:p>
      <w:pPr>
        <w:ind w:firstLine="720"/>
      </w:pPr>
      <w:r/>
      <w:r>
        <w:rPr>
          <w:b/>
        </w:rPr>
        <w:t>RQ3.</w:t>
      </w:r>
      <w:r>
        <w:t xml:space="preserve"> Does agent architecture, specifically single-agent versus multi-agent, moderate the effect of agentic AI on learning outcomes?</w:t>
      </w:r>
    </w:p>
    <w:p>
      <w:pPr>
        <w:ind w:firstLine="720"/>
      </w:pPr>
      <w:r/>
      <w:r>
        <w:rPr>
          <w:b/>
        </w:rPr>
        <w:t>RQ4.</w:t>
      </w:r>
      <w:r>
        <w:t xml:space="preserve"> Does learning context, specifically K-12, higher education, or workplace training, moderate the effect of agentic AI on learning outcomes?</w:t>
      </w:r>
    </w:p>
    <w:p>
      <w:pPr>
        <w:ind w:firstLine="720"/>
      </w:pPr>
      <w:r/>
      <w:r>
        <w:rPr>
          <w:b/>
        </w:rPr>
        <w:t>RQ5.</w:t>
      </w:r>
      <w:r>
        <w:t xml:space="preserve"> What empirically grounded design principles can be derived from the moderator analyses to inform the HALO (Human-AI Learning Orchestration) Framework?</w:t>
      </w:r>
    </w:p>
    <w:p>
      <w:pPr>
        <w:ind w:firstLine="720"/>
      </w:pPr>
      <w:r>
        <w:t>RQ1 establishes the overall evidence base. RQ2 through RQ4 test specific moderator hypotheses grounded in the theoretical frameworks outlined above. RQ5 serves as a translational bridge between meta-analytic evidence and educational design practice: the HALO Framework, described in detail in Section 4, provides the architectural structure into which the empirical findings from RQ1-RQ4 are systematically mapped. Briefly, HALO is a three-layer evidence-based architecture comprising Foundation (agent capability calibration), Protocol (state tracking and adaptation), and Orchestration (oversight and coordination) that translates meta-analytic findings into actionable, context-sensitive design principles for AI agent-based learning systems.</w:t>
      </w:r>
    </w:p>
    <w:p>
      <w:pPr>
        <w:pStyle w:val="Heading1"/>
      </w:pPr>
      <w:r>
        <w:t>3. The HALO Framework: Initial Architecture</w:t>
      </w:r>
    </w:p>
    <w:p>
      <w:pPr>
        <w:ind w:firstLine="720"/>
      </w:pPr>
      <w:r>
        <w:t>This section introduces the initial version of the HALO (Human-AI Learning Orchestration) Framework, a three-layer architecture for designing, implementing, and evaluating AI agent-based learning systems. This pre-analysis version is grounded in the theoretical foundations presented in Section 2 and the existing empirical literature. The refined version, informed by the meta-analytic findings of this study, is presented in Section 6.</w:t>
      </w:r>
    </w:p>
    <w:p>
      <w:pPr>
        <w:pStyle w:val="Heading2"/>
      </w:pPr>
      <w:r>
        <w:t>3.1 Design Rationale</w:t>
      </w:r>
    </w:p>
    <w:p>
      <w:pPr>
        <w:ind w:firstLine="720"/>
      </w:pPr>
      <w:r>
        <w:t>The HALO Framework addresses a fundamental challenge: translating meta-analytic evidence into actionable design principles for educational AI. Prior meta-analyses in this domain (e.g., Dai et al., 2024; Ma et al., 2014) have reported effect sizes and moderator results but have not systematically mapped findings to design specifications. HALO provides this translational structure. Each layer of the framework corresponds to a specific category of design decisions, and each decision point is linked to a specific moderator variable analyzed in this meta-analysis.</w:t>
      </w:r>
    </w:p>
    <w:p>
      <w:pPr>
        <w:ind w:firstLine="720"/>
      </w:pPr>
      <w:r>
        <w:t>Two core assumptions guide the framework. First, neither full AI autonomy nor full human control is universally optimal; the appropriate balance depends on learner characteristics, learning context, and outcome type. Second, multi-agent architectures require explicit coordination protocols; orchestration is a design requirement, not an emergent property.</w:t>
      </w:r>
    </w:p>
    <w:p>
      <w:pPr>
        <w:pStyle w:val="Heading2"/>
      </w:pPr>
      <w:r>
        <w:t>3.2 Three-Layer Architecture</w:t>
      </w:r>
    </w:p>
    <w:p>
      <w:pPr>
        <w:ind w:firstLine="720"/>
      </w:pPr>
      <w:r>
        <w:t>The HALO Framework comprises three layers, each addressing a distinct design question:</w:t>
      </w:r>
    </w:p>
    <w:p>
      <w:pPr>
        <w:ind w:firstLine="720"/>
      </w:pPr>
      <w:r/>
      <w:r>
        <w:rPr>
          <w:b/>
        </w:rPr>
        <w:t>Layer 1: Foundation: "For whom and in what context?"</w:t>
      </w:r>
      <w:r/>
    </w:p>
    <w:p>
      <w:pPr>
        <w:ind w:firstLine="720"/>
      </w:pPr>
      <w:r>
        <w:t xml:space="preserve">The Foundation layer establishes baseline parameters: who the learner is, what context they are in, and what outcomes are targeted. It encompasses two key calibration decisions. First, </w:t>
      </w:r>
      <w:r>
        <w:rPr>
          <w:i/>
        </w:rPr>
        <w:t>agency level calibration</w:t>
      </w:r>
      <w:r>
        <w:t xml:space="preserve"> determines the appropriate APCP level (Adaptive, Proactive, Co-Learner, or Peer; Yan, 2025) based on learner developmental stage, domain structure, and target outcome level. Grounded in Self-Determination Theory (Ryan &amp; Deci, 2000), higher-agency levels are hypothesized to be more effective for advanced learners in ill-structured domains, while lower-agency levels may better serve novice learners in well-structured domains. Second, </w:t>
      </w:r>
      <w:r>
        <w:rPr>
          <w:i/>
        </w:rPr>
        <w:t>context-specific rules</w:t>
      </w:r>
      <w:r>
        <w:t xml:space="preserve"> configure the system differently for K-12 (higher structure, more checkpoints), higher education (moderate structure, balanced checkpoints), and workplace training (lower structure, strategic checkpoints), drawing on Affordance Actualization Theory (Bernhard et al., 2013) to predict context-dependent effectiveness.</w:t>
      </w:r>
    </w:p>
    <w:p>
      <w:pPr>
        <w:ind w:firstLine="720"/>
      </w:pPr>
      <w:r/>
      <w:r>
        <w:rPr>
          <w:i/>
        </w:rPr>
        <w:t>Meta-analysis input</w:t>
      </w:r>
      <w:r>
        <w:t>: RQ4 (learning context moderation) provides the primary evidence for Layer 1 calibration.</w:t>
      </w:r>
    </w:p>
    <w:p>
      <w:pPr>
        <w:ind w:firstLine="720"/>
      </w:pPr>
      <w:r/>
      <w:r>
        <w:rPr>
          <w:b/>
        </w:rPr>
        <w:t>Layer 2: Protocol: "What should the system track and communicate?"</w:t>
      </w:r>
      <w:r/>
    </w:p>
    <w:p>
      <w:pPr>
        <w:ind w:firstLine="720"/>
      </w:pPr>
      <w:r>
        <w:t>The Protocol layer defines the information infrastructure: what learner state dimensions the system monitors and how agents communicate. Drawing on Yang's (2025) Dynamic Learner State model, this layer specifies four tracking dimensions (mastery, confidence, context, and decay) that collectively represent the learner's evolving condition during AI-assisted learning. The adaptivity engine maps these dimensions to system responses, ranging from simple performance-adaptive behavior (adjusting difficulty based on scores) to multi-dimensional adaptation (simultaneously tracking knowledge, affect, and engagement).</w:t>
      </w:r>
    </w:p>
    <w:p>
      <w:pPr>
        <w:ind w:firstLine="720"/>
      </w:pPr>
      <w:r>
        <w:t>For multi-agent systems, this layer additionally specifies communication protocols: how agents share learner state information, how handoffs between agents are structured, and how conflicts between agent recommendations are resolved.</w:t>
      </w:r>
    </w:p>
    <w:p>
      <w:pPr>
        <w:ind w:firstLine="720"/>
      </w:pPr>
      <w:r/>
      <w:r>
        <w:rPr>
          <w:i/>
        </w:rPr>
        <w:t>Meta-analysis input</w:t>
      </w:r>
      <w:r>
        <w:t>: RQ3 (architecture moderation) determines whether multi-agent coordination yields measurably better outcomes than single-agent operation, informing whether the full Protocol layer is warranted.</w:t>
      </w:r>
    </w:p>
    <w:p>
      <w:pPr>
        <w:ind w:firstLine="720"/>
      </w:pPr>
      <w:r/>
      <w:r>
        <w:rPr>
          <w:b/>
        </w:rPr>
        <w:t>Layer 3: Orchestration: "How should AI agents and humans interact?"</w:t>
      </w:r>
      <w:r/>
    </w:p>
    <w:p>
      <w:pPr>
        <w:ind w:firstLine="720"/>
      </w:pPr>
      <w:r>
        <w:t xml:space="preserve">The Orchestration layer governs real-time interaction between AI agents, human educators, and learners. Its central component is </w:t>
      </w:r>
      <w:r>
        <w:rPr>
          <w:i/>
        </w:rPr>
        <w:t>human oversight calibration</w:t>
      </w:r>
      <w:r>
        <w:t>, grounded in Parasuraman et al.'s (2000) automation level taxonomy and operationalized through a three-level scheme: fully autonomous operation, AI-led with human checkpoints, and human-led with AI support (see Section 2.3).</w:t>
      </w:r>
    </w:p>
    <w:p>
      <w:pPr>
        <w:ind w:firstLine="720"/>
      </w:pPr>
      <w:r>
        <w:t xml:space="preserve">Checkpoints are triggered by Event System Theory criteria (Morgeson et al., 2015): when learning events exhibit high novelty, disruption, or criticality, oversight level escalates. Three checkpoint types are defined: </w:t>
      </w:r>
      <w:r>
        <w:rPr>
          <w:i/>
        </w:rPr>
        <w:t>critical</w:t>
      </w:r>
      <w:r>
        <w:t xml:space="preserve"> (mandatory human review before proceeding), </w:t>
      </w:r>
      <w:r>
        <w:rPr>
          <w:i/>
        </w:rPr>
        <w:t>advisory</w:t>
      </w:r>
      <w:r>
        <w:t xml:space="preserve"> (human notified; can intervene or approve AI continuation), and </w:t>
      </w:r>
      <w:r>
        <w:rPr>
          <w:i/>
        </w:rPr>
        <w:t>informational</w:t>
      </w:r>
      <w:r>
        <w:t xml:space="preserve"> (human informed; AI continues unless overridden). Checkpoint frequency is calibrated by context, with higher frequency for K-12 and high-stakes professional education and lower frequency for workplace training where adult autonomy is expected.</w:t>
      </w:r>
    </w:p>
    <w:p>
      <w:pPr>
        <w:ind w:firstLine="720"/>
      </w:pPr>
      <w:r/>
      <w:r>
        <w:rPr>
          <w:i/>
        </w:rPr>
        <w:t>Meta-analysis input</w:t>
      </w:r>
      <w:r>
        <w:t>: RQ2 (human oversight moderation) provides the primary evidence for Layer 3 calibration. If checkpoint-based AI shows significantly larger effects than fully autonomous AI, this validates the checkpoint architecture; if not, the layer is simplified.</w:t>
      </w:r>
    </w:p>
    <w:p>
      <w:pPr>
        <w:pStyle w:val="Heading2"/>
      </w:pPr>
      <w:r>
        <w:t>3.3 Falsifiability and Adaptation</w:t>
      </w:r>
    </w:p>
    <w:p>
      <w:pPr>
        <w:ind w:firstLine="720"/>
      </w:pPr>
      <w:r>
        <w:t>A distinguishing feature of the HALO Framework is its explicit falsifiability. Table 2 presents the hypothesized mappings from meta-analytic findings to design principles, along with the framework adjustments that would follow from unexpected findings.</w:t>
      </w:r>
    </w:p>
    <w:p>
      <w:pPr>
        <w:ind w:firstLine="720"/>
      </w:pPr>
      <w:r/>
      <w:r>
        <w:rPr>
          <w:b/>
        </w:rPr>
        <w:t>Table 2</w:t>
      </w:r>
      <w:r/>
    </w:p>
    <w:p>
      <w:pPr>
        <w:ind w:firstLine="720"/>
      </w:pPr>
      <w:r/>
      <w:r>
        <w:rPr>
          <w:i/>
        </w:rPr>
        <w:t>Hypothesized Meta-Analytic Findings and HALO Framework Implications</w:t>
      </w:r>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Hypothesized Finding</w:t>
            </w:r>
          </w:p>
        </w:tc>
        <w:tc>
          <w:tcPr>
            <w:tcW w:type="dxa" w:w="3120"/>
          </w:tcPr>
          <w:p>
            <w:r/>
            <w:r>
              <w:rPr>
                <w:rFonts w:ascii="Times New Roman" w:hAnsi="Times New Roman"/>
                <w:b/>
                <w:sz w:val="20"/>
              </w:rPr>
              <w:t>Design Principle</w:t>
            </w:r>
          </w:p>
        </w:tc>
        <w:tc>
          <w:tcPr>
            <w:tcW w:type="dxa" w:w="3120"/>
          </w:tcPr>
          <w:p>
            <w:r/>
            <w:r>
              <w:rPr>
                <w:rFonts w:ascii="Times New Roman" w:hAnsi="Times New Roman"/>
                <w:b/>
                <w:sz w:val="20"/>
              </w:rPr>
              <w:t>If Not Supported</w:t>
            </w:r>
          </w:p>
        </w:tc>
      </w:tr>
      <w:tr>
        <w:tc>
          <w:tcPr>
            <w:tcW w:type="dxa" w:w="3120"/>
          </w:tcPr>
          <w:p>
            <w:r/>
            <w:r>
              <w:rPr>
                <w:rFonts w:ascii="Times New Roman" w:hAnsi="Times New Roman"/>
                <w:sz w:val="20"/>
              </w:rPr>
              <w:t>AI-led with checkpoints &gt; fully autonomous (RQ2)</w:t>
            </w:r>
          </w:p>
        </w:tc>
        <w:tc>
          <w:tcPr>
            <w:tcW w:type="dxa" w:w="3120"/>
          </w:tcPr>
          <w:p>
            <w:r/>
            <w:r>
              <w:rPr>
                <w:rFonts w:ascii="Times New Roman" w:hAnsi="Times New Roman"/>
                <w:sz w:val="20"/>
              </w:rPr>
              <w:t>Human checkpoints as default</w:t>
            </w:r>
          </w:p>
        </w:tc>
        <w:tc>
          <w:tcPr>
            <w:tcW w:type="dxa" w:w="3120"/>
          </w:tcPr>
          <w:p>
            <w:r/>
            <w:r>
              <w:rPr>
                <w:rFonts w:ascii="Times New Roman" w:hAnsi="Times New Roman"/>
                <w:sz w:val="20"/>
              </w:rPr>
              <w:t>Checkpoints optional; context-specific deployment</w:t>
            </w:r>
          </w:p>
        </w:tc>
      </w:tr>
      <w:tr>
        <w:tc>
          <w:tcPr>
            <w:tcW w:type="dxa" w:w="3120"/>
          </w:tcPr>
          <w:p>
            <w:r/>
            <w:r>
              <w:rPr>
                <w:rFonts w:ascii="Times New Roman" w:hAnsi="Times New Roman"/>
                <w:sz w:val="20"/>
              </w:rPr>
              <w:t>Multi-agent &gt; single-agent (RQ3)</w:t>
            </w:r>
          </w:p>
        </w:tc>
        <w:tc>
          <w:tcPr>
            <w:tcW w:type="dxa" w:w="3120"/>
          </w:tcPr>
          <w:p>
            <w:r/>
            <w:r>
              <w:rPr>
                <w:rFonts w:ascii="Times New Roman" w:hAnsi="Times New Roman"/>
                <w:sz w:val="20"/>
              </w:rPr>
              <w:t>Multi-agent orchestration recommended</w:t>
            </w:r>
          </w:p>
        </w:tc>
        <w:tc>
          <w:tcPr>
            <w:tcW w:type="dxa" w:w="3120"/>
          </w:tcPr>
          <w:p>
            <w:r/>
            <w:r>
              <w:rPr>
                <w:rFonts w:ascii="Times New Roman" w:hAnsi="Times New Roman"/>
                <w:sz w:val="20"/>
              </w:rPr>
              <w:t>Simplify Layer 2; single-agent sufficient</w:t>
            </w:r>
          </w:p>
        </w:tc>
      </w:tr>
      <w:tr>
        <w:tc>
          <w:tcPr>
            <w:tcW w:type="dxa" w:w="3120"/>
          </w:tcPr>
          <w:p>
            <w:r/>
            <w:r>
              <w:rPr>
                <w:rFonts w:ascii="Times New Roman" w:hAnsi="Times New Roman"/>
                <w:sz w:val="20"/>
              </w:rPr>
              <w:t>Significant context effects (RQ4)</w:t>
            </w:r>
          </w:p>
        </w:tc>
        <w:tc>
          <w:tcPr>
            <w:tcW w:type="dxa" w:w="3120"/>
          </w:tcPr>
          <w:p>
            <w:r/>
            <w:r>
              <w:rPr>
                <w:rFonts w:ascii="Times New Roman" w:hAnsi="Times New Roman"/>
                <w:sz w:val="20"/>
              </w:rPr>
              <w:t>Context-specific configuration required</w:t>
            </w:r>
          </w:p>
        </w:tc>
        <w:tc>
          <w:tcPr>
            <w:tcW w:type="dxa" w:w="3120"/>
          </w:tcPr>
          <w:p>
            <w:r/>
            <w:r>
              <w:rPr>
                <w:rFonts w:ascii="Times New Roman" w:hAnsi="Times New Roman"/>
                <w:sz w:val="20"/>
              </w:rPr>
              <w:t>Universal configuration; simplify Layer 1</w:t>
            </w:r>
          </w:p>
        </w:tc>
      </w:tr>
      <w:tr>
        <w:tc>
          <w:tcPr>
            <w:tcW w:type="dxa" w:w="3120"/>
          </w:tcPr>
          <w:p>
            <w:r/>
            <w:r>
              <w:rPr>
                <w:rFonts w:ascii="Times New Roman" w:hAnsi="Times New Roman"/>
                <w:sz w:val="20"/>
              </w:rPr>
              <w:t>Higher-agency AI more effective for advanced learners</w:t>
            </w:r>
          </w:p>
        </w:tc>
        <w:tc>
          <w:tcPr>
            <w:tcW w:type="dxa" w:w="3120"/>
          </w:tcPr>
          <w:p>
            <w:r/>
            <w:r>
              <w:rPr>
                <w:rFonts w:ascii="Times New Roman" w:hAnsi="Times New Roman"/>
                <w:sz w:val="20"/>
              </w:rPr>
              <w:t>Progressive agency calibration</w:t>
            </w:r>
          </w:p>
        </w:tc>
        <w:tc>
          <w:tcPr>
            <w:tcW w:type="dxa" w:w="3120"/>
          </w:tcPr>
          <w:p>
            <w:r/>
            <w:r>
              <w:rPr>
                <w:rFonts w:ascii="Times New Roman" w:hAnsi="Times New Roman"/>
                <w:sz w:val="20"/>
              </w:rPr>
              <w:t>Uniform agency level across contexts</w:t>
            </w:r>
          </w:p>
        </w:tc>
      </w:tr>
    </w:tbl>
    <w:p>
      <w:pPr>
        <w:ind w:firstLine="720"/>
      </w:pPr>
      <w:r>
        <w:t>This pre-analysis framework will be refined following the meta-analytic results reported in Section 5, with the evidence-based version presented in Section 6.</w:t>
      </w:r>
    </w:p>
    <w:p>
      <w:pPr>
        <w:pStyle w:val="Heading1"/>
      </w:pPr>
      <w:r>
        <w:t>4. Method</w:t>
      </w:r>
    </w:p>
    <w:p>
      <w:pPr>
        <w:ind w:firstLine="720"/>
      </w:pPr>
      <w:r>
        <w:t>This meta-analysis follows the Preferred Reporting Items for Systematic Reviews and Meta-Analyses (PRISMA 2020; Page et al., 2021) guidelines. The protocol was pre-registered on PROSPERO [registration number to be inserted upon completion].</w:t>
      </w:r>
    </w:p>
    <w:p>
      <w:pPr>
        <w:pStyle w:val="Heading2"/>
      </w:pPr>
      <w:r>
        <w:t>4.1 Eligibility Criteria</w:t>
      </w:r>
    </w:p>
    <w:p>
      <w:pPr>
        <w:ind w:firstLine="720"/>
      </w:pPr>
      <w:r>
        <w:t>Studies were included if they met five criteria organized by the PICOS framework (Population, Intervention, Comparison, Outcome, Study design):</w:t>
      </w:r>
    </w:p>
    <w:p>
      <w:pPr>
        <w:ind w:firstLine="720"/>
      </w:pPr>
      <w:r/>
      <w:r>
        <w:rPr>
          <w:b/>
        </w:rPr>
        <w:t>Population.</w:t>
      </w:r>
      <w:r>
        <w:t xml:space="preserve"> Learners in any formal or structured educational context, including K-12, higher education, workplace training, professional education, and continuing education settings. Studies involving non-learner populations (e.g., patients interacting with AI for non-educational purposes) were excluded.</w:t>
      </w:r>
    </w:p>
    <w:p>
      <w:pPr>
        <w:ind w:firstLine="720"/>
      </w:pPr>
      <w:r/>
      <w:r>
        <w:rPr>
          <w:b/>
        </w:rPr>
        <w:t>Intervention.</w:t>
      </w:r>
      <w:r>
        <w:t xml:space="preserve"> AI systems exhibiting at least one form of autonomous pedagogical action, operationally defined using the APCP framework (Yan, 2025) as AI systems that (a) adaptively respond to learner inputs by adjusting content, difficulty, or pacing; (b) proactively initiate interactions without explicit learner prompts; (c) engage as co-learners sharing the learning process; or (d) function as peers capable of reciprocal socio-cognitive interaction. Systems limited to static content delivery, simple keyword-based FAQ responses, or passive information retrieval tools without adaptive behavior were excluded.</w:t>
      </w:r>
    </w:p>
    <w:p>
      <w:pPr>
        <w:ind w:firstLine="720"/>
      </w:pPr>
      <w:r/>
      <w:r>
        <w:rPr>
          <w:b/>
        </w:rPr>
        <w:t>Comparison.</w:t>
      </w:r>
      <w:r>
        <w:t xml:space="preserve"> At least one comparison condition: no AI (traditional instruction, waitlist, or business-as-usual), non-agentic AI (static or passive AI tools), or a different AI agency level (e.g., fully autonomous vs. human-supervised conditions within the same study).</w:t>
      </w:r>
    </w:p>
    <w:p>
      <w:pPr>
        <w:ind w:firstLine="720"/>
      </w:pPr>
      <w:r/>
      <w:r>
        <w:rPr>
          <w:b/>
        </w:rPr>
        <w:t>Outcome.</w:t>
      </w:r>
      <w:r>
        <w:t xml:space="preserve"> At least one quantitative learning outcome in one of four categories: cognitive (factual recall, conceptual understanding), skill-based (procedural skills, problem-solving), affective (motivation, self-efficacy, engagement), or performance (job performance, transfer to real-world application). Studies reporting only satisfaction, usability, or system performance metrics were excluded.</w:t>
      </w:r>
    </w:p>
    <w:p>
      <w:pPr>
        <w:ind w:firstLine="720"/>
      </w:pPr>
      <w:r/>
      <w:r>
        <w:rPr>
          <w:b/>
        </w:rPr>
        <w:t>Study design.</w:t>
      </w:r>
      <w:r>
        <w:t xml:space="preserve"> Experimental (randomized controlled trials), quasi-experimental (non-random assignment with comparison group), or pre-post within-subjects designs providing sufficient data for effect size computation. Purely qualitative studies, case studies, and surveys without comparison conditions were excluded.</w:t>
      </w:r>
    </w:p>
    <w:p>
      <w:pPr>
        <w:ind w:firstLine="720"/>
      </w:pPr>
      <w:r/>
      <w:r>
        <w:rPr>
          <w:b/>
        </w:rPr>
        <w:t>Additional criteria.</w:t>
      </w:r>
      <w:r>
        <w:t xml:space="preserve"> Studies published between January 2018 and December 2025 in English-language peer-reviewed journals or conference proceedings were included. The 2018 lower bound reflects the emergence of agentic AI capabilities in educational contexts following advances in deep learning and natural language processing.</w:t>
      </w:r>
    </w:p>
    <w:p>
      <w:pPr>
        <w:pStyle w:val="Heading2"/>
      </w:pPr>
      <w:r>
        <w:t>4.2 Information Sources and Search Strategy</w:t>
      </w:r>
    </w:p>
    <w:p>
      <w:pPr>
        <w:ind w:firstLine="720"/>
      </w:pPr>
      <w:r>
        <w:t>Six electronic databases were searched: Web of Science (Core Collection), Scopus, ERIC, PsycINFO, IEEE Xplore, and ACM Digital Library. These databases were selected to ensure comprehensive coverage across education (ERIC, PsycINFO), interdisciplinary research (Web of Science, Scopus), and computer science and engineering (IEEE Xplore, ACM Digital Library).</w:t>
      </w:r>
    </w:p>
    <w:p>
      <w:pPr>
        <w:ind w:firstLine="720"/>
      </w:pPr>
      <w:r>
        <w:t>The search strategy combined three concept blocks using Boolean AND operators: (a) AI agent terminology (e.g., "AI agent</w:t>
      </w:r>
      <w:r>
        <w:rPr>
          <w:i/>
        </w:rPr>
        <w:t>," "intelligent tutoring system</w:t>
      </w:r>
      <w:r>
        <w:t>," "pedagogical agent</w:t>
      </w:r>
      <w:r>
        <w:rPr>
          <w:i/>
        </w:rPr>
        <w:t>," "agentic AI," "conversational agent</w:t>
      </w:r>
      <w:r>
        <w:t>," "AI chatbot</w:t>
      </w:r>
      <w:r>
        <w:rPr>
          <w:i/>
        </w:rPr>
        <w:t>," "multi-agent system</w:t>
      </w:r>
      <w:r>
        <w:t>"), (b) learning outcome terminology (e.g., "learning outcome</w:t>
      </w:r>
      <w:r>
        <w:rPr>
          <w:i/>
        </w:rPr>
        <w:t>," "academic achievement," "knowledge gain</w:t>
      </w:r>
      <w:r>
        <w:t>," "skill acquisition," "test score</w:t>
      </w:r>
      <w:r>
        <w:rPr>
          <w:i/>
        </w:rPr>
        <w:t>"), and (c) educational context terminology (e.g., "education</w:t>
      </w:r>
      <w:r>
        <w:t>," "training," "instruction," "workplace," "professional development"). Database-specific syntax adaptations (field codes, truncation operators, proximity operators) were applied for each database. The complete search strings are reported in Supplementary Appendix A.</w:t>
      </w:r>
    </w:p>
    <w:p>
      <w:pPr>
        <w:ind w:firstLine="720"/>
      </w:pPr>
      <w:r>
        <w:t>Supplementary searches included backward and forward citation tracking from five seed articles (Dai et al., 2024; Ma et al., 2014; Kulik &amp; Fletcher, 2016; Yang, 2025; Yan, 2025), hand-searching of three key journals (</w:t>
      </w:r>
      <w:r>
        <w:rPr>
          <w:i/>
        </w:rPr>
        <w:t>Computers &amp; Education</w:t>
      </w:r>
      <w:r>
        <w:t xml:space="preserve">, </w:t>
      </w:r>
      <w:r>
        <w:rPr>
          <w:i/>
        </w:rPr>
        <w:t>International Journal of Artificial Intelligence in Education</w:t>
      </w:r>
      <w:r>
        <w:t xml:space="preserve">, </w:t>
      </w:r>
      <w:r>
        <w:rPr>
          <w:i/>
        </w:rPr>
        <w:t>Educational Technology Research and Development</w:t>
      </w:r>
      <w:r>
        <w:t>), and screening of preprint servers (SSRN, EdArXiv) and dissertations (ProQuest).</w:t>
      </w:r>
    </w:p>
    <w:p>
      <w:pPr>
        <w:pStyle w:val="Heading2"/>
      </w:pPr>
      <w:r>
        <w:t>4.3 Study Selection</w:t>
      </w:r>
    </w:p>
    <w:p>
      <w:pPr>
        <w:ind w:firstLine="720"/>
      </w:pPr>
      <w:r>
        <w:t>Study selection followed a two-phase procedure with independent dual screening.</w:t>
      </w:r>
    </w:p>
    <w:p>
      <w:pPr>
        <w:ind w:firstLine="720"/>
      </w:pPr>
      <w:r/>
      <w:r>
        <w:rPr>
          <w:b/>
        </w:rPr>
        <w:t>Phase 1: Title and abstract screening.</w:t>
      </w:r>
      <w:r>
        <w:t xml:space="preserve"> After deduplication using automated tools, two reviewers independently screened titles and abstracts against the eligibility criteria. A pilot screening of 100 records was conducted first, with discrepancies discussed to calibrate inclusion thresholds. Target inter-rater agreement was Cohen's kappa &gt;= 0.80. Records were retained if either reviewer judged them as potentially relevant (liberal inclusion strategy at this stage).</w:t>
      </w:r>
    </w:p>
    <w:p>
      <w:pPr>
        <w:ind w:firstLine="720"/>
      </w:pPr>
      <w:r/>
      <w:r>
        <w:rPr>
          <w:b/>
        </w:rPr>
        <w:t>Phase 2: Full-text screening.</w:t>
      </w:r>
      <w:r>
        <w:t xml:space="preserve"> Full texts of retained records were retrieved and independently assessed by both reviewers. Exclusion reasons were documented for each rejected study. Disagreements were resolved through discussion; unresolved cases were adjudicated by a third reviewer. The study selection process is documented in a PRISMA flow diagram (Figure 1).</w:t>
      </w:r>
    </w:p>
    <w:p>
      <w:pPr>
        <w:pStyle w:val="Heading2"/>
      </w:pPr>
      <w:r>
        <w:t>4.4 Data Extraction and Coding</w:t>
      </w:r>
    </w:p>
    <w:p>
      <w:pPr>
        <w:ind w:firstLine="720"/>
      </w:pPr>
      <w:r>
        <w:t>Data were extracted independently by two coders using a standardized coding form (see Supplementary Material B for the complete codebook). The coding scheme encompassed four domains:</w:t>
      </w:r>
    </w:p>
    <w:p>
      <w:pPr>
        <w:ind w:firstLine="720"/>
      </w:pPr>
      <w:r/>
      <w:r>
        <w:rPr>
          <w:b/>
        </w:rPr>
        <w:t>Study characteristics.</w:t>
      </w:r>
      <w:r>
        <w:t xml:space="preserve"> Publication year, journal, country, research design, sample sizes, attrition rate, and intervention duration.</w:t>
      </w:r>
    </w:p>
    <w:p>
      <w:pPr>
        <w:ind w:firstLine="720"/>
      </w:pPr>
      <w:r/>
      <w:r>
        <w:rPr>
          <w:b/>
        </w:rPr>
        <w:t>AI agent characteristics.</w:t>
      </w:r>
      <w:r>
        <w:t xml:space="preserve"> Six key moderator variables were coded: (a) </w:t>
      </w:r>
      <w:r>
        <w:rPr>
          <w:i/>
        </w:rPr>
        <w:t>human oversight level</w:t>
      </w:r>
      <w:r>
        <w:t xml:space="preserve"> (1 = fully autonomous, 2 = AI-led with human checkpoints, 3 = human-led with AI support), coded from intervention descriptions using Parasuraman et al.'s (2000) automation level taxonomy collapsed into three meta-analytically tractable categories; (b) </w:t>
      </w:r>
      <w:r>
        <w:rPr>
          <w:i/>
        </w:rPr>
        <w:t>agent architecture</w:t>
      </w:r>
      <w:r>
        <w:t xml:space="preserve"> (1 = single agent, 2 = multi-agent system); (c) </w:t>
      </w:r>
      <w:r>
        <w:rPr>
          <w:i/>
        </w:rPr>
        <w:t>agent agency level</w:t>
      </w:r>
      <w:r>
        <w:t xml:space="preserve"> (1-4 on the APCP scale; Yan, 2025); (d) </w:t>
      </w:r>
      <w:r>
        <w:rPr>
          <w:i/>
        </w:rPr>
        <w:t>agent role</w:t>
      </w:r>
      <w:r>
        <w:t xml:space="preserve"> (tutor, coach, assessor, collaborator, facilitator, or multiple); (e) </w:t>
      </w:r>
      <w:r>
        <w:rPr>
          <w:i/>
        </w:rPr>
        <w:t>AI technology base</w:t>
      </w:r>
      <w:r>
        <w:t xml:space="preserve"> (rule-based, machine learning, NLP, large language model, reinforcement learning, or hybrid); and (f) </w:t>
      </w:r>
      <w:r>
        <w:rPr>
          <w:i/>
        </w:rPr>
        <w:t>adaptivity level</w:t>
      </w:r>
      <w:r>
        <w:t xml:space="preserve"> (static, performance-adaptive, behavior-adaptive, affect-adaptive, or multi-dimensional).</w:t>
      </w:r>
    </w:p>
    <w:p>
      <w:pPr>
        <w:ind w:firstLine="720"/>
      </w:pPr>
      <w:r>
        <w:t>Human oversight level, the primary novel moderator, was coded using a structured decision protocol. Coders identified who made primary pedagogical decisions during the learning interaction and coded accordingly. When studies did not explicitly describe oversight arrangements, default coding rules were applied (e.g., "instructor monitoring without intervention mechanism" was coded as fully autonomous). All coding decisions were documented in a notes field with supporting textual evidence from the primary study.</w:t>
      </w:r>
    </w:p>
    <w:p>
      <w:pPr>
        <w:ind w:firstLine="720"/>
      </w:pPr>
      <w:r/>
      <w:r>
        <w:rPr>
          <w:b/>
        </w:rPr>
        <w:t>Learning context characteristics.</w:t>
      </w:r>
      <w:r>
        <w:t xml:space="preserve"> Context type (K-12, higher education, workplace training, professional education, continuing education), subject domain, learning mode, and delivery format.</w:t>
      </w:r>
    </w:p>
    <w:p>
      <w:pPr>
        <w:ind w:firstLine="720"/>
      </w:pPr>
      <w:r/>
      <w:r>
        <w:rPr>
          <w:b/>
        </w:rPr>
        <w:t>Learning outcome characteristics.</w:t>
      </w:r>
      <w:r>
        <w:t xml:space="preserve"> Outcome type (cognitive, skill-based, affective, performance), Bloom's taxonomy level (remember-understand, apply-analyze, evaluate-create), measurement type, and measurement timing (immediate, delayed, transfer).</w:t>
      </w:r>
    </w:p>
    <w:p>
      <w:pPr>
        <w:ind w:firstLine="720"/>
      </w:pPr>
      <w:r/>
      <w:r>
        <w:rPr>
          <w:b/>
        </w:rPr>
        <w:t>Intercoder reliability.</w:t>
      </w:r>
      <w:r>
        <w:t xml:space="preserve"> Following independent coding, Cohen's kappa was computed for each categorical variable and intraclass correlation coefficients (ICC) for continuous variables. Target thresholds were kappa &gt;= 0.80 and ICC &gt;= 0.85. Discrepancies were resolved through discussion; unresolved cases were adjudicated by a third coder.</w:t>
      </w:r>
    </w:p>
    <w:p>
      <w:pPr>
        <w:pStyle w:val="Heading2"/>
      </w:pPr>
      <w:r>
        <w:t>4.5 Effect Size Computation</w:t>
      </w:r>
    </w:p>
    <w:p>
      <w:pPr>
        <w:ind w:firstLine="720"/>
      </w:pPr>
      <w:r>
        <w:t xml:space="preserve">Hedges' </w:t>
      </w:r>
      <w:r>
        <w:rPr>
          <w:i/>
        </w:rPr>
        <w:t>g</w:t>
      </w:r>
      <w:r>
        <w:t xml:space="preserve"> was computed as the primary effect size metric. For studies reporting means and standard deviations, </w:t>
      </w:r>
      <w:r>
        <w:rPr>
          <w:i/>
        </w:rPr>
        <w:t>g</w:t>
      </w:r>
      <w:r>
        <w:t xml:space="preserve"> was calculated as:</w:t>
      </w:r>
    </w:p>
    <w:p>
      <w:pPr>
        <w:ind w:firstLine="720"/>
      </w:pPr>
      <w:r/>
      <w:r>
        <w:rPr>
          <w:i/>
        </w:rPr>
        <w:t>g</w:t>
      </w:r>
      <w:r>
        <w:t xml:space="preserve"> = </w:t>
      </w:r>
      <w:r>
        <w:rPr>
          <w:i/>
        </w:rPr>
        <w:t>J</w:t>
      </w:r>
      <w:r>
        <w:t xml:space="preserve"> x (</w:t>
      </w:r>
      <w:r>
        <w:rPr>
          <w:i/>
        </w:rPr>
        <w:t>M</w:t>
      </w:r>
      <w:r>
        <w:t xml:space="preserve">_treatment - </w:t>
      </w:r>
      <w:r>
        <w:rPr>
          <w:i/>
        </w:rPr>
        <w:t>M</w:t>
      </w:r>
      <w:r>
        <w:t xml:space="preserve">_control) / </w:t>
      </w:r>
      <w:r>
        <w:rPr>
          <w:i/>
        </w:rPr>
        <w:t>SD</w:t>
      </w:r>
      <w:r>
        <w:t>_pooled</w:t>
      </w:r>
    </w:p>
    <w:p>
      <w:pPr>
        <w:ind w:firstLine="720"/>
      </w:pPr>
      <w:r>
        <w:t xml:space="preserve">where </w:t>
      </w:r>
      <w:r>
        <w:rPr>
          <w:i/>
        </w:rPr>
        <w:t>J</w:t>
      </w:r>
      <w:r>
        <w:t xml:space="preserve"> = 1 - 3 / (4(</w:t>
      </w:r>
      <w:r>
        <w:rPr>
          <w:i/>
        </w:rPr>
        <w:t>df</w:t>
      </w:r>
      <w:r>
        <w:t>) - 1) is the small-sample correction factor (Hedges, 1981). For studies reporting only test statistics (</w:t>
      </w:r>
      <w:r>
        <w:rPr>
          <w:i/>
        </w:rPr>
        <w:t>t</w:t>
      </w:r>
      <w:r>
        <w:t xml:space="preserve">, </w:t>
      </w:r>
      <w:r>
        <w:rPr>
          <w:i/>
        </w:rPr>
        <w:t>F</w:t>
      </w:r>
      <w:r>
        <w:t xml:space="preserve">, chi-square) or </w:t>
      </w:r>
      <w:r>
        <w:rPr>
          <w:i/>
        </w:rPr>
        <w:t>p</w:t>
      </w:r>
      <w:r>
        <w:t xml:space="preserve">-values, appropriate conversion formulas were applied (Borenstein et al., 2009). For pre-post within-subjects designs without a control group, effect sizes were computed following Morris and DeShon (2002). Positive values of </w:t>
      </w:r>
      <w:r>
        <w:rPr>
          <w:i/>
        </w:rPr>
        <w:t>g</w:t>
      </w:r>
      <w:r>
        <w:t xml:space="preserve"> indicate that the agentic AI condition outperformed the comparison condition.</w:t>
      </w:r>
    </w:p>
    <w:p>
      <w:pPr>
        <w:ind w:firstLine="720"/>
      </w:pPr>
      <w:r>
        <w:t>When studies reported insufficient data for effect size computation, corresponding authors were contacted with a standardized data request; a two-week response window was allowed before classifying the data as unavailable.</w:t>
      </w:r>
    </w:p>
    <w:p>
      <w:pPr>
        <w:pStyle w:val="Heading2"/>
      </w:pPr>
      <w:r>
        <w:t>4.6 Statistical Analysis</w:t>
      </w:r>
    </w:p>
    <w:p>
      <w:pPr>
        <w:ind w:firstLine="720"/>
      </w:pPr>
      <w:r/>
      <w:r>
        <w:rPr>
          <w:b/>
        </w:rPr>
        <w:t>Overall effect size (RQ1).</w:t>
      </w:r>
      <w:r>
        <w:t xml:space="preserve"> A random-effects model with the restricted maximum likelihood (REML) estimator was fitted to estimate the overall mean effect of agentic AI on learning outcomes. Heterogeneity was assessed using the </w:t>
      </w:r>
      <w:r>
        <w:rPr>
          <w:i/>
        </w:rPr>
        <w:t>Q</w:t>
      </w:r>
      <w:r>
        <w:t xml:space="preserve">-statistic, </w:t>
      </w:r>
      <w:r>
        <w:rPr>
          <w:i/>
        </w:rPr>
        <w:t>I</w:t>
      </w:r>
      <w:r>
        <w:t>^2 (proportion of total variability due to true heterogeneity), tau^2 (between-study variance), and the 95% prediction interval.</w:t>
      </w:r>
    </w:p>
    <w:p>
      <w:pPr>
        <w:ind w:firstLine="720"/>
      </w:pPr>
      <w:r/>
      <w:r>
        <w:rPr>
          <w:b/>
        </w:rPr>
        <w:t>Dependent effect sizes.</w:t>
      </w:r>
      <w:r>
        <w:t xml:space="preserve"> Because many studies report multiple outcomes (e.g., knowledge test and motivation scale), a three-level meta-analytic model was employed as the primary approach, with effect sizes (Level 1) nested within studies (Level 2) and between-study heterogeneity at Level 3 (Van den Noortgate et al., 2013). Robust variance estimation (RVE) with cluster-robust standard errors (Hedges et al., 2010; Pustejovsky &amp; Tipton, 2022) was employed as a complementary approach and for small-sample inference using the clubSandwich package in R.</w:t>
      </w:r>
    </w:p>
    <w:p>
      <w:pPr>
        <w:ind w:firstLine="720"/>
      </w:pPr>
      <w:r/>
      <w:r>
        <w:rPr>
          <w:b/>
        </w:rPr>
        <w:t>Moderator analyses (RQ2-RQ4).</w:t>
      </w:r>
      <w:r>
        <w:t xml:space="preserve"> Categorical moderators (human oversight level, agent architecture, learning context) were examined using mixed-effects subgroup analysis, with the between-group heterogeneity test (</w:t>
      </w:r>
      <w:r>
        <w:rPr>
          <w:i/>
        </w:rPr>
        <w:t>Q</w:t>
      </w:r>
      <w:r>
        <w:t>_between) assessing whether moderator levels differed significantly. For exploratory analyses with continuous moderators (publication year, intervention duration), meta-regression was employed. All moderator analyses used cluster-robust variance estimation to account for dependent effect sizes.</w:t>
      </w:r>
    </w:p>
    <w:p>
      <w:pPr>
        <w:ind w:firstLine="720"/>
      </w:pPr>
      <w:r>
        <w:t xml:space="preserve">A minimum cell size of </w:t>
      </w:r>
      <w:r>
        <w:rPr>
          <w:i/>
        </w:rPr>
        <w:t>k</w:t>
      </w:r>
      <w:r>
        <w:t xml:space="preserve"> &gt;= 4 studies per moderator level was required for subgroup analysis. Moderator levels with fewer than four studies were either collapsed with conceptually adjacent levels or reported descriptively without formal testing.</w:t>
      </w:r>
    </w:p>
    <w:p>
      <w:pPr>
        <w:ind w:firstLine="720"/>
      </w:pPr>
      <w:r/>
      <w:r>
        <w:rPr>
          <w:b/>
        </w:rPr>
        <w:t>Publication bias (RQ1).</w:t>
      </w:r>
      <w:r>
        <w:t xml:space="preserve"> Publication bias was assessed using multiple complementary methods: visual inspection of funnel plots, Egger's regression test for funnel plot asymmetry, the trim-and-fill method (Duval &amp; Tweedie, 2000), and the </w:t>
      </w:r>
      <w:r>
        <w:rPr>
          <w:i/>
        </w:rPr>
        <w:t>p</w:t>
      </w:r>
      <w:r>
        <w:t xml:space="preserve">-curve analysis. For the primary analysis, a fail-safe </w:t>
      </w:r>
      <w:r>
        <w:rPr>
          <w:i/>
        </w:rPr>
        <w:t>N</w:t>
      </w:r>
      <w:r>
        <w:t xml:space="preserve"> (Rosenthal's method) was reported as a supplementary indicator.</w:t>
      </w:r>
    </w:p>
    <w:p>
      <w:pPr>
        <w:ind w:firstLine="720"/>
      </w:pPr>
      <w:r/>
      <w:r>
        <w:rPr>
          <w:b/>
        </w:rPr>
        <w:t>Sensitivity analyses.</w:t>
      </w:r>
      <w:r>
        <w:t xml:space="preserve"> Four pre-specified sensitivity analyses were conducted: (a) exclusion of studies with high overall risk of bias; (b) exclusion of pre-post within-subjects designs (retaining only between-group comparisons); (c) comparison of three-level model and RVE results; and (d) for the human oversight moderator, exclusion of studies coded with default rules due to insufficient intervention description (i.e., where oversight level was inferred rather than explicitly reported).</w:t>
      </w:r>
    </w:p>
    <w:p>
      <w:pPr>
        <w:ind w:firstLine="720"/>
      </w:pPr>
      <w:r/>
      <w:r>
        <w:rPr>
          <w:b/>
        </w:rPr>
        <w:t>Software.</w:t>
      </w:r>
      <w:r>
        <w:t xml:space="preserve"> All analyses were conducted in R (version &gt;= 4.3.0) using the metafor (Viechtbauer, 2010), clubSandwich (Pustejovsky &amp; Tipton, 2022), and robumeta packages. Analysis scripts are available in the project repository.</w:t>
      </w:r>
    </w:p>
    <w:p>
      <w:pPr>
        <w:pStyle w:val="Heading2"/>
      </w:pPr>
      <w:r>
        <w:t>4.7 Risk of Bias Assessment</w:t>
      </w:r>
    </w:p>
    <w:p>
      <w:pPr>
        <w:ind w:firstLine="720"/>
      </w:pPr>
      <w:r>
        <w:t>Risk of bias in individual studies was assessed using an adapted version of the Cochrane Risk of Bias tool (Sterne et al., 2019), modified for educational research contexts. Seven domains were evaluated: random sequence generation, allocation concealment, blinding of participants, blinding of outcome assessment, incomplete outcome data, selective outcome reporting, and other sources of bias. Each domain was rated as low risk, some concerns, or high risk. An overall risk of bias judgment was derived following Cochrane guidelines. Risk of bias ratings were used as a moderator in sensitivity analyses and as a quality indicator in the interpretation of results.</w:t>
      </w:r>
    </w:p>
    <w:p>
      <w:r>
        <w:br w:type="page"/>
      </w:r>
    </w:p>
    <w:p>
      <w:pPr>
        <w:pStyle w:val="Heading1"/>
      </w:pPr>
      <w:r>
        <w:t>References</w:t>
      </w:r>
    </w:p>
    <w:p>
      <w:pPr>
        <w:ind w:hanging="720" w:left="720"/>
      </w:pPr>
      <w:r>
        <w:t xml:space="preserve">Bernhard, E., Recker, J. C., &amp; Burton-Jones, A. (2013). Understanding the actualization of affordances: A study in the process modeling context. In </w:t>
      </w:r>
      <w:r>
        <w:rPr>
          <w:i/>
        </w:rPr>
        <w:t>Proceedings of the 34th International Conference on Information Systems (ICIS 2013)</w:t>
      </w:r>
      <w:r>
        <w:t>. AIS.</w:t>
      </w:r>
    </w:p>
    <w:p>
      <w:pPr>
        <w:ind w:hanging="720" w:left="720"/>
      </w:pPr>
      <w:r>
        <w:t xml:space="preserve">Borenstein, M., Hedges, L. V., Higgins, J. P. T., &amp; Rothstein, H. R. (2009). </w:t>
      </w:r>
      <w:r>
        <w:rPr>
          <w:i/>
        </w:rPr>
        <w:t>Introduction to meta-analysis</w:t>
      </w:r>
      <w:r>
        <w:t>. Wiley.</w:t>
      </w:r>
    </w:p>
    <w:p>
      <w:pPr>
        <w:ind w:hanging="720" w:left="720"/>
      </w:pPr>
      <w:r>
        <w:t xml:space="preserve">Dai, Z., Hu, Y., Wang, Y., &amp; Gu, X. (2024). Effects of AI-powered virtual agents on learning outcomes in computer-based simulations: A meta-analysis. </w:t>
      </w:r>
      <w:r>
        <w:rPr>
          <w:i/>
        </w:rPr>
        <w:t>Educational Psychology Review</w:t>
      </w:r>
      <w:r>
        <w:t xml:space="preserve">, </w:t>
      </w:r>
      <w:r>
        <w:rPr>
          <w:i/>
        </w:rPr>
        <w:t>36</w:t>
      </w:r>
      <w:r>
        <w:t>, 31. https://doi.org/10.1007/s10648-024-09887-4</w:t>
      </w:r>
    </w:p>
    <w:p>
      <w:pPr>
        <w:ind w:hanging="720" w:left="720"/>
      </w:pPr>
      <w:r>
        <w:t xml:space="preserve">Deng, X., &amp; Yu, Z. (2023). A meta-analysis and systematic review of the effect of chatbot technology use in sustainable education. </w:t>
      </w:r>
      <w:r>
        <w:rPr>
          <w:i/>
        </w:rPr>
        <w:t>Sustainability</w:t>
      </w:r>
      <w:r>
        <w:t xml:space="preserve">, </w:t>
      </w:r>
      <w:r>
        <w:rPr>
          <w:i/>
        </w:rPr>
        <w:t>15</w:t>
      </w:r>
      <w:r>
        <w:t>(4), 2940. https://doi.org/10.3390/su15042940</w:t>
      </w:r>
    </w:p>
    <w:p>
      <w:pPr>
        <w:ind w:hanging="720" w:left="720"/>
      </w:pPr>
      <w:r>
        <w:t xml:space="preserve">Duval, S., &amp; Tweedie, R. (2000). Trim and fill: A simple funnel-plot-based method of testing and adjusting for publication bias in meta-analysis. </w:t>
      </w:r>
      <w:r>
        <w:rPr>
          <w:i/>
        </w:rPr>
        <w:t>Biometrics</w:t>
      </w:r>
      <w:r>
        <w:t xml:space="preserve">, </w:t>
      </w:r>
      <w:r>
        <w:rPr>
          <w:i/>
        </w:rPr>
        <w:t>56</w:t>
      </w:r>
      <w:r>
        <w:t>(2), 455–463. https://doi.org/10.1111/j.0006-341X.2000.00455.x</w:t>
      </w:r>
    </w:p>
    <w:p>
      <w:pPr>
        <w:ind w:hanging="720" w:left="720"/>
      </w:pPr>
      <w:r>
        <w:t xml:space="preserve">Endsley, M. R. (2017). From here to autonomy: Lessons learned from human-automation research. </w:t>
      </w:r>
      <w:r>
        <w:rPr>
          <w:i/>
        </w:rPr>
        <w:t>Human Factors</w:t>
      </w:r>
      <w:r>
        <w:t xml:space="preserve">, </w:t>
      </w:r>
      <w:r>
        <w:rPr>
          <w:i/>
        </w:rPr>
        <w:t>59</w:t>
      </w:r>
      <w:r>
        <w:t>(1), 5–27. https://doi.org/10.1177/0018720816681350</w:t>
      </w:r>
    </w:p>
    <w:p>
      <w:pPr>
        <w:ind w:hanging="720" w:left="720"/>
      </w:pPr>
      <w:r>
        <w:t xml:space="preserve">European Parliament. (2024). Regulation (EU) 2024/1689 laying down harmonised rules on artificial intelligence (Artificial Intelligence Act). </w:t>
      </w:r>
      <w:r>
        <w:rPr>
          <w:i/>
        </w:rPr>
        <w:t>Official Journal of the European Union</w:t>
      </w:r>
      <w:r>
        <w:t>.</w:t>
      </w:r>
    </w:p>
    <w:p>
      <w:pPr>
        <w:ind w:hanging="720" w:left="720"/>
      </w:pPr>
      <w:r>
        <w:t xml:space="preserve">Hedges, L. V. (1981). Distribution theory for Glass's estimator of effect size and related estimators. </w:t>
      </w:r>
      <w:r>
        <w:rPr>
          <w:i/>
        </w:rPr>
        <w:t>Journal of Educational Statistics</w:t>
      </w:r>
      <w:r>
        <w:t xml:space="preserve">, </w:t>
      </w:r>
      <w:r>
        <w:rPr>
          <w:i/>
        </w:rPr>
        <w:t>6</w:t>
      </w:r>
      <w:r>
        <w:t>(2), 107–128. https://doi.org/10.2307/1164588</w:t>
      </w:r>
    </w:p>
    <w:p>
      <w:pPr>
        <w:ind w:hanging="720" w:left="720"/>
      </w:pPr>
      <w:r>
        <w:t xml:space="preserve">Hedges, L. V., Tipton, E., &amp; Johnson, M. C. (2010). Robust variance estimation in meta-regression with dependent effect size estimates. </w:t>
      </w:r>
      <w:r>
        <w:rPr>
          <w:i/>
        </w:rPr>
        <w:t>Research Synthesis Methods</w:t>
      </w:r>
      <w:r>
        <w:t xml:space="preserve">, </w:t>
      </w:r>
      <w:r>
        <w:rPr>
          <w:i/>
        </w:rPr>
        <w:t>1</w:t>
      </w:r>
      <w:r>
        <w:t>(1), 39–65. https://doi.org/10.1002/jrsm.5</w:t>
      </w:r>
    </w:p>
    <w:p>
      <w:pPr>
        <w:ind w:hanging="720" w:left="720"/>
      </w:pPr>
      <w:r>
        <w:t xml:space="preserve">Heidig, S., &amp; Clarebout, G. (2011). Do pedagogical agents make a difference to student motivation and learning? </w:t>
      </w:r>
      <w:r>
        <w:rPr>
          <w:i/>
        </w:rPr>
        <w:t>Educational Research Review</w:t>
      </w:r>
      <w:r>
        <w:t xml:space="preserve">, </w:t>
      </w:r>
      <w:r>
        <w:rPr>
          <w:i/>
        </w:rPr>
        <w:t>6</w:t>
      </w:r>
      <w:r>
        <w:t>(1), 27–54. https://doi.org/10.1016/j.edurev.2010.07.004</w:t>
      </w:r>
    </w:p>
    <w:p>
      <w:pPr>
        <w:ind w:hanging="720" w:left="720"/>
      </w:pPr>
      <w:r>
        <w:t xml:space="preserve">Holstein, K., McLaren, B. M., &amp; Aleven, V. (2019). The classroom as a dashboard: Co-designing wearable cognitive augmentation for K-12 teachers. In </w:t>
      </w:r>
      <w:r>
        <w:rPr>
          <w:i/>
        </w:rPr>
        <w:t>Proceedings of the 8th International Conference on Learning Analytics and Knowledge</w:t>
      </w:r>
      <w:r>
        <w:t xml:space="preserve"> (pp. 79–88). ACM. https://doi.org/10.1145/3170358.3170377</w:t>
      </w:r>
    </w:p>
    <w:p>
      <w:pPr>
        <w:ind w:hanging="720" w:left="720"/>
      </w:pPr>
      <w:r>
        <w:t xml:space="preserve">Kasneci, E., Sessler, K., Küchemann, S., Bannert, M., Dementieva, D., Fischer, F., Gasser, U., Groh, G., Günnemann, S., Hüllermeier, E., Kruber, S., Kutyniok, G., Michaeli, T., Nerdel, C., Pfeffer, J., Poquet, O., Sailer, M., Schmidt, A., Seidel, T., ... Kasneci, G. (2023). ChatGPT for good? On opportunities and challenges of large language models for education. </w:t>
      </w:r>
      <w:r>
        <w:rPr>
          <w:i/>
        </w:rPr>
        <w:t>Learning and Individual Differences</w:t>
      </w:r>
      <w:r>
        <w:t xml:space="preserve">, </w:t>
      </w:r>
      <w:r>
        <w:rPr>
          <w:i/>
        </w:rPr>
        <w:t>103</w:t>
      </w:r>
      <w:r>
        <w:t>, 102274. https://doi.org/10.1016/j.lindif.2023.102274</w:t>
      </w:r>
    </w:p>
    <w:p>
      <w:pPr>
        <w:ind w:hanging="720" w:left="720"/>
      </w:pPr>
      <w:r>
        <w:t xml:space="preserve">Kulik, J. A., &amp; Fletcher, J. D. (2016). Effectiveness of intelligent tutoring systems: A meta-analytic review. </w:t>
      </w:r>
      <w:r>
        <w:rPr>
          <w:i/>
        </w:rPr>
        <w:t>Review of Educational Research</w:t>
      </w:r>
      <w:r>
        <w:t xml:space="preserve">, </w:t>
      </w:r>
      <w:r>
        <w:rPr>
          <w:i/>
        </w:rPr>
        <w:t>86</w:t>
      </w:r>
      <w:r>
        <w:t>(1), 42–78. https://doi.org/10.3102/0034654315581420</w:t>
      </w:r>
    </w:p>
    <w:p>
      <w:pPr>
        <w:ind w:hanging="720" w:left="720"/>
      </w:pPr>
      <w:r>
        <w:t xml:space="preserve">Lipsey, M. W., &amp; Wilson, D. B. (2001). </w:t>
      </w:r>
      <w:r>
        <w:rPr>
          <w:i/>
        </w:rPr>
        <w:t>Practical meta-analysis</w:t>
      </w:r>
      <w:r>
        <w:t>. SAGE.</w:t>
      </w:r>
    </w:p>
    <w:p>
      <w:pPr>
        <w:ind w:hanging="720" w:left="720"/>
      </w:pPr>
      <w:r>
        <w:t xml:space="preserve">Ma, W., Adesope, O. O., Nesbit, J. C., &amp; Liu, Q. (2014). Intelligent tutoring systems and learning outcomes: A meta-analysis. </w:t>
      </w:r>
      <w:r>
        <w:rPr>
          <w:i/>
        </w:rPr>
        <w:t>Journal of Educational Psychology</w:t>
      </w:r>
      <w:r>
        <w:t xml:space="preserve">, </w:t>
      </w:r>
      <w:r>
        <w:rPr>
          <w:i/>
        </w:rPr>
        <w:t>106</w:t>
      </w:r>
      <w:r>
        <w:t>(4), 901–918. https://doi.org/10.1037/a0037123</w:t>
      </w:r>
    </w:p>
    <w:p>
      <w:pPr>
        <w:ind w:hanging="720" w:left="720"/>
      </w:pPr>
      <w:r>
        <w:t xml:space="preserve">Molenaar, I. (2022). The concept of hybrid human-AI regulation: Exemplifying how to support young learners' self-regulated learning. </w:t>
      </w:r>
      <w:r>
        <w:rPr>
          <w:i/>
        </w:rPr>
        <w:t>Computers and Education: Artificial Intelligence</w:t>
      </w:r>
      <w:r>
        <w:t xml:space="preserve">, </w:t>
      </w:r>
      <w:r>
        <w:rPr>
          <w:i/>
        </w:rPr>
        <w:t>3</w:t>
      </w:r>
      <w:r>
        <w:t>, 100070. https://doi.org/10.1016/j.caeai.2022.100070</w:t>
      </w:r>
    </w:p>
    <w:p>
      <w:pPr>
        <w:ind w:hanging="720" w:left="720"/>
      </w:pPr>
      <w:r>
        <w:t xml:space="preserve">Morgeson, F. P., Mitchell, T. R., &amp; Liu, D. (2015). Event system theory: An event-oriented approach to the organizational sciences. </w:t>
      </w:r>
      <w:r>
        <w:rPr>
          <w:i/>
        </w:rPr>
        <w:t>Academy of Management Review</w:t>
      </w:r>
      <w:r>
        <w:t xml:space="preserve">, </w:t>
      </w:r>
      <w:r>
        <w:rPr>
          <w:i/>
        </w:rPr>
        <w:t>40</w:t>
      </w:r>
      <w:r>
        <w:t>(4), 515–537. https://doi.org/10.5465/amr.2012.0099</w:t>
      </w:r>
    </w:p>
    <w:p>
      <w:pPr>
        <w:ind w:hanging="720" w:left="720"/>
      </w:pPr>
      <w:r>
        <w:t xml:space="preserve">Morris, S. B., &amp; DeShon, R. P. (2002). Combining effect size estimates in meta-analysis with repeated measures and independent-groups designs. </w:t>
      </w:r>
      <w:r>
        <w:rPr>
          <w:i/>
        </w:rPr>
        <w:t>Psychological Methods</w:t>
      </w:r>
      <w:r>
        <w:t xml:space="preserve">, </w:t>
      </w:r>
      <w:r>
        <w:rPr>
          <w:i/>
        </w:rPr>
        <w:t>7</w:t>
      </w:r>
      <w:r>
        <w:t>(1), 105–125. https://doi.org/10.1037/1082-989X.7.1.105</w:t>
      </w:r>
    </w:p>
    <w:p>
      <w:pPr>
        <w:ind w:hanging="720" w:left="720"/>
      </w:pPr>
      <w:r>
        <w:t xml:space="preserve">Ouyang, F., &amp; Jiao, P. (2021). Artificial intelligence in education: The three paradigms. </w:t>
      </w:r>
      <w:r>
        <w:rPr>
          <w:i/>
        </w:rPr>
        <w:t>Computers and Education: Artificial Intelligence</w:t>
      </w:r>
      <w:r>
        <w:t xml:space="preserve">, </w:t>
      </w:r>
      <w:r>
        <w:rPr>
          <w:i/>
        </w:rPr>
        <w:t>2</w:t>
      </w:r>
      <w:r>
        <w:t>, 100020. https://doi.org/10.1016/j.caeai.2021.100020</w:t>
      </w:r>
    </w:p>
    <w:p>
      <w:pPr>
        <w:ind w:hanging="720" w:left="720"/>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i/>
        </w:rPr>
        <w:t>BMJ</w:t>
      </w:r>
      <w:r>
        <w:t xml:space="preserve">, </w:t>
      </w:r>
      <w:r>
        <w:rPr>
          <w:i/>
        </w:rPr>
        <w:t>372</w:t>
      </w:r>
      <w:r>
        <w:t>, n71. https://doi.org/10.1136/bmj.n71</w:t>
      </w:r>
    </w:p>
    <w:p>
      <w:pPr>
        <w:ind w:hanging="720" w:left="720"/>
      </w:pPr>
      <w:r>
        <w:t xml:space="preserve">Parasuraman, R., Sheridan, T. B., &amp; Wickens, C. D. (2000). A model for types and levels of human interaction with automation. </w:t>
      </w:r>
      <w:r>
        <w:rPr>
          <w:i/>
        </w:rPr>
        <w:t>IEEE Transactions on Systems, Man, and Cybernetics, Part A: Systems and Humans</w:t>
      </w:r>
      <w:r>
        <w:t xml:space="preserve">, </w:t>
      </w:r>
      <w:r>
        <w:rPr>
          <w:i/>
        </w:rPr>
        <w:t>30</w:t>
      </w:r>
      <w:r>
        <w:t>(3), 286–297. https://doi.org/10.1109/3468.844354</w:t>
      </w:r>
    </w:p>
    <w:p>
      <w:pPr>
        <w:ind w:hanging="720" w:left="720"/>
      </w:pPr>
      <w:r>
        <w:t xml:space="preserve">Parasuraman, R., &amp; Wickens, C. D. (2008). Humans: Still vital after all these years of automation. </w:t>
      </w:r>
      <w:r>
        <w:rPr>
          <w:i/>
        </w:rPr>
        <w:t>Human Factors</w:t>
      </w:r>
      <w:r>
        <w:t xml:space="preserve">, </w:t>
      </w:r>
      <w:r>
        <w:rPr>
          <w:i/>
        </w:rPr>
        <w:t>50</w:t>
      </w:r>
      <w:r>
        <w:t>(3), 511–520. https://doi.org/10.1518/001872008X312198</w:t>
      </w:r>
    </w:p>
    <w:p>
      <w:pPr>
        <w:ind w:hanging="720" w:left="720"/>
      </w:pPr>
      <w:r>
        <w:t xml:space="preserve">Pustejovsky, J. E., &amp; Tipton, E. (2022). Meta-analysis with robust variance estimation: Expanding the range of working models. </w:t>
      </w:r>
      <w:r>
        <w:rPr>
          <w:i/>
        </w:rPr>
        <w:t>Prevention Science</w:t>
      </w:r>
      <w:r>
        <w:t xml:space="preserve">, </w:t>
      </w:r>
      <w:r>
        <w:rPr>
          <w:i/>
        </w:rPr>
        <w:t>23</w:t>
      </w:r>
      <w:r>
        <w:t>, 425–438. https://doi.org/10.1007/s11121-021-01246-3</w:t>
      </w:r>
    </w:p>
    <w:p>
      <w:pPr>
        <w:ind w:hanging="720" w:left="720"/>
      </w:pPr>
      <w:r>
        <w:t xml:space="preserve">Russell, S. J., &amp; Norvig, P. (2021). </w:t>
      </w:r>
      <w:r>
        <w:rPr>
          <w:i/>
        </w:rPr>
        <w:t>Artificial intelligence: A modern approach</w:t>
      </w:r>
      <w:r>
        <w:t xml:space="preserve"> (4th ed.). Pearson.</w:t>
      </w:r>
    </w:p>
    <w:p>
      <w:pPr>
        <w:ind w:hanging="720" w:left="720"/>
      </w:pPr>
      <w:r>
        <w:t xml:space="preserve">Ryan, R. M., &amp; Deci, E. L. (2000). Self-determination theory and the facilitation of intrinsic motivation, social development, and well-being. </w:t>
      </w:r>
      <w:r>
        <w:rPr>
          <w:i/>
        </w:rPr>
        <w:t>American Psychologist</w:t>
      </w:r>
      <w:r>
        <w:t xml:space="preserve">, </w:t>
      </w:r>
      <w:r>
        <w:rPr>
          <w:i/>
        </w:rPr>
        <w:t>55</w:t>
      </w:r>
      <w:r>
        <w:t>(1), 68–78. https://doi.org/10.1037/0003-066X.55.1.68</w:t>
      </w:r>
    </w:p>
    <w:p>
      <w:pPr>
        <w:ind w:hanging="720" w:left="720"/>
      </w:pPr>
      <w:r>
        <w:t xml:space="preserve">Ryan, R. M., &amp; Deci, E. L. (2017). </w:t>
      </w:r>
      <w:r>
        <w:rPr>
          <w:i/>
        </w:rPr>
        <w:t>Self-determination theory: Basic psychological needs in motivation, development, and wellness</w:t>
      </w:r>
      <w:r>
        <w:t>. Guilford Press.</w:t>
      </w:r>
    </w:p>
    <w:p>
      <w:pPr>
        <w:ind w:hanging="720" w:left="720"/>
      </w:pPr>
      <w:r>
        <w:t xml:space="preserve">SAE International. (2021). </w:t>
      </w:r>
      <w:r>
        <w:rPr>
          <w:i/>
        </w:rPr>
        <w:t>Taxonomy and definitions for terms related to driving automation systems for on-road motor vehicles</w:t>
      </w:r>
      <w:r>
        <w:t xml:space="preserve"> (Standard J3016_202104). SAE International. https://doi.org/10.4271/J3016_202104</w:t>
      </w:r>
    </w:p>
    <w:p>
      <w:pPr>
        <w:ind w:hanging="720" w:left="720"/>
      </w:pPr>
      <w:r>
        <w:t xml:space="preserve">Schroeder, N. L., Adesope, O. O., &amp; Gilbert, R. B. (2013). How effective are pedagogical agents for learning? A meta-analytic review. </w:t>
      </w:r>
      <w:r>
        <w:rPr>
          <w:i/>
        </w:rPr>
        <w:t>Journal of Educational Computing Research</w:t>
      </w:r>
      <w:r>
        <w:t xml:space="preserve">, </w:t>
      </w:r>
      <w:r>
        <w:rPr>
          <w:i/>
        </w:rPr>
        <w:t>49</w:t>
      </w:r>
      <w:r>
        <w:t>(1), 1–39. https://doi.org/10.2190/EC.49.1.a</w:t>
      </w:r>
    </w:p>
    <w:p>
      <w:pPr>
        <w:ind w:hanging="720" w:left="720"/>
      </w:pPr>
      <w:r>
        <w:t xml:space="preserve">Shneiderman, B. (2022). </w:t>
      </w:r>
      <w:r>
        <w:rPr>
          <w:i/>
        </w:rPr>
        <w:t>Human-centered AI</w:t>
      </w:r>
      <w:r>
        <w:t>. Oxford University Press.</w:t>
      </w:r>
    </w:p>
    <w:p>
      <w:pPr>
        <w:ind w:hanging="720" w:left="720"/>
      </w:pPr>
      <w:r>
        <w:t xml:space="preserve">Steenbergen-Hu, S., &amp; Cooper, H. (2013). A meta-analysis of the effectiveness of intelligent tutoring systems on K–12 students' mathematical learning. </w:t>
      </w:r>
      <w:r>
        <w:rPr>
          <w:i/>
        </w:rPr>
        <w:t>Journal of Educational Psychology</w:t>
      </w:r>
      <w:r>
        <w:t xml:space="preserve">, </w:t>
      </w:r>
      <w:r>
        <w:rPr>
          <w:i/>
        </w:rPr>
        <w:t>105</w:t>
      </w:r>
      <w:r>
        <w:t>(4), 970–987. https://doi.org/10.1037/a0032447</w:t>
      </w:r>
    </w:p>
    <w:p>
      <w:pPr>
        <w:ind w:hanging="720" w:left="720"/>
      </w:pPr>
      <w:r>
        <w:t xml:space="preserve">Steenbergen-Hu, S., &amp; Cooper, H. (2014). A meta-analysis of the effectiveness of intelligent tutoring systems on college students' academic learning. </w:t>
      </w:r>
      <w:r>
        <w:rPr>
          <w:i/>
        </w:rPr>
        <w:t>Journal of Educational Psychology</w:t>
      </w:r>
      <w:r>
        <w:t xml:space="preserve">, </w:t>
      </w:r>
      <w:r>
        <w:rPr>
          <w:i/>
        </w:rPr>
        <w:t>106</w:t>
      </w:r>
      <w:r>
        <w:t>(2), 331–347. https://doi.org/10.1037/a0034752</w:t>
      </w:r>
    </w:p>
    <w:p>
      <w:pPr>
        <w:ind w:hanging="720" w:left="720"/>
      </w:pPr>
      <w:r>
        <w:t xml:space="preserve">Sterne, J. A. C., Savović, J., Page, M. J., Elbers, R. G., Blencowe, N. S., Boutron, I., Cates, C. J., Cheng, H.-Y., Corbett, M. S., Eldridge, S. M., Emberson, J. R., Hernán, M. A., Hopewell, S., Hróbjartsson, A., Junqueira, D. R., Jüni, P., Kirkham, J. J., Lasserson, T., Li, T., ... Higgins, J. P. T. (2019). RoB 2: A revised tool for assessing risk of bias in randomised trials. </w:t>
      </w:r>
      <w:r>
        <w:rPr>
          <w:i/>
        </w:rPr>
        <w:t>BMJ</w:t>
      </w:r>
      <w:r>
        <w:t xml:space="preserve">, </w:t>
      </w:r>
      <w:r>
        <w:rPr>
          <w:i/>
        </w:rPr>
        <w:t>366</w:t>
      </w:r>
      <w:r>
        <w:t>, l4898. https://doi.org/10.1136/bmj.l4898</w:t>
      </w:r>
    </w:p>
    <w:p>
      <w:pPr>
        <w:ind w:hanging="720" w:left="720"/>
      </w:pPr>
      <w:r>
        <w:t xml:space="preserve">Suppes, P. (1966). The uses of computers in education. </w:t>
      </w:r>
      <w:r>
        <w:rPr>
          <w:i/>
        </w:rPr>
        <w:t>Scientific American</w:t>
      </w:r>
      <w:r>
        <w:t xml:space="preserve">, </w:t>
      </w:r>
      <w:r>
        <w:rPr>
          <w:i/>
        </w:rPr>
        <w:t>215</w:t>
      </w:r>
      <w:r>
        <w:t>(3), 206–220.</w:t>
      </w:r>
    </w:p>
    <w:p>
      <w:pPr>
        <w:ind w:hanging="720" w:left="720"/>
      </w:pPr>
      <w:r>
        <w:t xml:space="preserve">Van den Noortgate, W., López-López, J. A., Marín-Martínez, F., &amp; Sánchez-Meca, J. (2013). Three-level meta-analysis of dependent effect sizes. </w:t>
      </w:r>
      <w:r>
        <w:rPr>
          <w:i/>
        </w:rPr>
        <w:t>Behavior Research Methods</w:t>
      </w:r>
      <w:r>
        <w:t xml:space="preserve">, </w:t>
      </w:r>
      <w:r>
        <w:rPr>
          <w:i/>
        </w:rPr>
        <w:t>45</w:t>
      </w:r>
      <w:r>
        <w:t>, 576–594. https://doi.org/10.3758/s13428-012-0261-6</w:t>
      </w:r>
    </w:p>
    <w:p>
      <w:pPr>
        <w:ind w:hanging="720" w:left="720"/>
      </w:pPr>
      <w:r>
        <w:t xml:space="preserve">VanLehn, K. (2011). The relative effectiveness of human tutoring, intelligent tutoring systems, and other tutoring systems. </w:t>
      </w:r>
      <w:r>
        <w:rPr>
          <w:i/>
        </w:rPr>
        <w:t>Educational Psychologist</w:t>
      </w:r>
      <w:r>
        <w:t xml:space="preserve">, </w:t>
      </w:r>
      <w:r>
        <w:rPr>
          <w:i/>
        </w:rPr>
        <w:t>46</w:t>
      </w:r>
      <w:r>
        <w:t>(4), 197–221. https://doi.org/10.1080/00461520.2011.611369</w:t>
      </w:r>
    </w:p>
    <w:p>
      <w:pPr>
        <w:ind w:hanging="720" w:left="720"/>
      </w:pPr>
      <w:r>
        <w:t xml:space="preserve">Viechtbauer, W. (2010). Conducting meta-analyses in R with the metafor package. </w:t>
      </w:r>
      <w:r>
        <w:rPr>
          <w:i/>
        </w:rPr>
        <w:t>Journal of Statistical Software</w:t>
      </w:r>
      <w:r>
        <w:t xml:space="preserve">, </w:t>
      </w:r>
      <w:r>
        <w:rPr>
          <w:i/>
        </w:rPr>
        <w:t>36</w:t>
      </w:r>
      <w:r>
        <w:t>(3), 1–48. https://doi.org/10.18637/jss.v036.i03</w:t>
      </w:r>
    </w:p>
    <w:p>
      <w:pPr>
        <w:ind w:hanging="720" w:left="720"/>
      </w:pPr>
      <w:r>
        <w:t xml:space="preserve">Woolf, B. P. (2009). </w:t>
      </w:r>
      <w:r>
        <w:rPr>
          <w:i/>
        </w:rPr>
        <w:t>Building intelligent interactive tutors: Student-centered strategies for revolutionizing e-learning</w:t>
      </w:r>
      <w:r>
        <w:t>. Morgan Kaufmann.</w:t>
      </w:r>
    </w:p>
    <w:p>
      <w:pPr>
        <w:ind w:hanging="720" w:left="720"/>
      </w:pPr>
      <w:r>
        <w:t xml:space="preserve">Yan, L. (2025). From passive tool to socio-cognitive teammate: An agentic AI framework for education. </w:t>
      </w:r>
      <w:r>
        <w:rPr>
          <w:i/>
        </w:rPr>
        <w:t>arXiv</w:t>
      </w:r>
      <w:r>
        <w:t>. https://arxiv.org/abs/2508.14825</w:t>
      </w:r>
    </w:p>
    <w:p>
      <w:pPr>
        <w:ind w:hanging="720" w:left="720"/>
      </w:pPr>
      <w:r>
        <w:t xml:space="preserve">Yang, H. (2025). Towards dynamic learner state: Orchestrating AI agents and workplace performance via the Model Context Protocol. </w:t>
      </w:r>
      <w:r>
        <w:rPr>
          <w:i/>
        </w:rPr>
        <w:t>Education Sciences</w:t>
      </w:r>
      <w:r>
        <w:t xml:space="preserve">, </w:t>
      </w:r>
      <w:r>
        <w:rPr>
          <w:i/>
        </w:rPr>
        <w:t>15</w:t>
      </w:r>
      <w:r>
        <w:t>(8), 1004.</w:t>
      </w:r>
    </w:p>
    <w:p>
      <w:pPr>
        <w:ind w:hanging="720" w:left="720"/>
      </w:pPr>
      <w:r>
        <w:t xml:space="preserve">Zheng, L., Niu, J., Zhong, L., &amp; Gyasi, J. F. (2021). The effectiveness of artificial intelligence on learning achievement and learning perception: A meta-analysis. </w:t>
      </w:r>
      <w:r>
        <w:rPr>
          <w:i/>
        </w:rPr>
        <w:t>Interactive Learning Environments</w:t>
      </w:r>
      <w:r>
        <w:t xml:space="preserve">, </w:t>
      </w:r>
      <w:r>
        <w:rPr>
          <w:i/>
        </w:rPr>
        <w:t>31</w:t>
      </w:r>
      <w:r>
        <w:t>(9), 5650–5664. https://doi.org/10.1080/10494820.2021.2015693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