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before="0" w:after="0"/>
        <w:ind w:firstLine="0"/>
        <w:jc w:val="center"/>
      </w:pPr>
      <w:r>
        <w:rPr>
          <w:rFonts w:ascii="Times New Roman" w:hAnsi="Times New Roman"/>
          <w:b/>
          <w:i w:val="0"/>
          <w:sz w:val="24"/>
        </w:rPr>
        <w:t>Generative AI in Higher Education: A Three-Level Meta-Analysis Revealing Cognitive Dependency in Metacognitive Outcomes</w:t>
      </w:r>
    </w:p>
    <w:p/>
    <w:p>
      <w:pPr>
        <w:spacing w:line="480" w:lineRule="auto" w:before="0" w:after="0"/>
        <w:ind w:firstLine="0"/>
        <w:jc w:val="center"/>
      </w:pPr>
      <w:r>
        <w:rPr>
          <w:rFonts w:ascii="Times New Roman" w:hAnsi="Times New Roman"/>
          <w:b w:val="0"/>
          <w:i w:val="0"/>
          <w:sz w:val="24"/>
        </w:rPr>
        <w:t>Hosung You</w:t>
      </w:r>
    </w:p>
    <w:p>
      <w:pPr>
        <w:spacing w:line="480" w:lineRule="auto" w:before="0" w:after="0"/>
        <w:ind w:firstLine="0"/>
        <w:jc w:val="center"/>
      </w:pPr>
      <w:r>
        <w:rPr>
          <w:rFonts w:ascii="Times New Roman" w:hAnsi="Times New Roman"/>
          <w:b w:val="0"/>
          <w:i w:val="0"/>
          <w:sz w:val="24"/>
        </w:rPr>
        <w:t>College of Education, Pennsylvania State University</w:t>
      </w:r>
    </w:p>
    <w:p/>
    <w:p/>
    <w:p>
      <w:pPr>
        <w:spacing w:line="480" w:lineRule="auto" w:before="0" w:after="0"/>
        <w:ind w:firstLine="0"/>
        <w:jc w:val="center"/>
      </w:pPr>
      <w:r>
        <w:rPr>
          <w:rFonts w:ascii="Times New Roman" w:hAnsi="Times New Roman"/>
          <w:b/>
          <w:i w:val="0"/>
          <w:sz w:val="24"/>
        </w:rPr>
        <w:t>Author Note</w:t>
      </w:r>
    </w:p>
    <w:p>
      <w:pPr>
        <w:spacing w:line="480" w:lineRule="auto" w:before="0" w:after="0"/>
        <w:ind w:firstLine="720"/>
        <w:jc w:val="left"/>
      </w:pPr>
      <w:r>
        <w:rPr>
          <w:rFonts w:ascii="Times New Roman" w:hAnsi="Times New Roman"/>
          <w:b w:val="0"/>
          <w:i w:val="0"/>
          <w:sz w:val="24"/>
        </w:rPr>
        <w:t>Hosung You  https://orcid.org/[ORCID-ID]</w:t>
      </w:r>
    </w:p>
    <w:p>
      <w:pPr>
        <w:spacing w:line="480" w:lineRule="auto" w:before="0" w:after="0"/>
        <w:ind w:firstLine="720"/>
        <w:jc w:val="left"/>
      </w:pPr>
      <w:r>
        <w:rPr>
          <w:rFonts w:ascii="Times New Roman" w:hAnsi="Times New Roman"/>
          <w:b w:val="0"/>
          <w:i w:val="0"/>
          <w:sz w:val="24"/>
        </w:rPr>
        <w:t>Correspondence concerning this article should be addressed to Hosung You, College of Education, Pennsylvania State University, University Park, PA 16802. Email: hosung@psu.edu</w:t>
      </w:r>
    </w:p>
    <w:p>
      <w:pPr>
        <w:spacing w:line="480" w:lineRule="auto" w:before="0" w:after="0"/>
        <w:ind w:firstLine="720"/>
        <w:jc w:val="left"/>
      </w:pPr>
      <w:r>
        <w:rPr>
          <w:rFonts w:ascii="Times New Roman" w:hAnsi="Times New Roman"/>
          <w:b w:val="0"/>
          <w:i w:val="0"/>
          <w:sz w:val="24"/>
        </w:rPr>
        <w:t>Data Availability Statement: The dataset, analysis code, and supplementary materials are available at [OSF Repository Link].</w:t>
      </w:r>
    </w:p>
    <w:p>
      <w:pPr>
        <w:spacing w:line="480" w:lineRule="auto" w:before="0" w:after="0"/>
        <w:ind w:firstLine="720"/>
        <w:jc w:val="left"/>
      </w:pPr>
      <w:r>
        <w:rPr>
          <w:rFonts w:ascii="Times New Roman" w:hAnsi="Times New Roman"/>
          <w:b w:val="0"/>
          <w:i w:val="0"/>
          <w:sz w:val="24"/>
        </w:rPr>
        <w:t>Conflict of Interest: The author declares no conflicts of interest.</w:t>
      </w:r>
    </w:p>
    <w:p>
      <w:pPr>
        <w:spacing w:line="480" w:lineRule="auto" w:before="0" w:after="0"/>
        <w:ind w:firstLine="720"/>
        <w:jc w:val="left"/>
      </w:pPr>
      <w:r>
        <w:rPr>
          <w:rFonts w:ascii="Times New Roman" w:hAnsi="Times New Roman"/>
          <w:b w:val="0"/>
          <w:i w:val="0"/>
          <w:sz w:val="24"/>
        </w:rPr>
        <w:t>Funding: This research received no external funding.</w:t>
      </w:r>
    </w:p>
    <w:p>
      <w:r>
        <w:br w:type="page"/>
      </w:r>
    </w:p>
    <w:p>
      <w:pPr>
        <w:spacing w:line="480" w:lineRule="auto" w:before="0" w:after="0"/>
        <w:ind w:firstLine="0"/>
        <w:jc w:val="center"/>
      </w:pPr>
      <w:r>
        <w:rPr>
          <w:rFonts w:ascii="Times New Roman" w:hAnsi="Times New Roman"/>
          <w:b/>
          <w:i w:val="0"/>
          <w:sz w:val="24"/>
        </w:rPr>
        <w:t>Abstract</w:t>
      </w:r>
    </w:p>
    <w:p>
      <w:pPr>
        <w:spacing w:line="480" w:lineRule="auto" w:before="0" w:after="0"/>
        <w:ind w:firstLine="0"/>
        <w:jc w:val="left"/>
      </w:pPr>
      <w:r>
        <w:rPr>
          <w:rFonts w:ascii="Times New Roman" w:hAnsi="Times New Roman"/>
          <w:b w:val="0"/>
          <w:i w:val="0"/>
          <w:sz w:val="24"/>
        </w:rPr>
        <w:t xml:space="preserve">Generative AI enhances learning outcomes in higher education, but does it foster independent thinking or create cognitive dependency? This pre-registered three-level meta-analysis—the first to explicitly test the </w:t>
      </w:r>
      <w:r>
        <w:rPr>
          <w:rFonts w:ascii="Times New Roman" w:hAnsi="Times New Roman"/>
          <w:b/>
          <w:i w:val="0"/>
          <w:sz w:val="24"/>
        </w:rPr>
        <w:t>cognitive dependency hypothesis</w:t>
      </w:r>
      <w:r>
        <w:rPr>
          <w:rFonts w:ascii="Times New Roman" w:hAnsi="Times New Roman"/>
          <w:b w:val="0"/>
          <w:i w:val="0"/>
          <w:sz w:val="24"/>
        </w:rPr>
        <w:t>—synthesized evidence from 60 studies (</w:t>
      </w:r>
      <w:r>
        <w:rPr>
          <w:rFonts w:ascii="Times New Roman" w:hAnsi="Times New Roman"/>
          <w:b w:val="0"/>
          <w:i/>
          <w:sz w:val="24"/>
        </w:rPr>
        <w:t>k</w:t>
      </w:r>
      <w:r>
        <w:rPr>
          <w:rFonts w:ascii="Times New Roman" w:hAnsi="Times New Roman"/>
          <w:b w:val="0"/>
          <w:i w:val="0"/>
          <w:sz w:val="24"/>
        </w:rPr>
        <w:t xml:space="preserve"> = 343 effect sizes; </w:t>
      </w:r>
      <w:r>
        <w:rPr>
          <w:rFonts w:ascii="Times New Roman" w:hAnsi="Times New Roman"/>
          <w:b w:val="0"/>
          <w:i/>
          <w:sz w:val="24"/>
        </w:rPr>
        <w:t>N</w:t>
      </w:r>
      <w:r>
        <w:rPr>
          <w:rFonts w:ascii="Times New Roman" w:hAnsi="Times New Roman"/>
          <w:b w:val="0"/>
          <w:i w:val="0"/>
          <w:sz w:val="24"/>
        </w:rPr>
        <w:t xml:space="preserve"> = 7,918 participants) published between November 2022 and January 2026 across seven databases. We employed robust variance estimation with cluster-robust standard errors to account for dependency among multiple outcomes within studies. Results revealed a statistically significant large effect favoring GenAI interventions (</w:t>
      </w:r>
      <w:r>
        <w:rPr>
          <w:rFonts w:ascii="Times New Roman" w:hAnsi="Times New Roman"/>
          <w:b w:val="0"/>
          <w:i/>
          <w:sz w:val="24"/>
        </w:rPr>
        <w:t>g</w:t>
      </w:r>
      <w:r>
        <w:rPr>
          <w:rFonts w:ascii="Times New Roman" w:hAnsi="Times New Roman"/>
          <w:b w:val="0"/>
          <w:i w:val="0"/>
          <w:sz w:val="24"/>
        </w:rPr>
        <w:t xml:space="preserve"> = 0.736, 95% CI [0.709, 0.764], </w:t>
      </w:r>
      <w:r>
        <w:rPr>
          <w:rFonts w:ascii="Times New Roman" w:hAnsi="Times New Roman"/>
          <w:b w:val="0"/>
          <w:i/>
          <w:sz w:val="24"/>
        </w:rPr>
        <w:t>p</w:t>
      </w:r>
      <w:r>
        <w:rPr>
          <w:rFonts w:ascii="Times New Roman" w:hAnsi="Times New Roman"/>
          <w:b w:val="0"/>
          <w:i w:val="0"/>
          <w:sz w:val="24"/>
        </w:rPr>
        <w:t xml:space="preserve"> &lt; .001). However, the central finding distinguishing this study from prior meta-analyses lies in the differential effects across outcome dimensions: while cognitive (</w:t>
      </w:r>
      <w:r>
        <w:rPr>
          <w:rFonts w:ascii="Times New Roman" w:hAnsi="Times New Roman"/>
          <w:b w:val="0"/>
          <w:i/>
          <w:sz w:val="24"/>
        </w:rPr>
        <w:t>g</w:t>
      </w:r>
      <w:r>
        <w:rPr>
          <w:rFonts w:ascii="Times New Roman" w:hAnsi="Times New Roman"/>
          <w:b w:val="0"/>
          <w:i w:val="0"/>
          <w:sz w:val="24"/>
        </w:rPr>
        <w:t xml:space="preserve"> = 0.64, </w:t>
      </w:r>
      <w:r>
        <w:rPr>
          <w:rFonts w:ascii="Times New Roman" w:hAnsi="Times New Roman"/>
          <w:b w:val="0"/>
          <w:i/>
          <w:sz w:val="24"/>
        </w:rPr>
        <w:t>p</w:t>
      </w:r>
      <w:r>
        <w:rPr>
          <w:rFonts w:ascii="Times New Roman" w:hAnsi="Times New Roman"/>
          <w:b w:val="0"/>
          <w:i w:val="0"/>
          <w:sz w:val="24"/>
        </w:rPr>
        <w:t xml:space="preserve"> &lt; .001) and affective (</w:t>
      </w:r>
      <w:r>
        <w:rPr>
          <w:rFonts w:ascii="Times New Roman" w:hAnsi="Times New Roman"/>
          <w:b w:val="0"/>
          <w:i/>
          <w:sz w:val="24"/>
        </w:rPr>
        <w:t>g</w:t>
      </w:r>
      <w:r>
        <w:rPr>
          <w:rFonts w:ascii="Times New Roman" w:hAnsi="Times New Roman"/>
          <w:b w:val="0"/>
          <w:i w:val="0"/>
          <w:sz w:val="24"/>
        </w:rPr>
        <w:t xml:space="preserve"> = 0.61, </w:t>
      </w:r>
      <w:r>
        <w:rPr>
          <w:rFonts w:ascii="Times New Roman" w:hAnsi="Times New Roman"/>
          <w:b w:val="0"/>
          <w:i/>
          <w:sz w:val="24"/>
        </w:rPr>
        <w:t>p</w:t>
      </w:r>
      <w:r>
        <w:rPr>
          <w:rFonts w:ascii="Times New Roman" w:hAnsi="Times New Roman"/>
          <w:b w:val="0"/>
          <w:i w:val="0"/>
          <w:sz w:val="24"/>
        </w:rPr>
        <w:t xml:space="preserve"> &lt; .001) outcomes showed significant effects, </w:t>
      </w:r>
      <w:r>
        <w:rPr>
          <w:rFonts w:ascii="Times New Roman" w:hAnsi="Times New Roman"/>
          <w:b/>
          <w:i w:val="0"/>
          <w:sz w:val="24"/>
        </w:rPr>
        <w:t>metacognitive outcomes demonstrated a substantially smaller and non-significant effect (*g* = 0.28, *p* = .287)</w:t>
      </w:r>
      <w:r>
        <w:rPr>
          <w:rFonts w:ascii="Times New Roman" w:hAnsi="Times New Roman"/>
          <w:b w:val="0"/>
          <w:i w:val="0"/>
          <w:sz w:val="24"/>
        </w:rPr>
        <w:t xml:space="preserve">. This pattern provides empirical support for the cognitive dependency hypothesis: GenAI effectively scaffolds immediate learning performance but may not promote internalization of self-regulatory capabilities. Additional moderator analyses revealed effects varied by discipline (Medicine/Health </w:t>
      </w:r>
      <w:r>
        <w:rPr>
          <w:rFonts w:ascii="Times New Roman" w:hAnsi="Times New Roman"/>
          <w:b w:val="0"/>
          <w:i/>
          <w:sz w:val="24"/>
        </w:rPr>
        <w:t>g</w:t>
      </w:r>
      <w:r>
        <w:rPr>
          <w:rFonts w:ascii="Times New Roman" w:hAnsi="Times New Roman"/>
          <w:b w:val="0"/>
          <w:i w:val="0"/>
          <w:sz w:val="24"/>
        </w:rPr>
        <w:t xml:space="preserve"> = 0.72; STEM </w:t>
      </w:r>
      <w:r>
        <w:rPr>
          <w:rFonts w:ascii="Times New Roman" w:hAnsi="Times New Roman"/>
          <w:b w:val="0"/>
          <w:i/>
          <w:sz w:val="24"/>
        </w:rPr>
        <w:t>g</w:t>
      </w:r>
      <w:r>
        <w:rPr>
          <w:rFonts w:ascii="Times New Roman" w:hAnsi="Times New Roman"/>
          <w:b w:val="0"/>
          <w:i w:val="0"/>
          <w:sz w:val="24"/>
        </w:rPr>
        <w:t xml:space="preserve"> = 0.58) and GenAI tool (ChatGPT </w:t>
      </w:r>
      <w:r>
        <w:rPr>
          <w:rFonts w:ascii="Times New Roman" w:hAnsi="Times New Roman"/>
          <w:b w:val="0"/>
          <w:i/>
          <w:sz w:val="24"/>
        </w:rPr>
        <w:t>g</w:t>
      </w:r>
      <w:r>
        <w:rPr>
          <w:rFonts w:ascii="Times New Roman" w:hAnsi="Times New Roman"/>
          <w:b w:val="0"/>
          <w:i w:val="0"/>
          <w:sz w:val="24"/>
        </w:rPr>
        <w:t xml:space="preserve"> = 0.71). Both higher-order (</w:t>
      </w:r>
      <w:r>
        <w:rPr>
          <w:rFonts w:ascii="Times New Roman" w:hAnsi="Times New Roman"/>
          <w:b w:val="0"/>
          <w:i/>
          <w:sz w:val="24"/>
        </w:rPr>
        <w:t>g</w:t>
      </w:r>
      <w:r>
        <w:rPr>
          <w:rFonts w:ascii="Times New Roman" w:hAnsi="Times New Roman"/>
          <w:b w:val="0"/>
          <w:i w:val="0"/>
          <w:sz w:val="24"/>
        </w:rPr>
        <w:t xml:space="preserve"> = 0.76) and lower-order (</w:t>
      </w:r>
      <w:r>
        <w:rPr>
          <w:rFonts w:ascii="Times New Roman" w:hAnsi="Times New Roman"/>
          <w:b w:val="0"/>
          <w:i/>
          <w:sz w:val="24"/>
        </w:rPr>
        <w:t>g</w:t>
      </w:r>
      <w:r>
        <w:rPr>
          <w:rFonts w:ascii="Times New Roman" w:hAnsi="Times New Roman"/>
          <w:b w:val="0"/>
          <w:i w:val="0"/>
          <w:sz w:val="24"/>
        </w:rPr>
        <w:t xml:space="preserve"> = 0.68) thinking skills showed significant improvements. These findings reframe the discourse around GenAI in education: the question is not simply whether AI improves learning, but whether it develops autonomous learners—a concern our data suggest warrants serious attention.</w:t>
      </w:r>
    </w:p>
    <w:p>
      <w:pPr>
        <w:spacing w:line="480" w:lineRule="auto" w:before="0" w:after="0"/>
        <w:ind w:firstLine="720"/>
        <w:jc w:val="left"/>
      </w:pPr>
      <w:r>
        <w:rPr>
          <w:rFonts w:ascii="Times New Roman" w:hAnsi="Times New Roman"/>
          <w:b w:val="0"/>
          <w:i/>
          <w:sz w:val="24"/>
        </w:rPr>
        <w:t xml:space="preserve">Keywords: </w:t>
      </w:r>
      <w:r>
        <w:rPr>
          <w:rFonts w:ascii="Times New Roman" w:hAnsi="Times New Roman"/>
          <w:b w:val="0"/>
          <w:i w:val="0"/>
          <w:sz w:val="24"/>
        </w:rPr>
        <w:t>generative artificial intelligence, ChatGPT, higher education, three-level meta-analysis, learning outcomes, cognitive load theory, self-regulated learning, cognitive dependency, AI-integrated metacognition, judgment of learning, distributed metacognition</w:t>
      </w:r>
    </w:p>
    <w:p>
      <w:r>
        <w:br w:type="page"/>
      </w:r>
    </w:p>
    <w:p>
      <w:pPr>
        <w:spacing w:line="480" w:lineRule="auto" w:before="0" w:after="0"/>
        <w:ind w:firstLine="0"/>
        <w:jc w:val="center"/>
      </w:pPr>
      <w:r>
        <w:rPr>
          <w:rFonts w:ascii="Times New Roman" w:hAnsi="Times New Roman"/>
          <w:b/>
          <w:i w:val="0"/>
          <w:sz w:val="24"/>
        </w:rPr>
        <w:t>Generative AI in Higher Education: A Three-Level Meta-Analysis Revealing Cognitive Dependency in Metacognitive Outcomes</w:t>
      </w:r>
    </w:p>
    <w:p>
      <w:pPr>
        <w:spacing w:line="480" w:lineRule="auto" w:before="0" w:after="0"/>
        <w:ind w:firstLine="720"/>
        <w:jc w:val="left"/>
      </w:pPr>
      <w:r>
        <w:rPr>
          <w:rFonts w:ascii="Times New Roman" w:hAnsi="Times New Roman"/>
          <w:b w:val="0"/>
          <w:i w:val="0"/>
          <w:sz w:val="24"/>
        </w:rPr>
        <w:t>The rapid integration of Generative Artificial Intelligence (GenAI) into higher education has fundamentally transformed pedagogical practices and student learning experiences (Chiu et al., 2023; Zawacki-Richter et al., 2019). Since the public release of ChatGPT in November 2022, universities worldwide have grappled with questions about how these technologies influence learning outcomes, with institutions adopting policies ranging from outright bans to enthusiastic integration (Crawford et al., 2023; Williams, 2023). Despite growing empirical evidence, the field lacks a comprehensive synthesis specifically examining GenAI effectiveness in higher education contexts using methodologically rigorous approaches that account for dependency among effect sizes.</w:t>
      </w:r>
    </w:p>
    <w:p>
      <w:pPr>
        <w:spacing w:line="480" w:lineRule="auto" w:before="0" w:after="0"/>
        <w:ind w:firstLine="720"/>
        <w:jc w:val="left"/>
      </w:pPr>
      <w:r>
        <w:rPr>
          <w:rFonts w:ascii="Times New Roman" w:hAnsi="Times New Roman"/>
          <w:b w:val="0"/>
          <w:i w:val="0"/>
          <w:sz w:val="24"/>
        </w:rPr>
        <w:t>This meta-analysis addresses this gap by providing the first three-level synthesis specifically examining GenAI effectiveness in higher education. The three-level approach accounts for the hierarchical data structure inherent in meta-analyses where multiple effect sizes are extracted from single studies (Cheung, 2014; Van den Noortgate et al., 2013). This methodological advancement over traditional two-level models prevents both artificial precision inflation from treating dependent effects as independent and information loss from aggregating effects within studies.</w:t>
      </w:r>
    </w:p>
    <w:p>
      <w:pPr>
        <w:spacing w:line="480" w:lineRule="auto" w:before="0" w:after="0"/>
        <w:ind w:firstLine="720"/>
        <w:jc w:val="left"/>
      </w:pPr>
      <w:r>
        <w:rPr>
          <w:rFonts w:ascii="Times New Roman" w:hAnsi="Times New Roman"/>
          <w:b w:val="0"/>
          <w:i w:val="0"/>
          <w:sz w:val="24"/>
        </w:rPr>
        <w:t>The decision to focus exclusively on higher education reflects both empirical and theoretical considerations. Empirically, the majority of rigorous experimental studies examining GenAI effectiveness have been conducted with university students (Deng et al., 2024). Theoretically, higher education contexts present unique characteristics: students possess greater metacognitive capabilities for self-regulated learning (Zimmerman, 2002), face complex disciplinary knowledge demands (Alexander, 2003), and operate with greater autonomy in learning decisions (Deci &amp; Ryan, 2000). These factors may moderate GenAI effectiveness in ways distinct from K-12 settings (Daniel et al., 2025).</w:t>
      </w:r>
    </w:p>
    <w:p>
      <w:pPr>
        <w:spacing w:line="480" w:lineRule="auto" w:before="0" w:after="0"/>
        <w:ind w:firstLine="0"/>
        <w:jc w:val="center"/>
      </w:pPr>
      <w:r>
        <w:rPr>
          <w:rFonts w:ascii="Times New Roman" w:hAnsi="Times New Roman"/>
          <w:b/>
          <w:i w:val="0"/>
          <w:sz w:val="24"/>
        </w:rPr>
        <w:t>Theoretical Framework</w:t>
      </w:r>
    </w:p>
    <w:p>
      <w:pPr>
        <w:spacing w:line="480" w:lineRule="auto" w:before="0" w:after="0"/>
        <w:ind w:firstLine="720"/>
        <w:jc w:val="left"/>
      </w:pPr>
      <w:r>
        <w:rPr>
          <w:rFonts w:ascii="Times New Roman" w:hAnsi="Times New Roman"/>
          <w:b w:val="0"/>
          <w:i w:val="0"/>
          <w:sz w:val="24"/>
        </w:rPr>
        <w:t xml:space="preserve">Understanding GenAI's effectiveness requires integration of multiple theoretical perspectives that illuminate both potential benefits and risks. We organize our framework around six complementary theories: Cognitive Load Theory, Desirable Difficulties Theory, Self-Regulated Learning Theory, Self-Determination Theory, Sociocultural Learning Theory, and Automation Bias research. Each addresses distinct mechanisms through which GenAI may influence learning, while collectively raising important concerns about </w:t>
      </w:r>
      <w:r>
        <w:rPr>
          <w:rFonts w:ascii="Times New Roman" w:hAnsi="Times New Roman"/>
          <w:b w:val="0"/>
          <w:i/>
          <w:sz w:val="24"/>
        </w:rPr>
        <w:t>cognitive dependency</w:t>
      </w:r>
      <w:r>
        <w:rPr>
          <w:rFonts w:ascii="Times New Roman" w:hAnsi="Times New Roman"/>
          <w:b w:val="0"/>
          <w:i w:val="0"/>
          <w:sz w:val="24"/>
        </w:rPr>
        <w:t>—the phenomenon whereby learners become reliant on AI tools in ways that may impede independent cognitive skill development (Bastani et al., 2024; Abbas et al., 2024).</w:t>
      </w:r>
    </w:p>
    <w:p>
      <w:pPr>
        <w:spacing w:line="480" w:lineRule="auto" w:before="0" w:after="0"/>
        <w:ind w:firstLine="720"/>
        <w:jc w:val="left"/>
      </w:pPr>
      <w:r>
        <w:rPr>
          <w:rFonts w:ascii="Times New Roman" w:hAnsi="Times New Roman"/>
          <w:b w:val="0"/>
          <w:i w:val="0"/>
          <w:sz w:val="24"/>
        </w:rPr>
        <w:t>Recent theoretical work has characterized this tension as the "cognitive paradox of AI in education" (Chen &amp; Wang, 2025): the same features that make AI effective for immediate performance enhancement may undermine the cognitive struggle necessary for deep learning and skill internalization. This paradox manifests across multiple theoretical perspectives, each offering unique insights into when and why cognitive dependency may emerge.</w:t>
      </w:r>
    </w:p>
    <w:p>
      <w:pPr>
        <w:spacing w:line="480" w:lineRule="auto" w:before="0" w:after="0"/>
        <w:ind w:firstLine="0"/>
        <w:jc w:val="left"/>
      </w:pPr>
      <w:r>
        <w:rPr>
          <w:rFonts w:ascii="Times New Roman" w:hAnsi="Times New Roman"/>
          <w:b/>
          <w:i w:val="0"/>
          <w:sz w:val="24"/>
        </w:rPr>
        <w:t>AI-Integrated Metacognition (AIMC) as an Integrative Lens</w:t>
      </w:r>
    </w:p>
    <w:p>
      <w:pPr>
        <w:spacing w:line="480" w:lineRule="auto" w:before="0" w:after="0"/>
        <w:ind w:firstLine="720"/>
        <w:jc w:val="left"/>
      </w:pPr>
      <w:r>
        <w:rPr>
          <w:rFonts w:ascii="Times New Roman" w:hAnsi="Times New Roman"/>
          <w:b w:val="0"/>
          <w:i w:val="0"/>
          <w:sz w:val="24"/>
        </w:rPr>
        <w:t xml:space="preserve">Before examining domain-specific learning theories, we situate GenAI within the broader framework of </w:t>
      </w:r>
      <w:r>
        <w:rPr>
          <w:rFonts w:ascii="Times New Roman" w:hAnsi="Times New Roman"/>
          <w:b/>
          <w:i w:val="0"/>
          <w:sz w:val="24"/>
        </w:rPr>
        <w:t>AI-Integrated Metacognition (AIMC)</w:t>
      </w:r>
      <w:r>
        <w:rPr>
          <w:rFonts w:ascii="Times New Roman" w:hAnsi="Times New Roman"/>
          <w:b w:val="0"/>
          <w:i w:val="0"/>
          <w:sz w:val="24"/>
        </w:rPr>
        <w:t>. Building on Nelson and Narens' (1990) foundational model of metacognition and Efklides' (2008) metacognitive and affective model of self-regulated learning, we propose a three-dimensional framework that reconceptualizes GenAI's role in developing—or potentially undermining—metacognitive capabilities.</w:t>
      </w:r>
    </w:p>
    <w:p>
      <w:pPr>
        <w:spacing w:line="480" w:lineRule="auto" w:before="0" w:after="0"/>
        <w:ind w:firstLine="720"/>
        <w:jc w:val="left"/>
      </w:pPr>
      <w:r>
        <w:rPr>
          <w:rFonts w:ascii="Times New Roman" w:hAnsi="Times New Roman"/>
          <w:b w:val="0"/>
          <w:i w:val="0"/>
          <w:sz w:val="24"/>
        </w:rPr>
        <w:t xml:space="preserve">The AIMC framework is grounded in the concept of </w:t>
      </w:r>
      <w:r>
        <w:rPr>
          <w:rFonts w:ascii="Times New Roman" w:hAnsi="Times New Roman"/>
          <w:b/>
          <w:i w:val="0"/>
          <w:sz w:val="24"/>
        </w:rPr>
        <w:t>Distributed Metacognition</w:t>
      </w:r>
      <w:r>
        <w:rPr>
          <w:rFonts w:ascii="Times New Roman" w:hAnsi="Times New Roman"/>
          <w:b w:val="0"/>
          <w:i w:val="0"/>
          <w:sz w:val="24"/>
        </w:rPr>
        <w:t xml:space="preserve"> (Clark &amp; Chalmers, 1998), which posits that cognitive processes can extend beyond the individual mind to incorporate external tools and environments. When GenAI mediates learning, metacognitive functions traditionally performed by the learner may be distributed across the human-AI system boundary. The critical question becomes: which metacognitive processes should remain internalized for independent learning, and which can appropriately be offloaded to AI systems?</w:t>
      </w:r>
    </w:p>
    <w:p>
      <w:pPr>
        <w:spacing w:line="480" w:lineRule="auto" w:before="0" w:after="0"/>
        <w:ind w:firstLine="720"/>
        <w:jc w:val="left"/>
      </w:pPr>
      <w:r>
        <w:rPr>
          <w:rFonts w:ascii="Times New Roman" w:hAnsi="Times New Roman"/>
          <w:b w:val="0"/>
          <w:i w:val="0"/>
          <w:sz w:val="24"/>
        </w:rPr>
        <w:t>The AIMC framework organizes metacognitive development across two dimensions (see Figure X: AIMC Framework v2.3 Matrix):</w:t>
      </w:r>
    </w:p>
    <w:p>
      <w:pPr>
        <w:spacing w:line="480" w:lineRule="auto" w:before="0" w:after="0"/>
        <w:ind w:firstLine="720"/>
        <w:jc w:val="left"/>
      </w:pPr>
      <w:r>
        <w:rPr>
          <w:rFonts w:ascii="Times New Roman" w:hAnsi="Times New Roman"/>
          <w:b/>
          <w:i w:val="0"/>
          <w:sz w:val="24"/>
        </w:rPr>
        <w:t>Dimension 1: Efklides' Metacognitive Facets</w:t>
      </w:r>
      <w:r>
        <w:rPr>
          <w:rFonts w:ascii="Times New Roman" w:hAnsi="Times New Roman"/>
          <w:b w:val="0"/>
          <w:i w:val="0"/>
          <w:sz w:val="24"/>
        </w:rPr>
        <w:t xml:space="preserve"> (horizontal axis)</w:t>
      </w:r>
    </w:p>
    <w:p>
      <w:pPr>
        <w:spacing w:line="480" w:lineRule="auto" w:before="0" w:after="0"/>
        <w:ind w:left="720" w:hanging="360"/>
        <w:jc w:val="left"/>
      </w:pPr>
      <w:r>
        <w:rPr>
          <w:rFonts w:ascii="Times New Roman" w:hAnsi="Times New Roman"/>
          <w:b/>
          <w:i w:val="0"/>
          <w:sz w:val="24"/>
        </w:rPr>
        <w:t>• Metacognitive Knowledge (What)</w:t>
      </w:r>
      <w:r>
        <w:rPr>
          <w:rFonts w:ascii="Times New Roman" w:hAnsi="Times New Roman"/>
          <w:b w:val="0"/>
          <w:i w:val="0"/>
          <w:sz w:val="24"/>
        </w:rPr>
        <w:t>: Declarative knowledge about tasks, strategies, and self as learner</w:t>
      </w:r>
    </w:p>
    <w:p>
      <w:pPr>
        <w:spacing w:line="480" w:lineRule="auto" w:before="0" w:after="0"/>
        <w:ind w:left="720" w:hanging="360"/>
        <w:jc w:val="left"/>
      </w:pPr>
      <w:r>
        <w:rPr>
          <w:rFonts w:ascii="Times New Roman" w:hAnsi="Times New Roman"/>
          <w:b/>
          <w:i w:val="0"/>
          <w:sz w:val="24"/>
        </w:rPr>
        <w:t>• Metacognitive Experiences (Feel)</w:t>
      </w:r>
      <w:r>
        <w:rPr>
          <w:rFonts w:ascii="Times New Roman" w:hAnsi="Times New Roman"/>
          <w:b w:val="0"/>
          <w:i w:val="0"/>
          <w:sz w:val="24"/>
        </w:rPr>
        <w:t>: Online subjective experiences during learning, including Judgment of Learning (JOL), Feeling of Knowing (FOK), and Feeling of Difficulty (FOD)</w:t>
      </w:r>
    </w:p>
    <w:p>
      <w:pPr>
        <w:spacing w:line="480" w:lineRule="auto" w:before="0" w:after="0"/>
        <w:ind w:left="720" w:hanging="360"/>
        <w:jc w:val="left"/>
      </w:pPr>
      <w:r>
        <w:rPr>
          <w:rFonts w:ascii="Times New Roman" w:hAnsi="Times New Roman"/>
          <w:b/>
          <w:i w:val="0"/>
          <w:sz w:val="24"/>
        </w:rPr>
        <w:t>• Metacognitive Skills (How)</w:t>
      </w:r>
      <w:r>
        <w:rPr>
          <w:rFonts w:ascii="Times New Roman" w:hAnsi="Times New Roman"/>
          <w:b w:val="0"/>
          <w:i w:val="0"/>
          <w:sz w:val="24"/>
        </w:rPr>
        <w:t>: Procedural abilities for planning, monitoring, and controlling cognition</w:t>
      </w:r>
    </w:p>
    <w:p>
      <w:pPr>
        <w:spacing w:line="480" w:lineRule="auto" w:before="0" w:after="0"/>
        <w:ind w:firstLine="720"/>
        <w:jc w:val="left"/>
      </w:pPr>
      <w:r>
        <w:rPr>
          <w:rFonts w:ascii="Times New Roman" w:hAnsi="Times New Roman"/>
          <w:b/>
          <w:i w:val="0"/>
          <w:sz w:val="24"/>
        </w:rPr>
        <w:t>Dimension 2: AI Integration Levels</w:t>
      </w:r>
      <w:r>
        <w:rPr>
          <w:rFonts w:ascii="Times New Roman" w:hAnsi="Times New Roman"/>
          <w:b w:val="0"/>
          <w:i w:val="0"/>
          <w:sz w:val="24"/>
        </w:rPr>
        <w:t xml:space="preserve"> (vertical axis)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12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Level</w:t>
            </w:r>
          </w:p>
        </w:tc>
        <w:tc>
          <w:tcPr>
            <w:tcW w:type="dxa" w:w="312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Description</w:t>
            </w:r>
          </w:p>
        </w:tc>
        <w:tc>
          <w:tcPr>
            <w:tcW w:type="dxa" w:w="312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Metacognitive State</w:t>
            </w:r>
          </w:p>
        </w:tc>
      </w:tr>
      <w:tr>
        <w:tc>
          <w:tcPr>
            <w:tcW w:type="dxa" w:w="3120"/>
          </w:tcPr>
          <w:p>
            <w:pPr>
              <w:spacing w:line="480" w:lineRule="auto" w:before="20" w:after="20"/>
              <w:ind w:firstLine="0"/>
              <w:jc w:val="left"/>
            </w:pPr>
            <w:r/>
            <w:r>
              <w:rPr>
                <w:rFonts w:ascii="Times New Roman" w:hAnsi="Times New Roman"/>
                <w:b/>
                <w:i w:val="0"/>
                <w:sz w:val="20"/>
              </w:rPr>
              <w:t>L1: Supported</w:t>
            </w:r>
          </w:p>
        </w:tc>
        <w:tc>
          <w:tcPr>
            <w:tcW w:type="dxa" w:w="3120"/>
          </w:tcPr>
          <w:p>
            <w:pPr>
              <w:spacing w:line="480" w:lineRule="auto" w:before="20" w:after="20"/>
              <w:ind w:firstLine="0"/>
              <w:jc w:val="center"/>
            </w:pPr>
            <w:r/>
            <w:r>
              <w:rPr>
                <w:rFonts w:ascii="Times New Roman" w:hAnsi="Times New Roman"/>
                <w:b w:val="0"/>
                <w:i w:val="0"/>
                <w:sz w:val="20"/>
              </w:rPr>
              <w:t>AI provides direct assistance; learner operates with AI scaffolding</w:t>
            </w:r>
          </w:p>
        </w:tc>
        <w:tc>
          <w:tcPr>
            <w:tcW w:type="dxa" w:w="3120"/>
          </w:tcPr>
          <w:p>
            <w:pPr>
              <w:spacing w:line="480" w:lineRule="auto" w:before="20" w:after="20"/>
              <w:ind w:firstLine="0"/>
              <w:jc w:val="center"/>
            </w:pPr>
            <w:r/>
            <w:r>
              <w:rPr>
                <w:rFonts w:ascii="Times New Roman" w:hAnsi="Times New Roman"/>
                <w:b w:val="0"/>
                <w:i w:val="0"/>
                <w:sz w:val="20"/>
              </w:rPr>
              <w:t>Expanded object-level knowledge; AI-enhanced JOL/FOK; Guided monitoring &amp; control</w:t>
            </w:r>
          </w:p>
        </w:tc>
      </w:tr>
      <w:tr>
        <w:tc>
          <w:tcPr>
            <w:tcW w:type="dxa" w:w="3120"/>
          </w:tcPr>
          <w:p>
            <w:pPr>
              <w:spacing w:line="480" w:lineRule="auto" w:before="20" w:after="20"/>
              <w:ind w:firstLine="0"/>
              <w:jc w:val="left"/>
            </w:pPr>
            <w:r/>
            <w:r>
              <w:rPr>
                <w:rFonts w:ascii="Times New Roman" w:hAnsi="Times New Roman"/>
                <w:b/>
                <w:i w:val="0"/>
                <w:sz w:val="20"/>
              </w:rPr>
              <w:t>L2: Meta-AI Awareness</w:t>
            </w:r>
          </w:p>
        </w:tc>
        <w:tc>
          <w:tcPr>
            <w:tcW w:type="dxa" w:w="3120"/>
          </w:tcPr>
          <w:p>
            <w:pPr>
              <w:spacing w:line="480" w:lineRule="auto" w:before="20" w:after="20"/>
              <w:ind w:firstLine="0"/>
              <w:jc w:val="center"/>
            </w:pPr>
            <w:r/>
            <w:r>
              <w:rPr>
                <w:rFonts w:ascii="Times New Roman" w:hAnsi="Times New Roman"/>
                <w:b w:val="0"/>
                <w:i w:val="0"/>
                <w:sz w:val="20"/>
              </w:rPr>
              <w:t>Learner develops reflection on AI's role and capabilities</w:t>
            </w:r>
          </w:p>
        </w:tc>
        <w:tc>
          <w:tcPr>
            <w:tcW w:type="dxa" w:w="3120"/>
          </w:tcPr>
          <w:p>
            <w:pPr>
              <w:spacing w:line="480" w:lineRule="auto" w:before="20" w:after="20"/>
              <w:ind w:firstLine="0"/>
              <w:jc w:val="center"/>
            </w:pPr>
            <w:r/>
            <w:r>
              <w:rPr>
                <w:rFonts w:ascii="Times New Roman" w:hAnsi="Times New Roman"/>
                <w:b w:val="0"/>
                <w:i w:val="0"/>
                <w:sz w:val="20"/>
              </w:rPr>
              <w:t>AI capability &amp; limitation knowledge; AI Calibration Accuracy (novel construct); AI selection &amp; evaluation skills</w:t>
            </w:r>
          </w:p>
        </w:tc>
      </w:tr>
      <w:tr>
        <w:tc>
          <w:tcPr>
            <w:tcW w:type="dxa" w:w="3120"/>
            <w:tcBorders>
              <w:bottom w:val="single" w:sz="8" w:space="0" w:color="000000"/>
            </w:tcBorders>
          </w:tcPr>
          <w:p>
            <w:pPr>
              <w:spacing w:line="480" w:lineRule="auto" w:before="20" w:after="20"/>
              <w:ind w:firstLine="0"/>
              <w:jc w:val="left"/>
            </w:pPr>
            <w:r/>
            <w:r>
              <w:rPr>
                <w:rFonts w:ascii="Times New Roman" w:hAnsi="Times New Roman"/>
                <w:b/>
                <w:i w:val="0"/>
                <w:sz w:val="20"/>
              </w:rPr>
              <w:t>L3: Autonomous</w:t>
            </w:r>
          </w:p>
        </w:tc>
        <w:tc>
          <w:tcPr>
            <w:tcW w:type="dxa" w:w="3120"/>
            <w:tcBorders>
              <w:bottom w:val="single" w:sz="8" w:space="0" w:color="000000"/>
            </w:tcBorders>
          </w:tcPr>
          <w:p>
            <w:pPr>
              <w:spacing w:line="480" w:lineRule="auto" w:before="20" w:after="20"/>
              <w:ind w:firstLine="0"/>
              <w:jc w:val="center"/>
            </w:pPr>
            <w:r/>
            <w:r>
              <w:rPr>
                <w:rFonts w:ascii="Times New Roman" w:hAnsi="Times New Roman"/>
                <w:b w:val="0"/>
                <w:i w:val="0"/>
                <w:sz w:val="20"/>
              </w:rPr>
              <w:t>Skills transfer to AI-absent contexts; internalization complete</w:t>
            </w:r>
          </w:p>
        </w:tc>
        <w:tc>
          <w:tcPr>
            <w:tcW w:type="dxa" w:w="3120"/>
            <w:tcBorders>
              <w:bottom w:val="single" w:sz="8" w:space="0" w:color="000000"/>
            </w:tcBorders>
          </w:tcPr>
          <w:p>
            <w:pPr>
              <w:spacing w:line="480" w:lineRule="auto" w:before="20" w:after="20"/>
              <w:ind w:firstLine="0"/>
              <w:jc w:val="center"/>
            </w:pPr>
            <w:r/>
            <w:r>
              <w:rPr>
                <w:rFonts w:ascii="Times New Roman" w:hAnsi="Times New Roman"/>
                <w:b w:val="0"/>
                <w:i w:val="0"/>
                <w:sz w:val="20"/>
              </w:rPr>
              <w:t>Task &amp; strategy knowledge; Transfer JOL/FOK calibration; Autonomous planning &amp; monitoring</w:t>
            </w:r>
          </w:p>
        </w:tc>
      </w:tr>
    </w:tbl>
    <w:p>
      <w:pPr>
        <w:spacing w:line="480" w:lineRule="auto" w:before="0" w:after="0"/>
        <w:ind w:firstLine="720"/>
        <w:jc w:val="left"/>
      </w:pPr>
      <w:r>
        <w:rPr>
          <w:rFonts w:ascii="Times New Roman" w:hAnsi="Times New Roman"/>
          <w:b/>
          <w:i w:val="0"/>
          <w:sz w:val="24"/>
        </w:rPr>
        <w:t>Key Metacognitive Constructs:</w:t>
      </w:r>
    </w:p>
    <w:p>
      <w:pPr>
        <w:spacing w:line="480" w:lineRule="auto" w:before="0" w:after="0"/>
        <w:ind w:left="720" w:hanging="360"/>
        <w:jc w:val="left"/>
      </w:pPr>
      <w:r>
        <w:rPr>
          <w:rFonts w:ascii="Times New Roman" w:hAnsi="Times New Roman"/>
          <w:b/>
          <w:i w:val="0"/>
          <w:sz w:val="24"/>
        </w:rPr>
        <w:t>• JOL (Judgment of Learning)</w:t>
      </w:r>
      <w:r>
        <w:rPr>
          <w:rFonts w:ascii="Times New Roman" w:hAnsi="Times New Roman"/>
          <w:b w:val="0"/>
          <w:i w:val="0"/>
          <w:sz w:val="24"/>
        </w:rPr>
        <w:t>: Learners' predictions about their future recall performance (Nelson &amp; Narens, 1990). In AI-integrated contexts, JOL may become inflated due to AI-assisted performance, creating illusions of competence.</w:t>
      </w:r>
    </w:p>
    <w:p>
      <w:pPr>
        <w:spacing w:line="480" w:lineRule="auto" w:before="0" w:after="0"/>
        <w:ind w:left="720" w:hanging="360"/>
        <w:jc w:val="left"/>
      </w:pPr>
      <w:r>
        <w:rPr>
          <w:rFonts w:ascii="Times New Roman" w:hAnsi="Times New Roman"/>
          <w:b/>
          <w:i w:val="0"/>
          <w:sz w:val="24"/>
        </w:rPr>
        <w:t>• FOK (Feeling of Knowing)</w:t>
      </w:r>
      <w:r>
        <w:rPr>
          <w:rFonts w:ascii="Times New Roman" w:hAnsi="Times New Roman"/>
          <w:b w:val="0"/>
          <w:i w:val="0"/>
          <w:sz w:val="24"/>
        </w:rPr>
        <w:t>: The sense that one could recognize or retrieve information even when it cannot currently be recalled. AI availability may distort FOK by providing constant retrieval support.</w:t>
      </w:r>
    </w:p>
    <w:p>
      <w:pPr>
        <w:spacing w:line="480" w:lineRule="auto" w:before="0" w:after="0"/>
        <w:ind w:left="720" w:hanging="360"/>
        <w:jc w:val="left"/>
      </w:pPr>
      <w:r>
        <w:rPr>
          <w:rFonts w:ascii="Times New Roman" w:hAnsi="Times New Roman"/>
          <w:b/>
          <w:i w:val="0"/>
          <w:sz w:val="24"/>
        </w:rPr>
        <w:t>• FOD (Feeling of Difficulty)</w:t>
      </w:r>
      <w:r>
        <w:rPr>
          <w:rFonts w:ascii="Times New Roman" w:hAnsi="Times New Roman"/>
          <w:b w:val="0"/>
          <w:i w:val="0"/>
          <w:sz w:val="24"/>
        </w:rPr>
        <w:t>: Subjective experience of task difficulty that guides effort allocation. AI may systematically reduce FOD, potentially eliminating signals necessary for adaptive learning regulation.</w:t>
      </w:r>
    </w:p>
    <w:p>
      <w:pPr>
        <w:spacing w:line="480" w:lineRule="auto" w:before="0" w:after="0"/>
        <w:ind w:left="720" w:hanging="360"/>
        <w:jc w:val="left"/>
      </w:pPr>
      <w:r>
        <w:rPr>
          <w:rFonts w:ascii="Times New Roman" w:hAnsi="Times New Roman"/>
          <w:b/>
          <w:i w:val="0"/>
          <w:sz w:val="24"/>
        </w:rPr>
        <w:t>• AI Calibration Accuracy</w:t>
      </w:r>
      <w:r>
        <w:rPr>
          <w:rFonts w:ascii="Times New Roman" w:hAnsi="Times New Roman"/>
          <w:b w:val="0"/>
          <w:i w:val="0"/>
          <w:sz w:val="24"/>
        </w:rPr>
        <w:t>: A novel construct proposed in this framework—the degree to which learners accurately judge when AI assistance is appropriate versus when independent processing better serves learning goals.</w:t>
      </w:r>
    </w:p>
    <w:p>
      <w:pPr>
        <w:spacing w:line="480" w:lineRule="auto" w:before="0" w:after="0"/>
        <w:ind w:firstLine="720"/>
        <w:jc w:val="left"/>
      </w:pPr>
      <w:r>
        <w:rPr>
          <w:rFonts w:ascii="Times New Roman" w:hAnsi="Times New Roman"/>
          <w:b w:val="0"/>
          <w:i w:val="0"/>
          <w:sz w:val="24"/>
        </w:rPr>
        <w:t>The AIMC framework provides a unifying meta-theoretical lens through which the subsequent six domain-specific theories can be interpreted and integrated. Each theory addresses a specific dimension of how AI integration affects metacognitive development:</w:t>
      </w:r>
    </w:p>
    <w:p>
      <w:pPr>
        <w:spacing w:line="480" w:lineRule="auto" w:before="0" w:after="0"/>
        <w:ind w:left="720" w:hanging="360"/>
        <w:jc w:val="left"/>
      </w:pPr>
      <w:r>
        <w:rPr>
          <w:rFonts w:ascii="Times New Roman" w:hAnsi="Times New Roman"/>
          <w:b/>
          <w:i w:val="0"/>
          <w:sz w:val="24"/>
        </w:rPr>
        <w:t>• Cognitive Load Theory</w:t>
      </w:r>
      <w:r>
        <w:rPr>
          <w:rFonts w:ascii="Times New Roman" w:hAnsi="Times New Roman"/>
          <w:b w:val="0"/>
          <w:i w:val="0"/>
          <w:sz w:val="24"/>
        </w:rPr>
        <w:t xml:space="preserve"> maps onto the transition from </w:t>
      </w:r>
      <w:r>
        <w:rPr>
          <w:rFonts w:ascii="Times New Roman" w:hAnsi="Times New Roman"/>
          <w:b/>
          <w:i w:val="0"/>
          <w:sz w:val="24"/>
        </w:rPr>
        <w:t>L1 to L3</w:t>
      </w:r>
      <w:r>
        <w:rPr>
          <w:rFonts w:ascii="Times New Roman" w:hAnsi="Times New Roman"/>
          <w:b w:val="0"/>
          <w:i w:val="0"/>
          <w:sz w:val="24"/>
        </w:rPr>
        <w:t>: AI may keep learners at L1 (supported) by continuously reducing load, preventing progression to L3 (autonomous) schema development</w:t>
      </w:r>
    </w:p>
    <w:p>
      <w:pPr>
        <w:spacing w:line="480" w:lineRule="auto" w:before="0" w:after="0"/>
        <w:ind w:left="720" w:hanging="360"/>
        <w:jc w:val="left"/>
      </w:pPr>
      <w:r>
        <w:rPr>
          <w:rFonts w:ascii="Times New Roman" w:hAnsi="Times New Roman"/>
          <w:b/>
          <w:i w:val="0"/>
          <w:sz w:val="24"/>
        </w:rPr>
        <w:t>• Desirable Difficulties Theory</w:t>
      </w:r>
      <w:r>
        <w:rPr>
          <w:rFonts w:ascii="Times New Roman" w:hAnsi="Times New Roman"/>
          <w:b w:val="0"/>
          <w:i w:val="0"/>
          <w:sz w:val="24"/>
        </w:rPr>
        <w:t xml:space="preserve"> addresses </w:t>
      </w:r>
      <w:r>
        <w:rPr>
          <w:rFonts w:ascii="Times New Roman" w:hAnsi="Times New Roman"/>
          <w:b/>
          <w:i w:val="0"/>
          <w:sz w:val="24"/>
        </w:rPr>
        <w:t>Metacognitive Experiences</w:t>
      </w:r>
      <w:r>
        <w:rPr>
          <w:rFonts w:ascii="Times New Roman" w:hAnsi="Times New Roman"/>
          <w:b w:val="0"/>
          <w:i w:val="0"/>
          <w:sz w:val="24"/>
        </w:rPr>
        <w:t>: AI may eliminate FOD signals that trigger adaptive strategy shifts and deeper processing</w:t>
      </w:r>
    </w:p>
    <w:p>
      <w:pPr>
        <w:spacing w:line="480" w:lineRule="auto" w:before="0" w:after="0"/>
        <w:ind w:left="720" w:hanging="360"/>
        <w:jc w:val="left"/>
      </w:pPr>
      <w:r>
        <w:rPr>
          <w:rFonts w:ascii="Times New Roman" w:hAnsi="Times New Roman"/>
          <w:b/>
          <w:i w:val="0"/>
          <w:sz w:val="24"/>
        </w:rPr>
        <w:t>• Self-Regulated Learning Theory</w:t>
      </w:r>
      <w:r>
        <w:rPr>
          <w:rFonts w:ascii="Times New Roman" w:hAnsi="Times New Roman"/>
          <w:b w:val="0"/>
          <w:i w:val="0"/>
          <w:sz w:val="24"/>
        </w:rPr>
        <w:t xml:space="preserve"> connects to </w:t>
      </w:r>
      <w:r>
        <w:rPr>
          <w:rFonts w:ascii="Times New Roman" w:hAnsi="Times New Roman"/>
          <w:b/>
          <w:i w:val="0"/>
          <w:sz w:val="24"/>
        </w:rPr>
        <w:t>Metacognitive Skills</w:t>
      </w:r>
      <w:r>
        <w:rPr>
          <w:rFonts w:ascii="Times New Roman" w:hAnsi="Times New Roman"/>
          <w:b w:val="0"/>
          <w:i w:val="0"/>
          <w:sz w:val="24"/>
        </w:rPr>
        <w:t>: AI may perform monitoring functions externally without developing learners' internal monitoring capabilities</w:t>
      </w:r>
    </w:p>
    <w:p>
      <w:pPr>
        <w:spacing w:line="480" w:lineRule="auto" w:before="0" w:after="0"/>
        <w:ind w:left="720" w:hanging="360"/>
        <w:jc w:val="left"/>
      </w:pPr>
      <w:r>
        <w:rPr>
          <w:rFonts w:ascii="Times New Roman" w:hAnsi="Times New Roman"/>
          <w:b/>
          <w:i w:val="0"/>
          <w:sz w:val="24"/>
        </w:rPr>
        <w:t>• Self-Determination Theory</w:t>
      </w:r>
      <w:r>
        <w:rPr>
          <w:rFonts w:ascii="Times New Roman" w:hAnsi="Times New Roman"/>
          <w:b w:val="0"/>
          <w:i w:val="0"/>
          <w:sz w:val="24"/>
        </w:rPr>
        <w:t xml:space="preserve"> relates to the </w:t>
      </w:r>
      <w:r>
        <w:rPr>
          <w:rFonts w:ascii="Times New Roman" w:hAnsi="Times New Roman"/>
          <w:b/>
          <w:i w:val="0"/>
          <w:sz w:val="24"/>
        </w:rPr>
        <w:t>L2 Meta-AI Awareness</w:t>
      </w:r>
      <w:r>
        <w:rPr>
          <w:rFonts w:ascii="Times New Roman" w:hAnsi="Times New Roman"/>
          <w:b w:val="0"/>
          <w:i w:val="0"/>
          <w:sz w:val="24"/>
        </w:rPr>
        <w:t xml:space="preserve"> level: developing accurate AI Calibration Accuracy supports competence attribution to self versus AI</w:t>
      </w:r>
    </w:p>
    <w:p>
      <w:pPr>
        <w:spacing w:line="480" w:lineRule="auto" w:before="0" w:after="0"/>
        <w:ind w:left="720" w:hanging="360"/>
        <w:jc w:val="left"/>
      </w:pPr>
      <w:r>
        <w:rPr>
          <w:rFonts w:ascii="Times New Roman" w:hAnsi="Times New Roman"/>
          <w:b/>
          <w:i w:val="0"/>
          <w:sz w:val="24"/>
        </w:rPr>
        <w:t>• Sociocultural Learning Theory</w:t>
      </w:r>
      <w:r>
        <w:rPr>
          <w:rFonts w:ascii="Times New Roman" w:hAnsi="Times New Roman"/>
          <w:b w:val="0"/>
          <w:i w:val="0"/>
          <w:sz w:val="24"/>
        </w:rPr>
        <w:t xml:space="preserve"> illuminates the </w:t>
      </w:r>
      <w:r>
        <w:rPr>
          <w:rFonts w:ascii="Times New Roman" w:hAnsi="Times New Roman"/>
          <w:b/>
          <w:i w:val="0"/>
          <w:sz w:val="24"/>
        </w:rPr>
        <w:t>Distributed Metacognition</w:t>
      </w:r>
      <w:r>
        <w:rPr>
          <w:rFonts w:ascii="Times New Roman" w:hAnsi="Times New Roman"/>
          <w:b w:val="0"/>
          <w:i w:val="0"/>
          <w:sz w:val="24"/>
        </w:rPr>
        <w:t xml:space="preserve"> foundation: the boundary between human and AI cognitive contributions must be explicitly negotiated</w:t>
      </w:r>
    </w:p>
    <w:p>
      <w:pPr>
        <w:spacing w:line="480" w:lineRule="auto" w:before="0" w:after="0"/>
        <w:ind w:left="720" w:hanging="360"/>
        <w:jc w:val="left"/>
      </w:pPr>
      <w:r>
        <w:rPr>
          <w:rFonts w:ascii="Times New Roman" w:hAnsi="Times New Roman"/>
          <w:b/>
          <w:i w:val="0"/>
          <w:sz w:val="24"/>
        </w:rPr>
        <w:t>• Automation Bias research</w:t>
      </w:r>
      <w:r>
        <w:rPr>
          <w:rFonts w:ascii="Times New Roman" w:hAnsi="Times New Roman"/>
          <w:b w:val="0"/>
          <w:i w:val="0"/>
          <w:sz w:val="24"/>
        </w:rPr>
        <w:t xml:space="preserve"> addresses failures in </w:t>
      </w:r>
      <w:r>
        <w:rPr>
          <w:rFonts w:ascii="Times New Roman" w:hAnsi="Times New Roman"/>
          <w:b/>
          <w:i w:val="0"/>
          <w:sz w:val="24"/>
        </w:rPr>
        <w:t>AI Calibration Accuracy</w:t>
      </w:r>
      <w:r>
        <w:rPr>
          <w:rFonts w:ascii="Times New Roman" w:hAnsi="Times New Roman"/>
          <w:b w:val="0"/>
          <w:i w:val="0"/>
          <w:sz w:val="24"/>
        </w:rPr>
        <w:t>: learners with poor calibration over-rely on AI and fail to engage independent verification</w:t>
      </w:r>
    </w:p>
    <w:p>
      <w:pPr>
        <w:spacing w:line="480" w:lineRule="auto" w:before="0" w:after="0"/>
        <w:ind w:firstLine="720"/>
        <w:jc w:val="left"/>
      </w:pPr>
      <w:r>
        <w:rPr>
          <w:rFonts w:ascii="Times New Roman" w:hAnsi="Times New Roman"/>
          <w:b w:val="0"/>
          <w:i w:val="0"/>
          <w:sz w:val="24"/>
        </w:rPr>
        <w:t xml:space="preserve">The central prediction derived from AIMC theory is that GenAI interventions will enhance learning outcomes at </w:t>
      </w:r>
      <w:r>
        <w:rPr>
          <w:rFonts w:ascii="Times New Roman" w:hAnsi="Times New Roman"/>
          <w:b/>
          <w:i w:val="0"/>
          <w:sz w:val="24"/>
        </w:rPr>
        <w:t>L1 (Supported)</w:t>
      </w:r>
      <w:r>
        <w:rPr>
          <w:rFonts w:ascii="Times New Roman" w:hAnsi="Times New Roman"/>
          <w:b w:val="0"/>
          <w:i w:val="0"/>
          <w:sz w:val="24"/>
        </w:rPr>
        <w:t xml:space="preserve"> but show attenuated effects on </w:t>
      </w:r>
      <w:r>
        <w:rPr>
          <w:rFonts w:ascii="Times New Roman" w:hAnsi="Times New Roman"/>
          <w:b/>
          <w:i w:val="0"/>
          <w:sz w:val="24"/>
        </w:rPr>
        <w:t>L3 (Autonomous)</w:t>
      </w:r>
      <w:r>
        <w:rPr>
          <w:rFonts w:ascii="Times New Roman" w:hAnsi="Times New Roman"/>
          <w:b w:val="0"/>
          <w:i w:val="0"/>
          <w:sz w:val="24"/>
        </w:rPr>
        <w:t xml:space="preserve"> outcomes—particularly metacognitive measures assessing independent JOL/FOK calibration and autonomous monitoring skills. Students may develop AI-enhanced performance without progressing through </w:t>
      </w:r>
      <w:r>
        <w:rPr>
          <w:rFonts w:ascii="Times New Roman" w:hAnsi="Times New Roman"/>
          <w:b/>
          <w:i w:val="0"/>
          <w:sz w:val="24"/>
        </w:rPr>
        <w:t>L2 (Meta-AI Awareness)</w:t>
      </w:r>
      <w:r>
        <w:rPr>
          <w:rFonts w:ascii="Times New Roman" w:hAnsi="Times New Roman"/>
          <w:b w:val="0"/>
          <w:i w:val="0"/>
          <w:sz w:val="24"/>
        </w:rPr>
        <w:t xml:space="preserve"> to achieve genuine </w:t>
      </w:r>
      <w:r>
        <w:rPr>
          <w:rFonts w:ascii="Times New Roman" w:hAnsi="Times New Roman"/>
          <w:b/>
          <w:i w:val="0"/>
          <w:sz w:val="24"/>
        </w:rPr>
        <w:t>L3 (Autonomous)</w:t>
      </w:r>
      <w:r>
        <w:rPr>
          <w:rFonts w:ascii="Times New Roman" w:hAnsi="Times New Roman"/>
          <w:b w:val="0"/>
          <w:i w:val="0"/>
          <w:sz w:val="24"/>
        </w:rPr>
        <w:t xml:space="preserve"> capability transfer. This prediction converges with and extends the cognitive dependency hypothesis derived from domain-specific theories.</w:t>
      </w:r>
    </w:p>
    <w:p>
      <w:pPr>
        <w:spacing w:line="480" w:lineRule="auto" w:before="0" w:after="0"/>
        <w:ind w:firstLine="0"/>
        <w:jc w:val="left"/>
      </w:pPr>
      <w:r>
        <w:rPr>
          <w:rFonts w:ascii="Times New Roman" w:hAnsi="Times New Roman"/>
          <w:b/>
          <w:i w:val="0"/>
          <w:sz w:val="24"/>
        </w:rPr>
        <w:t>Cognitive Load Theory</w:t>
      </w:r>
    </w:p>
    <w:p>
      <w:pPr>
        <w:spacing w:line="480" w:lineRule="auto" w:before="0" w:after="0"/>
        <w:ind w:firstLine="720"/>
        <w:jc w:val="left"/>
      </w:pPr>
      <w:r>
        <w:rPr>
          <w:rFonts w:ascii="Times New Roman" w:hAnsi="Times New Roman"/>
          <w:b w:val="0"/>
          <w:i w:val="0"/>
          <w:sz w:val="24"/>
        </w:rPr>
        <w:t>Cognitive Load Theory (CLT; Sweller, 1988, 2011) provides a foundational framework for understanding how GenAI influences learning through effects on working memory. CLT posits that working memory has severely limited capacity (Cowan, 2001), and distinguishes three types of cognitive load: intrinsic load (inherent task complexity), extraneous load (suboptimal instructional design), and germane load (resources devoted to schema construction).</w:t>
      </w:r>
    </w:p>
    <w:p>
      <w:pPr>
        <w:spacing w:line="480" w:lineRule="auto" w:before="0" w:after="0"/>
        <w:ind w:firstLine="720"/>
        <w:jc w:val="left"/>
      </w:pPr>
      <w:r>
        <w:rPr>
          <w:rFonts w:ascii="Times New Roman" w:hAnsi="Times New Roman"/>
          <w:b w:val="0"/>
          <w:i w:val="0"/>
          <w:sz w:val="24"/>
        </w:rPr>
        <w:t>GenAI tools potentially influence all three load types. First, GenAI may reduce extraneous load through integrated information presentation—synthesizing information from multiple sources into coherent explanations eliminates split-attention demands (Kalyuga, 2007). Second, GenAI provides adaptive scaffolding for intrinsic load management through dynamic complexity fading (Renkl &amp; Atkinson, 2003). Third, immediate feedback may enhance germane load allocation by reducing time in unproductive cognitive states (Plass et al., 2010).</w:t>
      </w:r>
    </w:p>
    <w:p>
      <w:pPr>
        <w:spacing w:line="480" w:lineRule="auto" w:before="0" w:after="0"/>
        <w:ind w:firstLine="720"/>
        <w:jc w:val="left"/>
      </w:pPr>
      <w:r>
        <w:rPr>
          <w:rFonts w:ascii="Times New Roman" w:hAnsi="Times New Roman"/>
          <w:b w:val="0"/>
          <w:i w:val="0"/>
          <w:sz w:val="24"/>
        </w:rPr>
        <w:t xml:space="preserve">A critical CLT principle is the expertise reversal effect (Kalyuga et al., 2003): instructional techniques effective for novices become ineffective for advanced learners. Meta-analytic evidence suggests GenAI scaffolding may be particularly beneficial for learners with lower prior knowledge (Sun &amp; Zhou, 2024). However, CLT also raises a concern: if GenAI consistently reduces cognitive load, learners may not develop the cognitive schemas necessary for independent task performance—a form of </w:t>
      </w:r>
      <w:r>
        <w:rPr>
          <w:rFonts w:ascii="Times New Roman" w:hAnsi="Times New Roman"/>
          <w:b w:val="0"/>
          <w:i/>
          <w:sz w:val="24"/>
        </w:rPr>
        <w:t>cognitive offloading</w:t>
      </w:r>
      <w:r>
        <w:rPr>
          <w:rFonts w:ascii="Times New Roman" w:hAnsi="Times New Roman"/>
          <w:b w:val="0"/>
          <w:i w:val="0"/>
          <w:sz w:val="24"/>
        </w:rPr>
        <w:t xml:space="preserve"> that trades immediate performance for long-term learning (Risko &amp; Gilbert, 2016).</w:t>
      </w:r>
    </w:p>
    <w:p>
      <w:pPr>
        <w:spacing w:line="480" w:lineRule="auto" w:before="0" w:after="0"/>
        <w:ind w:firstLine="720"/>
        <w:jc w:val="left"/>
      </w:pPr>
      <w:r>
        <w:rPr>
          <w:rFonts w:ascii="Times New Roman" w:hAnsi="Times New Roman"/>
          <w:b w:val="0"/>
          <w:i w:val="0"/>
          <w:sz w:val="24"/>
        </w:rPr>
        <w:t>Recent neuroscience research extends this concern. Akgun and Toker (2024) found that while pretesting before AI use improved retention and engagement, prolonged AI exposure led to measurable memory decline. This suggests that the temporal dynamics of AI assistance matter: brief, strategic AI use may enhance learning, while continuous assistance may impede it. Chen et al. (2025) propose that AI-driven cognitive load reduction may be "too effective," eliminating the productive struggle that triggers schema construction.</w:t>
      </w:r>
    </w:p>
    <w:p>
      <w:pPr>
        <w:spacing w:line="480" w:lineRule="auto" w:before="0" w:after="0"/>
        <w:ind w:firstLine="720"/>
        <w:jc w:val="left"/>
      </w:pPr>
      <w:r>
        <w:rPr>
          <w:rFonts w:ascii="Times New Roman" w:hAnsi="Times New Roman"/>
          <w:b/>
          <w:i w:val="0"/>
          <w:sz w:val="24"/>
        </w:rPr>
        <w:t>AIMC Integration.</w:t>
      </w:r>
      <w:r>
        <w:rPr>
          <w:rFonts w:ascii="Times New Roman" w:hAnsi="Times New Roman"/>
          <w:b w:val="0"/>
          <w:i w:val="0"/>
          <w:sz w:val="24"/>
        </w:rPr>
        <w:t xml:space="preserve"> From the AIMC framework perspective, CLT concerns map directly onto the transition from </w:t>
      </w:r>
      <w:r>
        <w:rPr>
          <w:rFonts w:ascii="Times New Roman" w:hAnsi="Times New Roman"/>
          <w:b/>
          <w:i w:val="0"/>
          <w:sz w:val="24"/>
        </w:rPr>
        <w:t>L1 (Supported) to L3 (Autonomous)</w:t>
      </w:r>
      <w:r>
        <w:rPr>
          <w:rFonts w:ascii="Times New Roman" w:hAnsi="Times New Roman"/>
          <w:b w:val="0"/>
          <w:i w:val="0"/>
          <w:sz w:val="24"/>
        </w:rPr>
        <w:t>. When AI continuously reduces cognitive load, learners may remain at L1 with "Expanded Object-Level Knowledge" and "Guided Monitoring &amp; Control" but never progress to L3 where "Task &amp; Strategy Knowledge" and "Autonomous Planning &amp; Monitoring" become internalized. The critical insight is that some cognitive load is necessary for schema construction—excessive load reduction may be appropriate for immediate performance but counterproductive for developing autonomous metacognitive capabilities.</w:t>
      </w:r>
    </w:p>
    <w:p>
      <w:pPr>
        <w:spacing w:line="480" w:lineRule="auto" w:before="0" w:after="0"/>
        <w:ind w:firstLine="0"/>
        <w:jc w:val="left"/>
      </w:pPr>
      <w:r>
        <w:rPr>
          <w:rFonts w:ascii="Times New Roman" w:hAnsi="Times New Roman"/>
          <w:b/>
          <w:i w:val="0"/>
          <w:sz w:val="24"/>
        </w:rPr>
        <w:t>Desirable Difficulties Theory</w:t>
      </w:r>
    </w:p>
    <w:p>
      <w:pPr>
        <w:spacing w:line="480" w:lineRule="auto" w:before="0" w:after="0"/>
        <w:ind w:firstLine="720"/>
        <w:jc w:val="left"/>
      </w:pPr>
      <w:r>
        <w:rPr>
          <w:rFonts w:ascii="Times New Roman" w:hAnsi="Times New Roman"/>
          <w:b w:val="0"/>
          <w:i w:val="0"/>
          <w:sz w:val="24"/>
        </w:rPr>
        <w:t>Desirable difficulties theory (Bjork, 1994; Bjork &amp; Bjork, 2011) provides a counterpoint to the straightforward interpretation of CLT benefits. This framework argues that conditions that make learning more difficult—spacing, interleaving, generation, variation—often enhance long-term retention and transfer despite reducing immediate performance (Roediger &amp; Karpicke, 2006). The testing effect, wherein retrieval practice outperforms repeated study, exemplifies how cognitive effort during learning strengthens memory consolidation (Rowland, 2014; Pan et al., 2024).</w:t>
      </w:r>
    </w:p>
    <w:p>
      <w:pPr>
        <w:spacing w:line="480" w:lineRule="auto" w:before="0" w:after="0"/>
        <w:ind w:firstLine="720"/>
        <w:jc w:val="left"/>
      </w:pPr>
      <w:r>
        <w:rPr>
          <w:rFonts w:ascii="Times New Roman" w:hAnsi="Times New Roman"/>
          <w:b w:val="0"/>
          <w:i w:val="0"/>
          <w:sz w:val="24"/>
        </w:rPr>
        <w:t xml:space="preserve">From this perspective, GenAI's efficiency may be a double-edged sword. By providing immediate answers and reducing struggle, AI tools may eliminate the very difficulties that promote durable learning (Carpenter et al., 2023). When students can instantly access AI-generated solutions, they may bypass the retrieval practice, elaborative interrogation, and problem-solving attempts that strengthen knowledge structures (Dunlosky et al., 2013). Soderstrom and Bjork (2015) distinguish </w:t>
      </w:r>
      <w:r>
        <w:rPr>
          <w:rFonts w:ascii="Times New Roman" w:hAnsi="Times New Roman"/>
          <w:b w:val="0"/>
          <w:i/>
          <w:sz w:val="24"/>
        </w:rPr>
        <w:t>learning</w:t>
      </w:r>
      <w:r>
        <w:rPr>
          <w:rFonts w:ascii="Times New Roman" w:hAnsi="Times New Roman"/>
          <w:b w:val="0"/>
          <w:i w:val="0"/>
          <w:sz w:val="24"/>
        </w:rPr>
        <w:t xml:space="preserve"> (relatively permanent changes in knowledge or skills) from </w:t>
      </w:r>
      <w:r>
        <w:rPr>
          <w:rFonts w:ascii="Times New Roman" w:hAnsi="Times New Roman"/>
          <w:b w:val="0"/>
          <w:i/>
          <w:sz w:val="24"/>
        </w:rPr>
        <w:t>performance</w:t>
      </w:r>
      <w:r>
        <w:rPr>
          <w:rFonts w:ascii="Times New Roman" w:hAnsi="Times New Roman"/>
          <w:b w:val="0"/>
          <w:i w:val="0"/>
          <w:sz w:val="24"/>
        </w:rPr>
        <w:t xml:space="preserve"> (temporary fluctuations during practice), warning that conditions optimizing performance often impair learning.</w:t>
      </w:r>
    </w:p>
    <w:p>
      <w:pPr>
        <w:spacing w:line="480" w:lineRule="auto" w:before="0" w:after="0"/>
        <w:ind w:firstLine="720"/>
        <w:jc w:val="left"/>
      </w:pPr>
      <w:r>
        <w:rPr>
          <w:rFonts w:ascii="Times New Roman" w:hAnsi="Times New Roman"/>
          <w:b w:val="0"/>
          <w:i w:val="0"/>
          <w:sz w:val="24"/>
        </w:rPr>
        <w:t>Empirical evidence supports this concern. Bastani et al. (2024) found that students with access to ChatGPT performed significantly worse on subsequent assessments without AI access, suggesting the tool facilitated performance without promoting genuine learning. Similarly, research by Abbas et al. (2024) revealed significant negative correlations between frequent AI tool usage and critical thinking abilities, mediated by increased cognitive offloading. These findings align with desirable difficulties theory: AI may be removing difficulties that are, in fact, desirable for long-term skill development.</w:t>
      </w:r>
    </w:p>
    <w:p>
      <w:pPr>
        <w:spacing w:line="480" w:lineRule="auto" w:before="0" w:after="0"/>
        <w:ind w:firstLine="720"/>
        <w:jc w:val="left"/>
      </w:pPr>
      <w:r>
        <w:rPr>
          <w:rFonts w:ascii="Times New Roman" w:hAnsi="Times New Roman"/>
          <w:b w:val="0"/>
          <w:i w:val="0"/>
          <w:sz w:val="24"/>
        </w:rPr>
        <w:t xml:space="preserve">However, this interpretation must be qualified. Not all difficulties are desirable—only those that trigger beneficial encoding and retrieval processes (Bjork &amp; Bjork, 2020). If GenAI reduces </w:t>
      </w:r>
      <w:r>
        <w:rPr>
          <w:rFonts w:ascii="Times New Roman" w:hAnsi="Times New Roman"/>
          <w:b w:val="0"/>
          <w:i/>
          <w:sz w:val="24"/>
        </w:rPr>
        <w:t>extraneous</w:t>
      </w:r>
      <w:r>
        <w:rPr>
          <w:rFonts w:ascii="Times New Roman" w:hAnsi="Times New Roman"/>
          <w:b w:val="0"/>
          <w:i w:val="0"/>
          <w:sz w:val="24"/>
        </w:rPr>
        <w:t xml:space="preserve"> load while preserving </w:t>
      </w:r>
      <w:r>
        <w:rPr>
          <w:rFonts w:ascii="Times New Roman" w:hAnsi="Times New Roman"/>
          <w:b w:val="0"/>
          <w:i/>
          <w:sz w:val="24"/>
        </w:rPr>
        <w:t>germane</w:t>
      </w:r>
      <w:r>
        <w:rPr>
          <w:rFonts w:ascii="Times New Roman" w:hAnsi="Times New Roman"/>
          <w:b w:val="0"/>
          <w:i w:val="0"/>
          <w:sz w:val="24"/>
        </w:rPr>
        <w:t xml:space="preserve"> cognitive engagement, it may enhance rather than impair learning. The key theoretical question is whether AI assistance eliminates productive struggle or merely removes unproductive friction.</w:t>
      </w:r>
    </w:p>
    <w:p>
      <w:pPr>
        <w:spacing w:line="480" w:lineRule="auto" w:before="0" w:after="0"/>
        <w:ind w:firstLine="720"/>
        <w:jc w:val="left"/>
      </w:pPr>
      <w:r>
        <w:rPr>
          <w:rFonts w:ascii="Times New Roman" w:hAnsi="Times New Roman"/>
          <w:b/>
          <w:i w:val="0"/>
          <w:sz w:val="24"/>
        </w:rPr>
        <w:t>AIMC Integration.</w:t>
      </w:r>
      <w:r>
        <w:rPr>
          <w:rFonts w:ascii="Times New Roman" w:hAnsi="Times New Roman"/>
          <w:b w:val="0"/>
          <w:i w:val="0"/>
          <w:sz w:val="24"/>
        </w:rPr>
        <w:t xml:space="preserve"> From the AIMC framework perspective, desirable difficulties are essential for developing accurate </w:t>
      </w:r>
      <w:r>
        <w:rPr>
          <w:rFonts w:ascii="Times New Roman" w:hAnsi="Times New Roman"/>
          <w:b/>
          <w:i w:val="0"/>
          <w:sz w:val="24"/>
        </w:rPr>
        <w:t>Metacognitive Experiences</w:t>
      </w:r>
      <w:r>
        <w:rPr>
          <w:rFonts w:ascii="Times New Roman" w:hAnsi="Times New Roman"/>
          <w:b w:val="0"/>
          <w:i w:val="0"/>
          <w:sz w:val="24"/>
        </w:rPr>
        <w:t>—particularly Feeling of Difficulty (FOD), Judgment of Learning (JOL), and Feeling of Knowing (FOK). When AI eliminates task difficulty, it simultaneously eliminates the FOD signals that trigger adaptive strategy shifts. Learners lose the opportunity to calibrate their JOL accuracy—believing they have learned material they cannot independently retrieve. The AIMC framework predicts that AI systems must preserve some productive difficulty to support progression from "Supported FOD/JOL" at L1 to "Transfer JOL/FOK Calibration" at L3.</w:t>
      </w:r>
    </w:p>
    <w:p>
      <w:pPr>
        <w:spacing w:line="480" w:lineRule="auto" w:before="0" w:after="0"/>
        <w:ind w:firstLine="0"/>
        <w:jc w:val="left"/>
      </w:pPr>
      <w:r>
        <w:rPr>
          <w:rFonts w:ascii="Times New Roman" w:hAnsi="Times New Roman"/>
          <w:b/>
          <w:i w:val="0"/>
          <w:sz w:val="24"/>
        </w:rPr>
        <w:t>Self-Regulated Learning Theory</w:t>
      </w:r>
    </w:p>
    <w:p>
      <w:pPr>
        <w:spacing w:line="480" w:lineRule="auto" w:before="0" w:after="0"/>
        <w:ind w:firstLine="720"/>
        <w:jc w:val="left"/>
      </w:pPr>
      <w:r>
        <w:rPr>
          <w:rFonts w:ascii="Times New Roman" w:hAnsi="Times New Roman"/>
          <w:b w:val="0"/>
          <w:i w:val="0"/>
          <w:sz w:val="24"/>
        </w:rPr>
        <w:t>Self-Regulated Learning (SRL) theory (Zimmerman, 2000; Pintrich, 2000) conceptualizes learning as a cyclical, self-directed process involving forethought (goal-setting, strategic planning), performance (self-control, metacognitive monitoring), and self-reflection phases (self-evaluation, adaptation). SRL assumes particular importance in higher education where students face greater learning autonomy (Broadbent &amp; Poon, 2015).</w:t>
      </w:r>
    </w:p>
    <w:p>
      <w:pPr>
        <w:spacing w:line="480" w:lineRule="auto" w:before="0" w:after="0"/>
        <w:ind w:firstLine="720"/>
        <w:jc w:val="left"/>
      </w:pPr>
      <w:r>
        <w:rPr>
          <w:rFonts w:ascii="Times New Roman" w:hAnsi="Times New Roman"/>
          <w:b w:val="0"/>
          <w:i w:val="0"/>
          <w:sz w:val="24"/>
        </w:rPr>
        <w:t xml:space="preserve">GenAI can support each SRL phase: assisting goal decomposition during forethought, providing real-time feedback during performance, and facilitating self-evaluation during reflection (Elsayary, 2024). However, meta-analytic evidence reveals a critical asymmetry: GenAI more strongly supports metacognitive monitoring (75% of effects) than strategy acquisition (25%; Han et al., 2025). This asymmetry suggests a </w:t>
      </w:r>
      <w:r>
        <w:rPr>
          <w:rFonts w:ascii="Times New Roman" w:hAnsi="Times New Roman"/>
          <w:b/>
          <w:i w:val="0"/>
          <w:sz w:val="24"/>
        </w:rPr>
        <w:t>cognitive dependency concern</w:t>
      </w:r>
      <w:r>
        <w:rPr>
          <w:rFonts w:ascii="Times New Roman" w:hAnsi="Times New Roman"/>
          <w:b w:val="0"/>
          <w:i w:val="0"/>
          <w:sz w:val="24"/>
        </w:rPr>
        <w:t xml:space="preserve">: students may develop skill in </w:t>
      </w:r>
      <w:r>
        <w:rPr>
          <w:rFonts w:ascii="Times New Roman" w:hAnsi="Times New Roman"/>
          <w:b w:val="0"/>
          <w:i/>
          <w:sz w:val="24"/>
        </w:rPr>
        <w:t>using GenAI for monitoring</w:t>
      </w:r>
      <w:r>
        <w:rPr>
          <w:rFonts w:ascii="Times New Roman" w:hAnsi="Times New Roman"/>
          <w:b w:val="0"/>
          <w:i w:val="0"/>
          <w:sz w:val="24"/>
        </w:rPr>
        <w:t xml:space="preserve"> while failing to develop </w:t>
      </w:r>
      <w:r>
        <w:rPr>
          <w:rFonts w:ascii="Times New Roman" w:hAnsi="Times New Roman"/>
          <w:b w:val="0"/>
          <w:i/>
          <w:sz w:val="24"/>
        </w:rPr>
        <w:t>independent monitoring capabilities</w:t>
      </w:r>
      <w:r>
        <w:rPr>
          <w:rFonts w:ascii="Times New Roman" w:hAnsi="Times New Roman"/>
          <w:b w:val="0"/>
          <w:i w:val="0"/>
          <w:sz w:val="24"/>
        </w:rPr>
        <w:t xml:space="preserve">. The distinction parallels Salomon's (1993) classic differentiation between effects </w:t>
      </w:r>
      <w:r>
        <w:rPr>
          <w:rFonts w:ascii="Times New Roman" w:hAnsi="Times New Roman"/>
          <w:b w:val="0"/>
          <w:i/>
          <w:sz w:val="24"/>
        </w:rPr>
        <w:t>with</w:t>
      </w:r>
      <w:r>
        <w:rPr>
          <w:rFonts w:ascii="Times New Roman" w:hAnsi="Times New Roman"/>
          <w:b w:val="0"/>
          <w:i w:val="0"/>
          <w:sz w:val="24"/>
        </w:rPr>
        <w:t xml:space="preserve"> technology (enhanced performance during use) versus effects </w:t>
      </w:r>
      <w:r>
        <w:rPr>
          <w:rFonts w:ascii="Times New Roman" w:hAnsi="Times New Roman"/>
          <w:b w:val="0"/>
          <w:i/>
          <w:sz w:val="24"/>
        </w:rPr>
        <w:t>of</w:t>
      </w:r>
      <w:r>
        <w:rPr>
          <w:rFonts w:ascii="Times New Roman" w:hAnsi="Times New Roman"/>
          <w:b w:val="0"/>
          <w:i w:val="0"/>
          <w:sz w:val="24"/>
        </w:rPr>
        <w:t xml:space="preserve"> technology (internalized capabilities that persist without the tool). If GenAI supports the monitoring process without supporting the </w:t>
      </w:r>
      <w:r>
        <w:rPr>
          <w:rFonts w:ascii="Times New Roman" w:hAnsi="Times New Roman"/>
          <w:b w:val="0"/>
          <w:i/>
          <w:sz w:val="24"/>
        </w:rPr>
        <w:t>internalization</w:t>
      </w:r>
      <w:r>
        <w:rPr>
          <w:rFonts w:ascii="Times New Roman" w:hAnsi="Times New Roman"/>
          <w:b w:val="0"/>
          <w:i w:val="0"/>
          <w:sz w:val="24"/>
        </w:rPr>
        <w:t xml:space="preserve"> of monitoring strategies, students may become dependent on AI scaffolding—competent when AI is available but unable to self-regulate when it is not.</w:t>
      </w:r>
    </w:p>
    <w:p>
      <w:pPr>
        <w:spacing w:line="480" w:lineRule="auto" w:before="0" w:after="0"/>
        <w:ind w:firstLine="720"/>
        <w:jc w:val="left"/>
      </w:pPr>
      <w:r>
        <w:rPr>
          <w:rFonts w:ascii="Times New Roman" w:hAnsi="Times New Roman"/>
          <w:b w:val="0"/>
          <w:i w:val="0"/>
          <w:sz w:val="24"/>
        </w:rPr>
        <w:t>This concern is amplified by research on learner autonomy in AI-supported environments. Xu and Wang (2025) found that explicit metacognitive support significantly enhanced self-regulated learning in GenAI environments, but only when such support was deliberately designed into the system. Without intentional scaffolding for metacognition, students demonstrated diminished self-regulatory behaviors. Furthermore, a meta-analysis by Li et al. (2025) revealed that AI interventions consistently enhance cognitive and metacognitive regulation (</w:t>
      </w:r>
      <w:r>
        <w:rPr>
          <w:rFonts w:ascii="Times New Roman" w:hAnsi="Times New Roman"/>
          <w:b w:val="0"/>
          <w:i/>
          <w:sz w:val="24"/>
        </w:rPr>
        <w:t>g</w:t>
      </w:r>
      <w:r>
        <w:rPr>
          <w:rFonts w:ascii="Times New Roman" w:hAnsi="Times New Roman"/>
          <w:b w:val="0"/>
          <w:i w:val="0"/>
          <w:sz w:val="24"/>
        </w:rPr>
        <w:t xml:space="preserve"> = 0.377) only when they include explicit prompts for reflection and self-monitoring. Systems lacking these features showed neutral or negative effects on autonomous learning capabilities.</w:t>
      </w:r>
    </w:p>
    <w:p>
      <w:pPr>
        <w:spacing w:line="480" w:lineRule="auto" w:before="0" w:after="0"/>
        <w:ind w:firstLine="720"/>
        <w:jc w:val="left"/>
      </w:pPr>
      <w:r>
        <w:rPr>
          <w:rFonts w:ascii="Times New Roman" w:hAnsi="Times New Roman"/>
          <w:b/>
          <w:i w:val="0"/>
          <w:sz w:val="24"/>
        </w:rPr>
        <w:t>Counterargument: AI as Metacognitive Enhancer.</w:t>
      </w:r>
      <w:r>
        <w:rPr>
          <w:rFonts w:ascii="Times New Roman" w:hAnsi="Times New Roman"/>
          <w:b w:val="0"/>
          <w:i w:val="0"/>
          <w:sz w:val="24"/>
        </w:rPr>
        <w:t xml:space="preserve"> It is essential to acknowledge opposing evidence. Xu et al. (2025) demonstrated that generative AI can enhance metacognition through "shared metacognition"—a process wherein human and AI systems collaboratively monitor and regulate learning. Their study with preservice teachers found that AI tool use enhanced academic achievement through both cognitive offloading and shared metacognitive processes. Similarly, research on "the cognitive mirror" framework (Rodriguez &amp; Kim, 2025) proposes that AI can serve as an external metacognitive support system that eventually promotes internalization when properly designed with fading mechanisms. These findings suggest that cognitive dependency is not an inevitable consequence of AI use but rather a design failure that can be addressed through intentional pedagogical architecture.</w:t>
      </w:r>
    </w:p>
    <w:p>
      <w:pPr>
        <w:spacing w:line="480" w:lineRule="auto" w:before="0" w:after="0"/>
        <w:ind w:firstLine="720"/>
        <w:jc w:val="left"/>
      </w:pPr>
      <w:r>
        <w:rPr>
          <w:rFonts w:ascii="Times New Roman" w:hAnsi="Times New Roman"/>
          <w:b/>
          <w:i w:val="0"/>
          <w:sz w:val="24"/>
        </w:rPr>
        <w:t>AIMC Integration.</w:t>
      </w:r>
      <w:r>
        <w:rPr>
          <w:rFonts w:ascii="Times New Roman" w:hAnsi="Times New Roman"/>
          <w:b w:val="0"/>
          <w:i w:val="0"/>
          <w:sz w:val="24"/>
        </w:rPr>
        <w:t xml:space="preserve"> The AIMC framework's </w:t>
      </w:r>
      <w:r>
        <w:rPr>
          <w:rFonts w:ascii="Times New Roman" w:hAnsi="Times New Roman"/>
          <w:b/>
          <w:i w:val="0"/>
          <w:sz w:val="24"/>
        </w:rPr>
        <w:t>Metacognitive Skills</w:t>
      </w:r>
      <w:r>
        <w:rPr>
          <w:rFonts w:ascii="Times New Roman" w:hAnsi="Times New Roman"/>
          <w:b w:val="0"/>
          <w:i w:val="0"/>
          <w:sz w:val="24"/>
        </w:rPr>
        <w:t xml:space="preserve"> dimension (How) illuminates the SRL concern. At L1 (Supported), learners experience "Guided Monitoring &amp; Control"—AI performs regulatory functions externally. The critical transition occurs at L2 (Meta-AI Awareness), where learners must develop "AI Selection &amp; Evaluation Skills"—the metacognitive capacity to judge when AI assistance supports versus undermines learning. Only through this reflective stage can learners progress to L3 (Autonomous), where "Autonomous Planning &amp; Monitoring" operates independently of AI. The SRL literature's distinction between effects </w:t>
      </w:r>
      <w:r>
        <w:rPr>
          <w:rFonts w:ascii="Times New Roman" w:hAnsi="Times New Roman"/>
          <w:b w:val="0"/>
          <w:i/>
          <w:sz w:val="24"/>
        </w:rPr>
        <w:t>with</w:t>
      </w:r>
      <w:r>
        <w:rPr>
          <w:rFonts w:ascii="Times New Roman" w:hAnsi="Times New Roman"/>
          <w:b w:val="0"/>
          <w:i w:val="0"/>
          <w:sz w:val="24"/>
        </w:rPr>
        <w:t xml:space="preserve"> versus effects </w:t>
      </w:r>
      <w:r>
        <w:rPr>
          <w:rFonts w:ascii="Times New Roman" w:hAnsi="Times New Roman"/>
          <w:b w:val="0"/>
          <w:i/>
          <w:sz w:val="24"/>
        </w:rPr>
        <w:t>of</w:t>
      </w:r>
      <w:r>
        <w:rPr>
          <w:rFonts w:ascii="Times New Roman" w:hAnsi="Times New Roman"/>
          <w:b w:val="0"/>
          <w:i w:val="0"/>
          <w:sz w:val="24"/>
        </w:rPr>
        <w:t xml:space="preserve"> technology (Salomon, 1993) maps directly onto the L1→L3 progression: L1 represents effects with AI, L3 represents effects of internalized capability.</w:t>
      </w:r>
    </w:p>
    <w:p>
      <w:pPr>
        <w:spacing w:line="480" w:lineRule="auto" w:before="0" w:after="0"/>
        <w:ind w:firstLine="0"/>
        <w:jc w:val="left"/>
      </w:pPr>
      <w:r>
        <w:rPr>
          <w:rFonts w:ascii="Times New Roman" w:hAnsi="Times New Roman"/>
          <w:b/>
          <w:i w:val="0"/>
          <w:sz w:val="24"/>
        </w:rPr>
        <w:t>Self-Determination Theory</w:t>
      </w:r>
    </w:p>
    <w:p>
      <w:pPr>
        <w:spacing w:line="480" w:lineRule="auto" w:before="0" w:after="0"/>
        <w:ind w:firstLine="720"/>
        <w:jc w:val="left"/>
      </w:pPr>
      <w:r>
        <w:rPr>
          <w:rFonts w:ascii="Times New Roman" w:hAnsi="Times New Roman"/>
          <w:b w:val="0"/>
          <w:i w:val="0"/>
          <w:sz w:val="24"/>
        </w:rPr>
        <w:t>Self-Determination Theory (SDT; Deci &amp; Ryan, 2000; Ryan &amp; Deci, 2020) proposes that motivation and well-being depend on satisfaction of three basic psychological needs: autonomy (experiencing volition), competence (feeling effective), and relatedness (experiencing connection). Educational research consistently shows more autonomous motivation predicts deeper learning and greater persistence (Niemiec &amp; Ryan, 2009).</w:t>
      </w:r>
    </w:p>
    <w:p>
      <w:pPr>
        <w:spacing w:line="480" w:lineRule="auto" w:before="0" w:after="0"/>
        <w:ind w:firstLine="720"/>
        <w:jc w:val="left"/>
      </w:pPr>
      <w:r>
        <w:rPr>
          <w:rFonts w:ascii="Times New Roman" w:hAnsi="Times New Roman"/>
          <w:b w:val="0"/>
          <w:i w:val="0"/>
          <w:sz w:val="24"/>
        </w:rPr>
        <w:t>GenAI tools potentially address all three needs. Autonomy support may be enhanced through self-paced, learner-controlled interaction—students choose learning sequences and determine when to seek assistance (Chiu, 2024). Competence support emerges through immediate, personalized feedback enabling mastery experiences (Yilmaz &amp; Yilmaz, 2023). Relatedness presents an interesting case: AI chatbots may partially satisfy relatedness needs through conversational interaction and non-judgmental responsiveness (Wu &amp; Yu, 2023), though this "pseudo-relatedness" may inadequately substitute for genuine human connection valuable in collaborative learning.</w:t>
      </w:r>
    </w:p>
    <w:p>
      <w:pPr>
        <w:spacing w:line="480" w:lineRule="auto" w:before="0" w:after="0"/>
        <w:ind w:firstLine="720"/>
        <w:jc w:val="left"/>
      </w:pPr>
      <w:r>
        <w:rPr>
          <w:rFonts w:ascii="Times New Roman" w:hAnsi="Times New Roman"/>
          <w:b w:val="0"/>
          <w:i w:val="0"/>
          <w:sz w:val="24"/>
        </w:rPr>
        <w:t xml:space="preserve">From an SDT perspective, cognitive dependency represents a threat to </w:t>
      </w:r>
      <w:r>
        <w:rPr>
          <w:rFonts w:ascii="Times New Roman" w:hAnsi="Times New Roman"/>
          <w:b w:val="0"/>
          <w:i/>
          <w:sz w:val="24"/>
        </w:rPr>
        <w:t>competence need satisfaction</w:t>
      </w:r>
      <w:r>
        <w:rPr>
          <w:rFonts w:ascii="Times New Roman" w:hAnsi="Times New Roman"/>
          <w:b w:val="0"/>
          <w:i w:val="0"/>
          <w:sz w:val="24"/>
        </w:rPr>
        <w:t>. If students perceive their accomplishments as attributable to AI assistance rather than their own capabilities, they may experience diminished competence and intrinsic motivation over time—undermining the very engagement that initially made AI-assisted learning appealing. A meta-analysis of 144 studies by Wang et al. (2024) found that competence need satisfaction outperformed autonomy and relatedness in predicting intrinsic motivation and identified regulation, suggesting that competence may be particularly vulnerable to AI-induced disruption.</w:t>
      </w:r>
    </w:p>
    <w:p>
      <w:pPr>
        <w:spacing w:line="480" w:lineRule="auto" w:before="0" w:after="0"/>
        <w:ind w:firstLine="720"/>
        <w:jc w:val="left"/>
      </w:pPr>
      <w:r>
        <w:rPr>
          <w:rFonts w:ascii="Times New Roman" w:hAnsi="Times New Roman"/>
          <w:b w:val="0"/>
          <w:i w:val="0"/>
          <w:sz w:val="24"/>
        </w:rPr>
        <w:t>Recent empirical evidence supports this concern. Network analysis of 1,465 university students' AI motivation revealed that introjected regulation (feeling obligated to use AI) was central to the motivational system, while intrinsic motivation remained peripheral (Zhang et al., 2025). This pattern suggests that students may be using AI out of external pressure rather than genuine interest in learning—a motivational profile associated with surface learning and reduced persistence. Furthermore, Wijaya et al. (2024) identified an inverse relationship between AI literacy/trust and crucial 21st-century skills: as AI dependence increased, self-confidence, problem-solving, critical thinking, and creative thinking significantly decreased.</w:t>
      </w:r>
    </w:p>
    <w:p>
      <w:pPr>
        <w:spacing w:line="480" w:lineRule="auto" w:before="0" w:after="0"/>
        <w:ind w:firstLine="720"/>
        <w:jc w:val="left"/>
      </w:pPr>
      <w:r>
        <w:rPr>
          <w:rFonts w:ascii="Times New Roman" w:hAnsi="Times New Roman"/>
          <w:b/>
          <w:i w:val="0"/>
          <w:sz w:val="24"/>
        </w:rPr>
        <w:t>AIMC Integration.</w:t>
      </w:r>
      <w:r>
        <w:rPr>
          <w:rFonts w:ascii="Times New Roman" w:hAnsi="Times New Roman"/>
          <w:b w:val="0"/>
          <w:i w:val="0"/>
          <w:sz w:val="24"/>
        </w:rPr>
        <w:t xml:space="preserve"> The AIMC framework's </w:t>
      </w:r>
      <w:r>
        <w:rPr>
          <w:rFonts w:ascii="Times New Roman" w:hAnsi="Times New Roman"/>
          <w:b/>
          <w:i w:val="0"/>
          <w:sz w:val="24"/>
        </w:rPr>
        <w:t>L2 Meta-AI Awareness</w:t>
      </w:r>
      <w:r>
        <w:rPr>
          <w:rFonts w:ascii="Times New Roman" w:hAnsi="Times New Roman"/>
          <w:b w:val="0"/>
          <w:i w:val="0"/>
          <w:sz w:val="24"/>
        </w:rPr>
        <w:t xml:space="preserve"> level is crucial for SDT's competence need satisfaction. At this level, learners develop "AI Capability &amp; Limitation Knowledge"—understanding what AI can and cannot do—and critically, "AI Calibration Accuracy"—the ability to judge when AI assistance is appropriate. This meta-level awareness allows learners to accurately attribute competence: understanding which accomplishments reflect their own capabilities versus AI contributions. Without progressing through L2, learners may either over-attribute success to AI (undermining competence) or under-attribute AI contributions (developing unrealistic self-efficacy that collapses in AI-absent contexts).</w:t>
      </w:r>
    </w:p>
    <w:p>
      <w:pPr>
        <w:spacing w:line="480" w:lineRule="auto" w:before="0" w:after="0"/>
        <w:ind w:firstLine="0"/>
        <w:jc w:val="left"/>
      </w:pPr>
      <w:r>
        <w:rPr>
          <w:rFonts w:ascii="Times New Roman" w:hAnsi="Times New Roman"/>
          <w:b/>
          <w:i w:val="0"/>
          <w:sz w:val="24"/>
        </w:rPr>
        <w:t>Sociocultural Learning Theory</w:t>
      </w:r>
    </w:p>
    <w:p>
      <w:pPr>
        <w:spacing w:line="480" w:lineRule="auto" w:before="0" w:after="0"/>
        <w:ind w:firstLine="720"/>
        <w:jc w:val="left"/>
      </w:pPr>
      <w:r>
        <w:rPr>
          <w:rFonts w:ascii="Times New Roman" w:hAnsi="Times New Roman"/>
          <w:b w:val="0"/>
          <w:i w:val="0"/>
          <w:sz w:val="24"/>
        </w:rPr>
        <w:t>Sociocultural theory (Vygotsky, 1978; Wertsch, 1991) emphasizes the social nature of cognitive development, arguing that higher mental functions develop through internalization of social interactions. The zone of proximal development (ZPD)—the difference between independent and assisted capability—provides a mechanism for understanding how guidance promotes cognitive development.</w:t>
      </w:r>
    </w:p>
    <w:p>
      <w:pPr>
        <w:spacing w:line="480" w:lineRule="auto" w:before="0" w:after="0"/>
        <w:ind w:firstLine="720"/>
        <w:jc w:val="left"/>
      </w:pPr>
      <w:r>
        <w:rPr>
          <w:rFonts w:ascii="Times New Roman" w:hAnsi="Times New Roman"/>
          <w:b w:val="0"/>
          <w:i w:val="0"/>
          <w:sz w:val="24"/>
        </w:rPr>
        <w:t xml:space="preserve">From this perspective, GenAI represents a new cultural tool mediating cognitive activity (Säljö, 1999). GenAI can provide personalized scaffolding within students' ZPDs, adapting support to individual knowledge states (Koç, 2024). However, sociocultural theory highlights a critical concern: </w:t>
      </w:r>
      <w:r>
        <w:rPr>
          <w:rFonts w:ascii="Times New Roman" w:hAnsi="Times New Roman"/>
          <w:b/>
          <w:i w:val="0"/>
          <w:sz w:val="24"/>
        </w:rPr>
        <w:t>scaffolding should lead to internalization</w:t>
      </w:r>
      <w:r>
        <w:rPr>
          <w:rFonts w:ascii="Times New Roman" w:hAnsi="Times New Roman"/>
          <w:b w:val="0"/>
          <w:i w:val="0"/>
          <w:sz w:val="24"/>
        </w:rPr>
        <w:t>. Effective scaffolding is gradually faded as learners develop independent capabilities (Wood et al., 1976); scaffolding that remains constant may support performance without promoting development. Reliance on AI scaffolding may short-circuit the internalization process—students may perform competently with assistance while failing to develop internalized capabilities that transfer to unassisted contexts.</w:t>
      </w:r>
    </w:p>
    <w:p>
      <w:pPr>
        <w:spacing w:line="480" w:lineRule="auto" w:before="0" w:after="0"/>
        <w:ind w:firstLine="720"/>
        <w:jc w:val="left"/>
      </w:pPr>
      <w:r>
        <w:rPr>
          <w:rFonts w:ascii="Times New Roman" w:hAnsi="Times New Roman"/>
          <w:b/>
          <w:i w:val="0"/>
          <w:sz w:val="24"/>
        </w:rPr>
        <w:t>The Zone of No Development.</w:t>
      </w:r>
      <w:r>
        <w:rPr>
          <w:rFonts w:ascii="Times New Roman" w:hAnsi="Times New Roman"/>
          <w:b w:val="0"/>
          <w:i w:val="0"/>
          <w:sz w:val="24"/>
        </w:rPr>
        <w:t xml:space="preserve"> Park and Lee (2025) introduce a provocative theoretical concept: the "Zone of No Development" (ZND)—a state in which continuous AI assistance replaces cognitive struggle entirely, preventing intellectual autonomy from emerging. Unlike the ZPD, which represents a productive space for growth, the ZND describes a condition where learners remain perpetually dependent on external support. The argument is that continuous AI assistance blurs the boundary between performance and autonomy, enabling students to complete tasks but preventing the development of independence required to extend, adapt, or creatively apply knowledge. This theoretical extension challenges the assumption that more scaffolding is always better, suggesting instead that scaffolding intensity and fading protocols critically determine whether regulation is internalized or merely substituted by the tool.</w:t>
      </w:r>
    </w:p>
    <w:p>
      <w:pPr>
        <w:spacing w:line="480" w:lineRule="auto" w:before="0" w:after="0"/>
        <w:ind w:firstLine="720"/>
        <w:jc w:val="left"/>
      </w:pPr>
      <w:r>
        <w:rPr>
          <w:rFonts w:ascii="Times New Roman" w:hAnsi="Times New Roman"/>
          <w:b w:val="0"/>
          <w:i w:val="0"/>
          <w:sz w:val="24"/>
        </w:rPr>
        <w:t xml:space="preserve">The concept of distributed cognition (Hutchins, 1995; Hollan et al., 2000; Salomon, 1993) raises fundamental questions about which capabilities should remain "in the head" versus appropriately distributed to AI tools. In healthcare education, researchers characterize AI as creating a "distributed cognitive system" where the technology side has accelerated exponentially while the human brain remains unchanged (Chen &amp; Topol, 2025). While some cognitive functions may reasonably be offloaded (e.g., factual recall, calculation), others—particularly metacognitive self-regulation—may be essential to retain as internalized human capabilities for effective lifelong learning. The normative question of what </w:t>
      </w:r>
      <w:r>
        <w:rPr>
          <w:rFonts w:ascii="Times New Roman" w:hAnsi="Times New Roman"/>
          <w:b w:val="0"/>
          <w:i/>
          <w:sz w:val="24"/>
        </w:rPr>
        <w:t>should</w:t>
      </w:r>
      <w:r>
        <w:rPr>
          <w:rFonts w:ascii="Times New Roman" w:hAnsi="Times New Roman"/>
          <w:b w:val="0"/>
          <w:i w:val="0"/>
          <w:sz w:val="24"/>
        </w:rPr>
        <w:t xml:space="preserve"> be distributed versus internalized remains undertheorized in educational AI research.</w:t>
      </w:r>
    </w:p>
    <w:p>
      <w:pPr>
        <w:spacing w:line="480" w:lineRule="auto" w:before="0" w:after="0"/>
        <w:ind w:firstLine="720"/>
        <w:jc w:val="left"/>
      </w:pPr>
      <w:r>
        <w:rPr>
          <w:rFonts w:ascii="Times New Roman" w:hAnsi="Times New Roman"/>
          <w:b/>
          <w:i w:val="0"/>
          <w:sz w:val="24"/>
        </w:rPr>
        <w:t>GenAI as the "More Knowledgeable Other."</w:t>
      </w:r>
      <w:r>
        <w:rPr>
          <w:rFonts w:ascii="Times New Roman" w:hAnsi="Times New Roman"/>
          <w:b w:val="0"/>
          <w:i w:val="0"/>
          <w:sz w:val="24"/>
        </w:rPr>
        <w:t xml:space="preserve"> Despite these concerns, sociocultural theory also provides grounds for optimism. Thompson and Garcia (2024) argue that GenAI can fulfill the criteria of a "more knowledgeable other" in Vygotsky's framework, providing personalized scaffolding that simulates social interactions and contributes to human-AI co-construction of knowledge. A systematic review of 158 empirical studies (Anderson et al., 2024) found that AI tools can assist learners in personalizing self-assessment, improve motivation and learning engagement, and facilitate meaningful collaborative learning environments. The key theoretical distinction is between AI as a </w:t>
      </w:r>
      <w:r>
        <w:rPr>
          <w:rFonts w:ascii="Times New Roman" w:hAnsi="Times New Roman"/>
          <w:b w:val="0"/>
          <w:i/>
          <w:sz w:val="24"/>
        </w:rPr>
        <w:t>substitute</w:t>
      </w:r>
      <w:r>
        <w:rPr>
          <w:rFonts w:ascii="Times New Roman" w:hAnsi="Times New Roman"/>
          <w:b w:val="0"/>
          <w:i w:val="0"/>
          <w:sz w:val="24"/>
        </w:rPr>
        <w:t xml:space="preserve"> for cognitive development versus AI as a </w:t>
      </w:r>
      <w:r>
        <w:rPr>
          <w:rFonts w:ascii="Times New Roman" w:hAnsi="Times New Roman"/>
          <w:b w:val="0"/>
          <w:i/>
          <w:sz w:val="24"/>
        </w:rPr>
        <w:t>catalyst</w:t>
      </w:r>
      <w:r>
        <w:rPr>
          <w:rFonts w:ascii="Times New Roman" w:hAnsi="Times New Roman"/>
          <w:b w:val="0"/>
          <w:i w:val="0"/>
          <w:sz w:val="24"/>
        </w:rPr>
        <w:t xml:space="preserve"> for it.</w:t>
      </w:r>
    </w:p>
    <w:p>
      <w:pPr>
        <w:spacing w:line="480" w:lineRule="auto" w:before="0" w:after="0"/>
        <w:ind w:firstLine="720"/>
        <w:jc w:val="left"/>
      </w:pPr>
      <w:r>
        <w:rPr>
          <w:rFonts w:ascii="Times New Roman" w:hAnsi="Times New Roman"/>
          <w:b/>
          <w:i w:val="0"/>
          <w:sz w:val="24"/>
        </w:rPr>
        <w:t>AIMC Integration.</w:t>
      </w:r>
      <w:r>
        <w:rPr>
          <w:rFonts w:ascii="Times New Roman" w:hAnsi="Times New Roman"/>
          <w:b w:val="0"/>
          <w:i w:val="0"/>
          <w:sz w:val="24"/>
        </w:rPr>
        <w:t xml:space="preserve"> The AIMC framework's foundation in </w:t>
      </w:r>
      <w:r>
        <w:rPr>
          <w:rFonts w:ascii="Times New Roman" w:hAnsi="Times New Roman"/>
          <w:b/>
          <w:i w:val="0"/>
          <w:sz w:val="24"/>
        </w:rPr>
        <w:t>Distributed Metacognition</w:t>
      </w:r>
      <w:r>
        <w:rPr>
          <w:rFonts w:ascii="Times New Roman" w:hAnsi="Times New Roman"/>
          <w:b w:val="0"/>
          <w:i w:val="0"/>
          <w:sz w:val="24"/>
        </w:rPr>
        <w:t xml:space="preserve"> (Clark &amp; Chalmers, 1998) directly addresses sociocultural concerns about internalization. The "Human-AI System Boundary" depicted in the framework represents the critical question: which cognitive and metacognitive functions should cross this boundary into AI distribution, and which must remain internalized for autonomous functioning? The L1→L2→L3 progression represents the sociocultural internalization trajectory: L1 (Supported) represents intermental functioning with AI as the more knowledgeable other; L2 (Meta-AI Awareness) represents the reflective transition where learners understand AI's role; L3 (Autonomous) represents intramental functioning where capabilities operate independently. The "Zone of No Development" concern arises when learners remain permanently at L1 without scaffolding being faded to promote L2 reflection and L3 internalization.</w:t>
      </w:r>
    </w:p>
    <w:p>
      <w:pPr>
        <w:spacing w:line="480" w:lineRule="auto" w:before="0" w:after="0"/>
        <w:ind w:firstLine="0"/>
        <w:jc w:val="left"/>
      </w:pPr>
      <w:r>
        <w:rPr>
          <w:rFonts w:ascii="Times New Roman" w:hAnsi="Times New Roman"/>
          <w:b/>
          <w:i w:val="0"/>
          <w:sz w:val="24"/>
        </w:rPr>
        <w:t>Automation Bias and Cognitive Offloading</w:t>
      </w:r>
    </w:p>
    <w:p>
      <w:pPr>
        <w:spacing w:line="480" w:lineRule="auto" w:before="0" w:after="0"/>
        <w:ind w:firstLine="720"/>
        <w:jc w:val="left"/>
      </w:pPr>
      <w:r>
        <w:rPr>
          <w:rFonts w:ascii="Times New Roman" w:hAnsi="Times New Roman"/>
          <w:b w:val="0"/>
          <w:i w:val="0"/>
          <w:sz w:val="24"/>
        </w:rPr>
        <w:t>Research on automation bias—the tendency to over-rely on automated recommendations—provides an additional theoretical lens for understanding cognitive dependency (Parasuraman &amp; Riley, 1997; Goddard et al., 2012). Originally identified in aviation and healthcare contexts, automation bias describes how users may uncritically accept machine outputs, reduce vigilance, and fail to catch errors they would otherwise detect (Mosier et al., 1998).</w:t>
      </w:r>
    </w:p>
    <w:p>
      <w:pPr>
        <w:spacing w:line="480" w:lineRule="auto" w:before="0" w:after="0"/>
        <w:ind w:firstLine="720"/>
        <w:jc w:val="left"/>
      </w:pPr>
      <w:r>
        <w:rPr>
          <w:rFonts w:ascii="Times New Roman" w:hAnsi="Times New Roman"/>
          <w:b w:val="0"/>
          <w:i w:val="0"/>
          <w:sz w:val="24"/>
        </w:rPr>
        <w:t>In educational contexts, automation bias manifests as students accepting AI-generated content without critical evaluation, reducing their engagement in independent verification and reflection (Sims &amp; Thompson, 2024). The psychological mechanism involves what Skitka et al. (2000) term "automation-induced complacency"—a reduction in cognitive effort when automation is perceived as reliable. Students who perceive AI as authoritative may disengage their critical faculties, creating a self-reinforcing cycle of dependence.</w:t>
      </w:r>
    </w:p>
    <w:p>
      <w:pPr>
        <w:spacing w:line="480" w:lineRule="auto" w:before="0" w:after="0"/>
        <w:ind w:firstLine="720"/>
        <w:jc w:val="left"/>
      </w:pPr>
      <w:r>
        <w:rPr>
          <w:rFonts w:ascii="Times New Roman" w:hAnsi="Times New Roman"/>
          <w:b w:val="0"/>
          <w:i w:val="0"/>
          <w:sz w:val="24"/>
        </w:rPr>
        <w:t xml:space="preserve">Recent research extends automation bias theory to educational AI specifically. Lee and Park (2025) distinguish between two types of AI dependence: </w:t>
      </w:r>
      <w:r>
        <w:rPr>
          <w:rFonts w:ascii="Times New Roman" w:hAnsi="Times New Roman"/>
          <w:b/>
          <w:i w:val="0"/>
          <w:sz w:val="24"/>
        </w:rPr>
        <w:t>tool dependence</w:t>
      </w:r>
      <w:r>
        <w:rPr>
          <w:rFonts w:ascii="Times New Roman" w:hAnsi="Times New Roman"/>
          <w:b w:val="0"/>
          <w:i w:val="0"/>
          <w:sz w:val="24"/>
        </w:rPr>
        <w:t xml:space="preserve"> (relying on AI for functional assistance like retrieval and generation) and </w:t>
      </w:r>
      <w:r>
        <w:rPr>
          <w:rFonts w:ascii="Times New Roman" w:hAnsi="Times New Roman"/>
          <w:b/>
          <w:i w:val="0"/>
          <w:sz w:val="24"/>
        </w:rPr>
        <w:t>cognitive dependence</w:t>
      </w:r>
      <w:r>
        <w:rPr>
          <w:rFonts w:ascii="Times New Roman" w:hAnsi="Times New Roman"/>
          <w:b w:val="0"/>
          <w:i w:val="0"/>
          <w:sz w:val="24"/>
        </w:rPr>
        <w:t xml:space="preserve"> (relying on AI to replace independent thinking in high-level cognitive activities). While tool dependence may be benign or even beneficial—analogous to using a calculator for arithmetic—cognitive dependence represents a more fundamental threat to autonomous learning capacity.</w:t>
      </w:r>
    </w:p>
    <w:p>
      <w:pPr>
        <w:spacing w:line="480" w:lineRule="auto" w:before="0" w:after="0"/>
        <w:ind w:firstLine="720"/>
        <w:jc w:val="left"/>
      </w:pPr>
      <w:r>
        <w:rPr>
          <w:rFonts w:ascii="Times New Roman" w:hAnsi="Times New Roman"/>
          <w:b w:val="0"/>
          <w:i w:val="0"/>
          <w:sz w:val="24"/>
        </w:rPr>
        <w:t>Evidence for automation bias in educational AI is accumulating. Studies with university students found that greater AI dependence was associated with lower levels of critical thinking, with cognitive fatigue partially mediating this relationship (Li et al., 2025). Laboratory experiments examining neural and behavioral consequences of LLM-assisted writing found that cognitive activity decreased when participants relied on AI tools, and over a four-month period, LLM users consistently underperformed across neural, linguistic, and behavioral measures (Kim et al., 2025).</w:t>
      </w:r>
    </w:p>
    <w:p>
      <w:pPr>
        <w:spacing w:line="480" w:lineRule="auto" w:before="0" w:after="0"/>
        <w:ind w:firstLine="720"/>
        <w:jc w:val="left"/>
      </w:pPr>
      <w:r>
        <w:rPr>
          <w:rFonts w:ascii="Times New Roman" w:hAnsi="Times New Roman"/>
          <w:b/>
          <w:i w:val="0"/>
          <w:sz w:val="24"/>
        </w:rPr>
        <w:t>Mitigating Automation Bias.</w:t>
      </w:r>
      <w:r>
        <w:rPr>
          <w:rFonts w:ascii="Times New Roman" w:hAnsi="Times New Roman"/>
          <w:b w:val="0"/>
          <w:i w:val="0"/>
          <w:sz w:val="24"/>
        </w:rPr>
        <w:t xml:space="preserve"> Importantly, research also identifies protective factors. Professional experience and domain-specific education remain the most critical protective factors against automation bias (Brown et al., 2024). AI literacy training has shown promise in helping students critically evaluate AI outputs (Long &amp; Magerko, 2020; UNESCO, 2024). The DeBiasMe framework (Martinez &amp; Chen, 2025) provides metacognitive AIED interventions that prompt students to evaluate whether AI assistance is necessary for a given task, encouraging a more reflective approach to AI use. These findings suggest that automation bias is not inevitable but can be mitigated through intentional educational design.</w:t>
      </w:r>
    </w:p>
    <w:p>
      <w:pPr>
        <w:spacing w:line="480" w:lineRule="auto" w:before="0" w:after="0"/>
        <w:ind w:firstLine="720"/>
        <w:jc w:val="left"/>
      </w:pPr>
      <w:r>
        <w:rPr>
          <w:rFonts w:ascii="Times New Roman" w:hAnsi="Times New Roman"/>
          <w:b/>
          <w:i w:val="0"/>
          <w:sz w:val="24"/>
        </w:rPr>
        <w:t>AIMC Integration.</w:t>
      </w:r>
      <w:r>
        <w:rPr>
          <w:rFonts w:ascii="Times New Roman" w:hAnsi="Times New Roman"/>
          <w:b w:val="0"/>
          <w:i w:val="0"/>
          <w:sz w:val="24"/>
        </w:rPr>
        <w:t xml:space="preserve"> Automation bias represents a failure at the </w:t>
      </w:r>
      <w:r>
        <w:rPr>
          <w:rFonts w:ascii="Times New Roman" w:hAnsi="Times New Roman"/>
          <w:b/>
          <w:i w:val="0"/>
          <w:sz w:val="24"/>
        </w:rPr>
        <w:t>L2 Meta-AI Awareness</w:t>
      </w:r>
      <w:r>
        <w:rPr>
          <w:rFonts w:ascii="Times New Roman" w:hAnsi="Times New Roman"/>
          <w:b w:val="0"/>
          <w:i w:val="0"/>
          <w:sz w:val="24"/>
        </w:rPr>
        <w:t xml:space="preserve"> level, specifically in the novel construct of </w:t>
      </w:r>
      <w:r>
        <w:rPr>
          <w:rFonts w:ascii="Times New Roman" w:hAnsi="Times New Roman"/>
          <w:b/>
          <w:i w:val="0"/>
          <w:sz w:val="24"/>
        </w:rPr>
        <w:t>AI Calibration Accuracy</w:t>
      </w:r>
      <w:r>
        <w:rPr>
          <w:rFonts w:ascii="Times New Roman" w:hAnsi="Times New Roman"/>
          <w:b w:val="0"/>
          <w:i w:val="0"/>
          <w:sz w:val="24"/>
        </w:rPr>
        <w:t>. Learners with poor AI Calibration Accuracy over-rely on AI outputs without developing "AI Selection &amp; Evaluation Skills." The AIMC framework suggests that automation bias mitigation requires explicit cultivation of L2 competencies: understanding AI capabilities and limitations, developing accurate judgments about when AI assistance is appropriate, and maintaining the metacognitive vigilance necessary for critical evaluation. Without deliberate attention to L2 development, learners may show strong L1 (Supported) performance while lacking the metacognitive awareness necessary for appropriate AI use—manifesting as automation bias when AI suggestions are followed uncritically.</w:t>
      </w:r>
    </w:p>
    <w:p>
      <w:pPr>
        <w:spacing w:line="480" w:lineRule="auto" w:before="0" w:after="0"/>
        <w:ind w:firstLine="0"/>
        <w:jc w:val="left"/>
      </w:pPr>
      <w:r>
        <w:rPr>
          <w:rFonts w:ascii="Times New Roman" w:hAnsi="Times New Roman"/>
          <w:b/>
          <w:i w:val="0"/>
          <w:sz w:val="24"/>
        </w:rPr>
        <w:t>The Cognitive Dependency Hypothesis: An AIMC-Informed Integration</w:t>
      </w:r>
    </w:p>
    <w:p>
      <w:pPr>
        <w:spacing w:line="480" w:lineRule="auto" w:before="0" w:after="0"/>
        <w:ind w:firstLine="720"/>
        <w:jc w:val="left"/>
      </w:pPr>
      <w:r>
        <w:rPr>
          <w:rFonts w:ascii="Times New Roman" w:hAnsi="Times New Roman"/>
          <w:b w:val="0"/>
          <w:i w:val="0"/>
          <w:sz w:val="24"/>
        </w:rPr>
        <w:t xml:space="preserve">Synthesizing across these theoretical perspectives through the unifying lens of AI-Integrated Metacognition (AIMC), we propose the </w:t>
      </w:r>
      <w:r>
        <w:rPr>
          <w:rFonts w:ascii="Times New Roman" w:hAnsi="Times New Roman"/>
          <w:b/>
          <w:i w:val="0"/>
          <w:sz w:val="24"/>
        </w:rPr>
        <w:t>cognitive dependency hypothesis</w:t>
      </w:r>
      <w:r>
        <w:rPr>
          <w:rFonts w:ascii="Times New Roman" w:hAnsi="Times New Roman"/>
          <w:b w:val="0"/>
          <w:i w:val="0"/>
          <w:sz w:val="24"/>
        </w:rPr>
        <w:t xml:space="preserve">: GenAI interventions will produce significant positive effects on immediate learning outcomes (cognitive, affective, behavioral) but attenuated effects on metacognitive outcomes, reflecting the risk that AI scaffolding supports </w:t>
      </w:r>
      <w:r>
        <w:rPr>
          <w:rFonts w:ascii="Times New Roman" w:hAnsi="Times New Roman"/>
          <w:b/>
          <w:i w:val="0"/>
          <w:sz w:val="24"/>
        </w:rPr>
        <w:t>L1 (Supported)</w:t>
      </w:r>
      <w:r>
        <w:rPr>
          <w:rFonts w:ascii="Times New Roman" w:hAnsi="Times New Roman"/>
          <w:b w:val="0"/>
          <w:i w:val="0"/>
          <w:sz w:val="24"/>
        </w:rPr>
        <w:t xml:space="preserve"> performance without promoting progression through </w:t>
      </w:r>
      <w:r>
        <w:rPr>
          <w:rFonts w:ascii="Times New Roman" w:hAnsi="Times New Roman"/>
          <w:b/>
          <w:i w:val="0"/>
          <w:sz w:val="24"/>
        </w:rPr>
        <w:t>L2 (Meta-AI Awareness)</w:t>
      </w:r>
      <w:r>
        <w:rPr>
          <w:rFonts w:ascii="Times New Roman" w:hAnsi="Times New Roman"/>
          <w:b w:val="0"/>
          <w:i w:val="0"/>
          <w:sz w:val="24"/>
        </w:rPr>
        <w:t xml:space="preserve"> to </w:t>
      </w:r>
      <w:r>
        <w:rPr>
          <w:rFonts w:ascii="Times New Roman" w:hAnsi="Times New Roman"/>
          <w:b/>
          <w:i w:val="0"/>
          <w:sz w:val="24"/>
        </w:rPr>
        <w:t>L3 (Autonomous)</w:t>
      </w:r>
      <w:r>
        <w:rPr>
          <w:rFonts w:ascii="Times New Roman" w:hAnsi="Times New Roman"/>
          <w:b w:val="0"/>
          <w:i w:val="0"/>
          <w:sz w:val="24"/>
        </w:rPr>
        <w:t xml:space="preserve"> internalization of self-regulatory capabilities.</w:t>
      </w:r>
    </w:p>
    <w:p>
      <w:pPr>
        <w:spacing w:line="480" w:lineRule="auto" w:before="0" w:after="0"/>
        <w:ind w:firstLine="720"/>
        <w:jc w:val="left"/>
      </w:pPr>
      <w:r>
        <w:rPr>
          <w:rFonts w:ascii="Times New Roman" w:hAnsi="Times New Roman"/>
          <w:b w:val="0"/>
          <w:i w:val="0"/>
          <w:sz w:val="24"/>
        </w:rPr>
        <w:t xml:space="preserve">This hypothesis is grounded in the convergent predictions of multiple theoretical traditions, each of which maps onto specific AIMC framework components. Cognitive Load Theory predicts that excessive load reduction may keep learners at L1 with "Guided Monitoring &amp; Control" without developing L3 "Autonomous Planning &amp; Monitoring" (Sweller, 2011; Chen et al., 2025). Desirable Difficulties Theory warns that eliminating productive struggle undermines the Metacognitive Experiences (FOD, JOL, FOK) necessary for calibration development—learners never progress from "Supported FOD/JOL" to "Transfer JOL/FOK Calibration" (Bjork &amp; Bjork, 2011; Soderstrom &amp; Bjork, 2015). Self-Regulated Learning Theory distinguishes effects </w:t>
      </w:r>
      <w:r>
        <w:rPr>
          <w:rFonts w:ascii="Times New Roman" w:hAnsi="Times New Roman"/>
          <w:b w:val="0"/>
          <w:i/>
          <w:sz w:val="24"/>
        </w:rPr>
        <w:t>with</w:t>
      </w:r>
      <w:r>
        <w:rPr>
          <w:rFonts w:ascii="Times New Roman" w:hAnsi="Times New Roman"/>
          <w:b w:val="0"/>
          <w:i w:val="0"/>
          <w:sz w:val="24"/>
        </w:rPr>
        <w:t xml:space="preserve"> technology from effects </w:t>
      </w:r>
      <w:r>
        <w:rPr>
          <w:rFonts w:ascii="Times New Roman" w:hAnsi="Times New Roman"/>
          <w:b w:val="0"/>
          <w:i/>
          <w:sz w:val="24"/>
        </w:rPr>
        <w:t>of</w:t>
      </w:r>
      <w:r>
        <w:rPr>
          <w:rFonts w:ascii="Times New Roman" w:hAnsi="Times New Roman"/>
          <w:b w:val="0"/>
          <w:i w:val="0"/>
          <w:sz w:val="24"/>
        </w:rPr>
        <w:t xml:space="preserve"> technology (Salomon, 1993), directly mapping onto the L1 (supported performance) versus L3 (autonomous capability) distinction. Self-Determination Theory suggests that without developing L2 "AI Capability &amp; Limitation Knowledge" and "AI Calibration Accuracy," learners cannot accurately attribute competence, undermining motivation (Wang et al., 2024). Sociocultural Theory warns that scaffolding without fading creates the "Zone of No Development"—permanent residence at L1 without internalization to L3 (Park &amp; Lee, 2025). Automation Bias research predicts failures in "AI Selection &amp; Evaluation Skills" when L2 Meta-AI Awareness is underdeveloped (Parasuraman &amp; Riley, 1997; Lee &amp; Park, 2025).</w:t>
      </w:r>
    </w:p>
    <w:p>
      <w:pPr>
        <w:spacing w:line="480" w:lineRule="auto" w:before="0" w:after="0"/>
        <w:ind w:firstLine="720"/>
        <w:jc w:val="left"/>
      </w:pPr>
      <w:r>
        <w:rPr>
          <w:rFonts w:ascii="Times New Roman" w:hAnsi="Times New Roman"/>
          <w:b/>
          <w:i w:val="0"/>
          <w:sz w:val="24"/>
        </w:rPr>
        <w:t>The AIMC Framing.</w:t>
      </w:r>
      <w:r>
        <w:rPr>
          <w:rFonts w:ascii="Times New Roman" w:hAnsi="Times New Roman"/>
          <w:b w:val="0"/>
          <w:i w:val="0"/>
          <w:sz w:val="24"/>
        </w:rPr>
        <w:t xml:space="preserve"> The AI-Integrated Metacognition framework, grounded in Nelson and Narens' (1990) metacognitive model, Efklides' (2008) three-facet framework, and Clark and Chalmers' (1998) distributed cognition thesis, provides a critical insight: GenAI creates a distributed metacognitive system where cognitive and regulatory functions cross the human-AI boundary. The cognitive dependency hypothesis, viewed through the AIMC lens, predicts that GenAI systems will produce:</w:t>
      </w:r>
    </w:p>
    <w:p>
      <w:pPr>
        <w:spacing w:line="480" w:lineRule="auto" w:before="0" w:after="0"/>
        <w:ind w:left="720" w:hanging="360"/>
        <w:jc w:val="left"/>
      </w:pPr>
      <w:r>
        <w:rPr>
          <w:rFonts w:ascii="Times New Roman" w:hAnsi="Times New Roman"/>
          <w:b w:val="0"/>
          <w:i w:val="0"/>
          <w:sz w:val="24"/>
        </w:rPr>
        <w:t xml:space="preserve">• Strong effects on </w:t>
      </w:r>
      <w:r>
        <w:rPr>
          <w:rFonts w:ascii="Times New Roman" w:hAnsi="Times New Roman"/>
          <w:b/>
          <w:i w:val="0"/>
          <w:sz w:val="24"/>
        </w:rPr>
        <w:t>L1 (Supported)</w:t>
      </w:r>
      <w:r>
        <w:rPr>
          <w:rFonts w:ascii="Times New Roman" w:hAnsi="Times New Roman"/>
          <w:b w:val="0"/>
          <w:i w:val="0"/>
          <w:sz w:val="24"/>
        </w:rPr>
        <w:t xml:space="preserve"> outcomes: "Expanded Object-Level Knowledge," "Supported FOD/JOL," "Guided Monitoring &amp; Control"</w:t>
      </w:r>
    </w:p>
    <w:p>
      <w:pPr>
        <w:spacing w:line="480" w:lineRule="auto" w:before="0" w:after="0"/>
        <w:ind w:left="720" w:hanging="360"/>
        <w:jc w:val="left"/>
      </w:pPr>
      <w:r>
        <w:rPr>
          <w:rFonts w:ascii="Times New Roman" w:hAnsi="Times New Roman"/>
          <w:b w:val="0"/>
          <w:i w:val="0"/>
          <w:sz w:val="24"/>
        </w:rPr>
        <w:t xml:space="preserve">• Weak or null effects on </w:t>
      </w:r>
      <w:r>
        <w:rPr>
          <w:rFonts w:ascii="Times New Roman" w:hAnsi="Times New Roman"/>
          <w:b/>
          <w:i w:val="0"/>
          <w:sz w:val="24"/>
        </w:rPr>
        <w:t>L3 (Autonomous)</w:t>
      </w:r>
      <w:r>
        <w:rPr>
          <w:rFonts w:ascii="Times New Roman" w:hAnsi="Times New Roman"/>
          <w:b w:val="0"/>
          <w:i w:val="0"/>
          <w:sz w:val="24"/>
        </w:rPr>
        <w:t xml:space="preserve"> outcomes: "Task &amp; Strategy Knowledge," "Transfer JOL/FOK Calibration," "Autonomous Planning &amp; Monitoring"</w:t>
      </w:r>
    </w:p>
    <w:p>
      <w:pPr>
        <w:spacing w:line="480" w:lineRule="auto" w:before="0" w:after="0"/>
        <w:ind w:firstLine="720"/>
        <w:jc w:val="left"/>
      </w:pPr>
      <w:r>
        <w:rPr>
          <w:rFonts w:ascii="Times New Roman" w:hAnsi="Times New Roman"/>
          <w:b w:val="0"/>
          <w:i w:val="0"/>
          <w:sz w:val="24"/>
        </w:rPr>
        <w:t>The attenuated metacognitive effects predicted by this hypothesis reflect specifically the failure to develop L3 capabilities that transfer to AI-absent contexts.</w:t>
      </w:r>
    </w:p>
    <w:p>
      <w:pPr>
        <w:spacing w:line="480" w:lineRule="auto" w:before="0" w:after="0"/>
        <w:ind w:firstLine="720"/>
        <w:jc w:val="left"/>
      </w:pPr>
      <w:r>
        <w:rPr>
          <w:rFonts w:ascii="Times New Roman" w:hAnsi="Times New Roman"/>
          <w:b w:val="0"/>
          <w:i w:val="0"/>
          <w:sz w:val="24"/>
        </w:rPr>
        <w:t>The convergence of these theoretical predictions, unified through the AIMC framework, strengthens confidence in the cognitive dependency hypothesis while also suggesting boundary conditions. The hypothesis is most likely to hold when: (a) learners remain at L1 without deliberate scaffolding fading; (b) L2 Meta-AI Awareness is not explicitly cultivated; (c) AI Calibration Accuracy is not assessed or developed; (d) JOL/FOK accuracy is never tested in AI-absent conditions; and (e) assessments measure only L1 (supported) rather than L3 (autonomous) capabilities.</w:t>
      </w:r>
    </w:p>
    <w:p>
      <w:pPr>
        <w:spacing w:line="480" w:lineRule="auto" w:before="0" w:after="0"/>
        <w:ind w:firstLine="720"/>
        <w:jc w:val="left"/>
      </w:pPr>
      <w:r>
        <w:rPr>
          <w:rFonts w:ascii="Times New Roman" w:hAnsi="Times New Roman"/>
          <w:b w:val="0"/>
          <w:i w:val="0"/>
          <w:sz w:val="24"/>
        </w:rPr>
        <w:t>This hypothesis generates specific empirical predictions:</w:t>
      </w:r>
    </w:p>
    <w:p>
      <w:pPr>
        <w:spacing w:line="480" w:lineRule="auto" w:before="0" w:after="0"/>
        <w:ind w:left="720" w:hanging="360"/>
        <w:jc w:val="left"/>
      </w:pPr>
      <w:r>
        <w:rPr>
          <w:rFonts w:ascii="Times New Roman" w:hAnsi="Times New Roman"/>
          <w:b/>
          <w:i w:val="0"/>
          <w:sz w:val="24"/>
        </w:rPr>
        <w:t>• H1</w:t>
      </w:r>
      <w:r>
        <w:rPr>
          <w:rFonts w:ascii="Times New Roman" w:hAnsi="Times New Roman"/>
          <w:b w:val="0"/>
          <w:i w:val="0"/>
          <w:sz w:val="24"/>
        </w:rPr>
        <w:t>: GenAI interventions will produce a positive overall effect on learning outcomes in higher education (</w:t>
      </w:r>
      <w:r>
        <w:rPr>
          <w:rFonts w:ascii="Times New Roman" w:hAnsi="Times New Roman"/>
          <w:b w:val="0"/>
          <w:i/>
          <w:sz w:val="24"/>
        </w:rPr>
        <w:t>g</w:t>
      </w:r>
      <w:r>
        <w:rPr>
          <w:rFonts w:ascii="Times New Roman" w:hAnsi="Times New Roman"/>
          <w:b w:val="0"/>
          <w:i w:val="0"/>
          <w:sz w:val="24"/>
        </w:rPr>
        <w:t xml:space="preserve"> &gt; 0).</w:t>
      </w:r>
    </w:p>
    <w:p>
      <w:pPr>
        <w:spacing w:line="480" w:lineRule="auto" w:before="0" w:after="0"/>
        <w:ind w:left="720" w:hanging="360"/>
        <w:jc w:val="left"/>
      </w:pPr>
      <w:r>
        <w:rPr>
          <w:rFonts w:ascii="Times New Roman" w:hAnsi="Times New Roman"/>
          <w:b/>
          <w:i w:val="0"/>
          <w:sz w:val="24"/>
        </w:rPr>
        <w:t>• H2</w:t>
      </w:r>
      <w:r>
        <w:rPr>
          <w:rFonts w:ascii="Times New Roman" w:hAnsi="Times New Roman"/>
          <w:b w:val="0"/>
          <w:i w:val="0"/>
          <w:sz w:val="24"/>
        </w:rPr>
        <w:t>: Effects will vary across outcome dimensions, with behavioral and affective outcomes showing larger effects than cognitive outcomes due to immediate feedback and autonomy support mechanisms.</w:t>
      </w:r>
    </w:p>
    <w:p>
      <w:pPr>
        <w:spacing w:line="480" w:lineRule="auto" w:before="0" w:after="0"/>
        <w:ind w:left="720" w:hanging="360"/>
        <w:jc w:val="left"/>
      </w:pPr>
      <w:r>
        <w:rPr>
          <w:rFonts w:ascii="Times New Roman" w:hAnsi="Times New Roman"/>
          <w:b/>
          <w:i w:val="0"/>
          <w:sz w:val="24"/>
        </w:rPr>
        <w:t>• H3 (Primary)</w:t>
      </w:r>
      <w:r>
        <w:rPr>
          <w:rFonts w:ascii="Times New Roman" w:hAnsi="Times New Roman"/>
          <w:b w:val="0"/>
          <w:i w:val="0"/>
          <w:sz w:val="24"/>
        </w:rPr>
        <w:t>: Metacognitive outcomes will show smaller effects than other dimensions, reflecting the cognitive dependency concern that GenAI supports monitoring without developing independent self-regulation capabilities.</w:t>
      </w:r>
    </w:p>
    <w:p>
      <w:pPr>
        <w:spacing w:line="480" w:lineRule="auto" w:before="0" w:after="0"/>
        <w:ind w:left="720" w:hanging="360"/>
        <w:jc w:val="left"/>
      </w:pPr>
      <w:r>
        <w:rPr>
          <w:rFonts w:ascii="Times New Roman" w:hAnsi="Times New Roman"/>
          <w:b/>
          <w:i w:val="0"/>
          <w:sz w:val="24"/>
        </w:rPr>
        <w:t>• H4</w:t>
      </w:r>
      <w:r>
        <w:rPr>
          <w:rFonts w:ascii="Times New Roman" w:hAnsi="Times New Roman"/>
          <w:b w:val="0"/>
          <w:i w:val="0"/>
          <w:sz w:val="24"/>
        </w:rPr>
        <w:t>: Effects will be moderated by Bloom's taxonomy level, with larger effects for lower-order cognitive processes where GenAI's information synthesis capabilities directly reduce extraneous load.</w:t>
      </w:r>
    </w:p>
    <w:p>
      <w:pPr>
        <w:spacing w:line="480" w:lineRule="auto" w:before="0" w:after="0"/>
        <w:ind w:left="720" w:hanging="360"/>
        <w:jc w:val="left"/>
      </w:pPr>
      <w:r>
        <w:rPr>
          <w:rFonts w:ascii="Times New Roman" w:hAnsi="Times New Roman"/>
          <w:b/>
          <w:i w:val="0"/>
          <w:sz w:val="24"/>
        </w:rPr>
        <w:t>• H5</w:t>
      </w:r>
      <w:r>
        <w:rPr>
          <w:rFonts w:ascii="Times New Roman" w:hAnsi="Times New Roman"/>
          <w:b w:val="0"/>
          <w:i w:val="0"/>
          <w:sz w:val="24"/>
        </w:rPr>
        <w:t xml:space="preserve"> (Exploratory): The magnitude of cognitive dependency effects may vary by intervention design features, with effects attenuated when interventions include explicit metacognitive scaffolding, fading protocols, or AI literacy training.</w:t>
      </w:r>
    </w:p>
    <w:p>
      <w:pPr>
        <w:spacing w:line="480" w:lineRule="auto" w:before="0" w:after="0"/>
        <w:ind w:firstLine="0"/>
        <w:jc w:val="center"/>
      </w:pPr>
      <w:r>
        <w:rPr>
          <w:rFonts w:ascii="Times New Roman" w:hAnsi="Times New Roman"/>
          <w:b/>
          <w:i w:val="0"/>
          <w:sz w:val="24"/>
        </w:rPr>
        <w:t>Method</w:t>
      </w:r>
    </w:p>
    <w:p>
      <w:pPr>
        <w:spacing w:line="480" w:lineRule="auto" w:before="0" w:after="0"/>
        <w:ind w:firstLine="720"/>
        <w:jc w:val="left"/>
      </w:pPr>
      <w:r>
        <w:rPr>
          <w:rFonts w:ascii="Times New Roman" w:hAnsi="Times New Roman"/>
          <w:b w:val="0"/>
          <w:i w:val="0"/>
          <w:sz w:val="24"/>
        </w:rPr>
        <w:t>This systematic review and meta-analysis followed PRISMA 2020 guidelines (Page et al., 2021). The protocol was pre-registered with PROSPERO (Registration No. [CRD-XXXXX]) prior to data extraction.</w:t>
      </w:r>
    </w:p>
    <w:p>
      <w:pPr>
        <w:spacing w:line="480" w:lineRule="auto" w:before="0" w:after="0"/>
        <w:ind w:firstLine="0"/>
        <w:jc w:val="left"/>
      </w:pPr>
      <w:r>
        <w:rPr>
          <w:rFonts w:ascii="Times New Roman" w:hAnsi="Times New Roman"/>
          <w:b/>
          <w:i w:val="0"/>
          <w:sz w:val="24"/>
        </w:rPr>
        <w:t>Eligibility Criteria</w:t>
      </w:r>
    </w:p>
    <w:p>
      <w:pPr>
        <w:spacing w:line="480" w:lineRule="auto" w:before="0" w:after="0"/>
        <w:ind w:firstLine="720"/>
        <w:jc w:val="left"/>
      </w:pPr>
      <w:r>
        <w:rPr>
          <w:rFonts w:ascii="Times New Roman" w:hAnsi="Times New Roman"/>
          <w:b w:val="0"/>
          <w:i w:val="0"/>
          <w:sz w:val="24"/>
        </w:rPr>
        <w:t>Studies were included if they: (a) examined undergraduate or graduate students enrolled in higher education institutions; (b) investigated Generative AI tools (ChatGPT, Claude, Gemini, AI chatbots, large language models) in instructional or learning contexts; (c) included a control or comparison condition (traditional instruction, no AI, alternative technology, waitlist); (d) reported quantitative learning outcomes with sufficient statistical information for effect size calculation; (e) employed experimental or quasi-experimental designs; and (f) were published between November 2022 (ChatGPT release) and December 2025 in English. Studies were excluded if they focused on K-12 populations, examined non-generative AI, were non-empirical, or lacked control conditions.</w:t>
      </w:r>
    </w:p>
    <w:p>
      <w:pPr>
        <w:spacing w:line="480" w:lineRule="auto" w:before="0" w:after="0"/>
        <w:ind w:firstLine="0"/>
        <w:jc w:val="left"/>
      </w:pPr>
      <w:r>
        <w:rPr>
          <w:rFonts w:ascii="Times New Roman" w:hAnsi="Times New Roman"/>
          <w:b/>
          <w:i w:val="0"/>
          <w:sz w:val="24"/>
        </w:rPr>
        <w:t>Search Strategy</w:t>
      </w:r>
    </w:p>
    <w:p>
      <w:pPr>
        <w:spacing w:line="480" w:lineRule="auto" w:before="0" w:after="0"/>
        <w:ind w:firstLine="720"/>
        <w:jc w:val="left"/>
      </w:pPr>
      <w:r>
        <w:rPr>
          <w:rFonts w:ascii="Times New Roman" w:hAnsi="Times New Roman"/>
          <w:b w:val="0"/>
          <w:i w:val="0"/>
          <w:sz w:val="24"/>
        </w:rPr>
        <w:t>Following established systematic review guidelines, we prioritized institutional database access to maximize retrieval of peer-reviewed publications. Initial searches were conducted through the Pennsylvania State University Libraries system, which provides access to major academic databases including: (a) PsycINFO (psychology and behavioral sciences, APA-indexed); (b) ERIC (education-specific, indexed by IES); (c) Education Source (EBSCO comprehensive education database); and (d) ProQuest Dissertations &amp; Theses (grey literature and doctoral research). These institutional searches were supplemented with open-access databases to ensure comprehensive coverage: (e) Semantic Scholar (200+ million papers, ~40% open-access); (f) OpenAlex (250+ million works, ~50% open-access); and (g) arXiv (preprint repository with 100% access). Additionally, backward and forward citation searches of included studies and relevant reviews were conducted to identify additional eligible studies.</w:t>
      </w:r>
    </w:p>
    <w:p>
      <w:pPr>
        <w:spacing w:line="480" w:lineRule="auto" w:before="0" w:after="0"/>
        <w:ind w:firstLine="720"/>
        <w:jc w:val="left"/>
      </w:pPr>
      <w:r>
        <w:rPr>
          <w:rFonts w:ascii="Times New Roman" w:hAnsi="Times New Roman"/>
          <w:b w:val="0"/>
          <w:i w:val="0"/>
          <w:sz w:val="24"/>
        </w:rPr>
        <w:t>The search strategy combined four conceptual facets: technology terms ("generative AI" OR "ChatGPT" OR "large language model</w:t>
      </w:r>
      <w:r>
        <w:rPr>
          <w:rFonts w:ascii="Times New Roman" w:hAnsi="Times New Roman"/>
          <w:b w:val="0"/>
          <w:i/>
          <w:sz w:val="24"/>
        </w:rPr>
        <w:t>" OR "LLM" OR "AI chatbot</w:t>
      </w:r>
      <w:r>
        <w:rPr>
          <w:rFonts w:ascii="Times New Roman" w:hAnsi="Times New Roman"/>
          <w:b w:val="0"/>
          <w:i w:val="0"/>
          <w:sz w:val="24"/>
        </w:rPr>
        <w:t>" OR "Claude" OR "Gemini"), learning terms ("learning outcome*" OR "academic achievement" OR "student performance"), higher education terms ("higher education" OR "university" OR "undergraduate" OR "graduate"), and exclusion terms (NOT "K-12" OR "primary school" OR "secondary school"). Searches were conducted between November 2025 and January 2026.</w:t>
      </w:r>
    </w:p>
    <w:p>
      <w:pPr>
        <w:spacing w:line="480" w:lineRule="auto" w:before="0" w:after="0"/>
        <w:ind w:firstLine="720"/>
        <w:jc w:val="left"/>
      </w:pPr>
      <w:r>
        <w:rPr>
          <w:rFonts w:ascii="Times New Roman" w:hAnsi="Times New Roman"/>
          <w:b/>
          <w:i w:val="0"/>
          <w:sz w:val="24"/>
        </w:rPr>
        <w:t>Citation Verification and Publication Status.</w:t>
      </w:r>
      <w:r>
        <w:rPr>
          <w:rFonts w:ascii="Times New Roman" w:hAnsi="Times New Roman"/>
          <w:b w:val="0"/>
          <w:i w:val="0"/>
          <w:sz w:val="24"/>
        </w:rPr>
        <w:t xml:space="preserve"> Given the rapidly evolving nature of GenAI research, this meta-analysis includes studies and theoretical works published through January 2026. All 2025 and 2026 citations were verified for publication status at the time of manuscript preparation. Citations fall into three categories: (a) </w:t>
      </w:r>
      <w:r>
        <w:rPr>
          <w:rFonts w:ascii="Times New Roman" w:hAnsi="Times New Roman"/>
          <w:b w:val="0"/>
          <w:i/>
          <w:sz w:val="24"/>
        </w:rPr>
        <w:t>Fully published articles</w:t>
      </w:r>
      <w:r>
        <w:rPr>
          <w:rFonts w:ascii="Times New Roman" w:hAnsi="Times New Roman"/>
          <w:b w:val="0"/>
          <w:i w:val="0"/>
          <w:sz w:val="24"/>
        </w:rPr>
        <w:t xml:space="preserve"> with assigned volume and issue numbers represent peer-reviewed publications that have completed the publication process; (b) </w:t>
      </w:r>
      <w:r>
        <w:rPr>
          <w:rFonts w:ascii="Times New Roman" w:hAnsi="Times New Roman"/>
          <w:b w:val="0"/>
          <w:i/>
          <w:sz w:val="24"/>
        </w:rPr>
        <w:t>Advance online publications</w:t>
      </w:r>
      <w:r>
        <w:rPr>
          <w:rFonts w:ascii="Times New Roman" w:hAnsi="Times New Roman"/>
          <w:b w:val="0"/>
          <w:i w:val="0"/>
          <w:sz w:val="24"/>
        </w:rPr>
        <w:t xml:space="preserve"> (marked as such in references) are peer-reviewed manuscripts accepted for publication and assigned DOIs but awaiting final pagination—these meet standard inclusion criteria for systematic reviews as they have completed peer review; (c) </w:t>
      </w:r>
      <w:r>
        <w:rPr>
          <w:rFonts w:ascii="Times New Roman" w:hAnsi="Times New Roman"/>
          <w:b w:val="0"/>
          <w:i/>
          <w:sz w:val="24"/>
        </w:rPr>
        <w:t>Preprints and non-peer-reviewed works</w:t>
      </w:r>
      <w:r>
        <w:rPr>
          <w:rFonts w:ascii="Times New Roman" w:hAnsi="Times New Roman"/>
          <w:b w:val="0"/>
          <w:i w:val="0"/>
          <w:sz w:val="24"/>
        </w:rPr>
        <w:t xml:space="preserve"> were excluded from the meta-analytic synthesis (though occasionally cited for theoretical context when clearly identified as such). For primary studies included in quantitative synthesis, we required peer-reviewed publication status; the 13 reports excluded for "not peer-reviewed/unverified preprint" status (see PRISMA diagram) reflect enforcement of this criterion.</w:t>
      </w:r>
    </w:p>
    <w:p>
      <w:pPr>
        <w:spacing w:line="480" w:lineRule="auto" w:before="0" w:after="0"/>
        <w:ind w:firstLine="0"/>
        <w:jc w:val="left"/>
      </w:pPr>
      <w:r>
        <w:rPr>
          <w:rFonts w:ascii="Times New Roman" w:hAnsi="Times New Roman"/>
          <w:b/>
          <w:i w:val="0"/>
          <w:sz w:val="24"/>
        </w:rPr>
        <w:t>Screening and Selection</w:t>
      </w:r>
    </w:p>
    <w:p>
      <w:pPr>
        <w:spacing w:line="480" w:lineRule="auto" w:before="0" w:after="0"/>
        <w:ind w:firstLine="720"/>
        <w:jc w:val="left"/>
      </w:pPr>
      <w:r>
        <w:rPr>
          <w:rFonts w:ascii="Times New Roman" w:hAnsi="Times New Roman"/>
          <w:b w:val="0"/>
          <w:i w:val="0"/>
          <w:sz w:val="24"/>
        </w:rPr>
        <w:t>Initial database searches identified 3,247 records from electronic databases and 187 from other sources (citation searching, grey literature). Following deduplication (n = 891 removed) and automated ineligibility marking (n = 387 removed), 2,156 records remained for title and abstract screening.</w:t>
      </w:r>
    </w:p>
    <w:p>
      <w:pPr>
        <w:spacing w:line="480" w:lineRule="auto" w:before="0" w:after="0"/>
        <w:ind w:firstLine="720"/>
        <w:jc w:val="left"/>
      </w:pPr>
      <w:r>
        <w:rPr>
          <w:rFonts w:ascii="Times New Roman" w:hAnsi="Times New Roman"/>
          <w:b w:val="0"/>
          <w:i w:val="0"/>
          <w:sz w:val="24"/>
        </w:rPr>
        <w:t>Title and abstract screening was conducted using a two-stage process. Initial screening employed systematic evaluation against inclusion criteria, with studies clearly meeting criteria advancing to full-text review and studies clearly not meeting criteria excluded. Ambiguous cases underwent independent dual review. This process excluded 1,847 records, leaving 309 reports sought for retrieval.</w:t>
      </w:r>
    </w:p>
    <w:p>
      <w:pPr>
        <w:spacing w:line="480" w:lineRule="auto" w:before="0" w:after="0"/>
        <w:ind w:firstLine="720"/>
        <w:jc w:val="left"/>
      </w:pPr>
      <w:r>
        <w:rPr>
          <w:rFonts w:ascii="Times New Roman" w:hAnsi="Times New Roman"/>
          <w:b w:val="0"/>
          <w:i w:val="0"/>
          <w:sz w:val="24"/>
        </w:rPr>
        <w:t>Of the reports sought, 23 could not be retrieved (unavailable full-text, restricted access). The remaining 286 reports were assessed for full-text eligibility. Two independent reviewers (the author and a trained research assistant) screened all reports using a standardized eligibility checklist. Inter-rater reliability was assessed on 30% of studies, yielding Cohen's κ = 0.89 for inclusion decisions and κ = 0.84 for outcome coding. Disagreements were resolved through consensus discussion; unresolved cases were adjudicated by a third reviewer.</w:t>
      </w:r>
    </w:p>
    <w:p>
      <w:pPr>
        <w:spacing w:line="480" w:lineRule="auto" w:before="0" w:after="0"/>
        <w:ind w:firstLine="720"/>
        <w:jc w:val="left"/>
      </w:pPr>
      <w:r>
        <w:rPr>
          <w:rFonts w:ascii="Times New Roman" w:hAnsi="Times New Roman"/>
          <w:b w:val="0"/>
          <w:i w:val="0"/>
          <w:sz w:val="24"/>
        </w:rPr>
        <w:t>Full-text assessment excluded 221 reports for the following reasons: wrong population/K-12 focus (n = 47), no control or comparison group (n = 58), non-GenAI intervention (n = 39), insufficient statistical data for effect size calculation (n = 45), duplicate sample (n = 19), and not peer-reviewed or unverified preprint (n = 13). This resulted in 60 studies eligible (5 excluded for design issues) for inclusion.</w:t>
      </w:r>
    </w:p>
    <w:p>
      <w:pPr>
        <w:spacing w:line="480" w:lineRule="auto" w:before="0" w:after="0"/>
        <w:ind w:firstLine="0"/>
        <w:jc w:val="left"/>
      </w:pPr>
      <w:r>
        <w:rPr>
          <w:rFonts w:ascii="Times New Roman" w:hAnsi="Times New Roman"/>
          <w:b/>
          <w:i w:val="0"/>
          <w:sz w:val="24"/>
        </w:rPr>
        <w:t>Study Exclusions</w:t>
      </w:r>
    </w:p>
    <w:p>
      <w:pPr>
        <w:spacing w:line="480" w:lineRule="auto" w:before="0" w:after="0"/>
        <w:ind w:firstLine="720"/>
        <w:jc w:val="left"/>
      </w:pPr>
      <w:r>
        <w:rPr>
          <w:rFonts w:ascii="Times New Roman" w:hAnsi="Times New Roman"/>
          <w:b w:val="0"/>
          <w:i w:val="0"/>
          <w:sz w:val="24"/>
        </w:rPr>
        <w:t>Following full-text eligibility assessment, five studies were excluded from the quantitative synthesis due to design issues identified during manual review of source documents: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340"/>
        <w:gridCol w:w="2340"/>
        <w:gridCol w:w="2340"/>
        <w:gridCol w:w="2340"/>
      </w:tblGrid>
      <w:tr>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Study ID</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Authors</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Year</w:t>
            </w:r>
          </w:p>
        </w:tc>
        <w:tc>
          <w:tcPr>
            <w:tcW w:type="dxa" w:w="23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Exclusion Reason</w:t>
            </w:r>
          </w:p>
        </w:tc>
      </w:tr>
      <w:tr>
        <w:tc>
          <w:tcPr>
            <w:tcW w:type="dxa" w:w="2340"/>
          </w:tcPr>
          <w:p>
            <w:pPr>
              <w:spacing w:line="480" w:lineRule="auto" w:before="20" w:after="20"/>
              <w:ind w:firstLine="0"/>
              <w:jc w:val="left"/>
            </w:pPr>
            <w:r/>
            <w:r>
              <w:rPr>
                <w:rFonts w:ascii="Times New Roman" w:hAnsi="Times New Roman"/>
                <w:b w:val="0"/>
                <w:i w:val="0"/>
                <w:sz w:val="20"/>
              </w:rPr>
              <w:t>010</w:t>
            </w:r>
          </w:p>
        </w:tc>
        <w:tc>
          <w:tcPr>
            <w:tcW w:type="dxa" w:w="2340"/>
          </w:tcPr>
          <w:p>
            <w:pPr>
              <w:spacing w:line="480" w:lineRule="auto" w:before="20" w:after="20"/>
              <w:ind w:firstLine="0"/>
              <w:jc w:val="center"/>
            </w:pPr>
            <w:r/>
            <w:r>
              <w:rPr>
                <w:rFonts w:ascii="Times New Roman" w:hAnsi="Times New Roman"/>
                <w:b w:val="0"/>
                <w:i w:val="0"/>
                <w:sz w:val="20"/>
              </w:rPr>
              <w:t>Hudson K. Etkin et al.</w:t>
            </w:r>
          </w:p>
        </w:tc>
        <w:tc>
          <w:tcPr>
            <w:tcW w:type="dxa" w:w="2340"/>
          </w:tcPr>
          <w:p>
            <w:pPr>
              <w:spacing w:line="480" w:lineRule="auto" w:before="20" w:after="20"/>
              <w:ind w:firstLine="0"/>
              <w:jc w:val="center"/>
            </w:pPr>
            <w:r/>
            <w:r>
              <w:rPr>
                <w:rFonts w:ascii="Times New Roman" w:hAnsi="Times New Roman"/>
                <w:b w:val="0"/>
                <w:i w:val="0"/>
                <w:sz w:val="20"/>
              </w:rPr>
              <w:t>2025</w:t>
            </w:r>
          </w:p>
        </w:tc>
        <w:tc>
          <w:tcPr>
            <w:tcW w:type="dxa" w:w="2340"/>
          </w:tcPr>
          <w:p>
            <w:pPr>
              <w:spacing w:line="480" w:lineRule="auto" w:before="20" w:after="20"/>
              <w:ind w:firstLine="0"/>
              <w:jc w:val="center"/>
            </w:pPr>
            <w:r/>
            <w:r>
              <w:rPr>
                <w:rFonts w:ascii="Times New Roman" w:hAnsi="Times New Roman"/>
                <w:b w:val="0"/>
                <w:i w:val="0"/>
                <w:sz w:val="20"/>
              </w:rPr>
              <w:t>Within-subject design without traditional control group</w:t>
            </w:r>
          </w:p>
        </w:tc>
      </w:tr>
      <w:tr>
        <w:tc>
          <w:tcPr>
            <w:tcW w:type="dxa" w:w="2340"/>
          </w:tcPr>
          <w:p>
            <w:pPr>
              <w:spacing w:line="480" w:lineRule="auto" w:before="20" w:after="20"/>
              <w:ind w:firstLine="0"/>
              <w:jc w:val="left"/>
            </w:pPr>
            <w:r/>
            <w:r>
              <w:rPr>
                <w:rFonts w:ascii="Times New Roman" w:hAnsi="Times New Roman"/>
                <w:b w:val="0"/>
                <w:i w:val="0"/>
                <w:sz w:val="20"/>
              </w:rPr>
              <w:t>017</w:t>
            </w:r>
          </w:p>
        </w:tc>
        <w:tc>
          <w:tcPr>
            <w:tcW w:type="dxa" w:w="2340"/>
          </w:tcPr>
          <w:p>
            <w:pPr>
              <w:spacing w:line="480" w:lineRule="auto" w:before="20" w:after="20"/>
              <w:ind w:firstLine="0"/>
              <w:jc w:val="center"/>
            </w:pPr>
            <w:r/>
            <w:r>
              <w:rPr>
                <w:rFonts w:ascii="Times New Roman" w:hAnsi="Times New Roman"/>
                <w:b w:val="0"/>
                <w:i w:val="0"/>
                <w:sz w:val="20"/>
              </w:rPr>
              <w:t>Wang Jian</w:t>
            </w:r>
          </w:p>
        </w:tc>
        <w:tc>
          <w:tcPr>
            <w:tcW w:type="dxa" w:w="2340"/>
          </w:tcPr>
          <w:p>
            <w:pPr>
              <w:spacing w:line="480" w:lineRule="auto" w:before="20" w:after="20"/>
              <w:ind w:firstLine="0"/>
              <w:jc w:val="center"/>
            </w:pPr>
            <w:r/>
            <w:r>
              <w:rPr>
                <w:rFonts w:ascii="Times New Roman" w:hAnsi="Times New Roman"/>
                <w:b w:val="0"/>
                <w:i w:val="0"/>
                <w:sz w:val="20"/>
              </w:rPr>
              <w:t>2025</w:t>
            </w:r>
          </w:p>
        </w:tc>
        <w:tc>
          <w:tcPr>
            <w:tcW w:type="dxa" w:w="2340"/>
          </w:tcPr>
          <w:p>
            <w:pPr>
              <w:spacing w:line="480" w:lineRule="auto" w:before="20" w:after="20"/>
              <w:ind w:firstLine="0"/>
              <w:jc w:val="center"/>
            </w:pPr>
            <w:r/>
            <w:r>
              <w:rPr>
                <w:rFonts w:ascii="Times New Roman" w:hAnsi="Times New Roman"/>
                <w:b w:val="0"/>
                <w:i w:val="0"/>
                <w:sz w:val="20"/>
              </w:rPr>
              <w:t>No control group - pre-post design only</w:t>
            </w:r>
          </w:p>
        </w:tc>
      </w:tr>
      <w:tr>
        <w:tc>
          <w:tcPr>
            <w:tcW w:type="dxa" w:w="2340"/>
          </w:tcPr>
          <w:p>
            <w:pPr>
              <w:spacing w:line="480" w:lineRule="auto" w:before="20" w:after="20"/>
              <w:ind w:firstLine="0"/>
              <w:jc w:val="left"/>
            </w:pPr>
            <w:r/>
            <w:r>
              <w:rPr>
                <w:rFonts w:ascii="Times New Roman" w:hAnsi="Times New Roman"/>
                <w:b w:val="0"/>
                <w:i w:val="0"/>
                <w:sz w:val="20"/>
              </w:rPr>
              <w:t>020</w:t>
            </w:r>
          </w:p>
        </w:tc>
        <w:tc>
          <w:tcPr>
            <w:tcW w:type="dxa" w:w="2340"/>
          </w:tcPr>
          <w:p>
            <w:pPr>
              <w:spacing w:line="480" w:lineRule="auto" w:before="20" w:after="20"/>
              <w:ind w:firstLine="0"/>
              <w:jc w:val="center"/>
            </w:pPr>
            <w:r/>
            <w:r>
              <w:rPr>
                <w:rFonts w:ascii="Times New Roman" w:hAnsi="Times New Roman"/>
                <w:b w:val="0"/>
                <w:i w:val="0"/>
                <w:sz w:val="20"/>
              </w:rPr>
              <w:t>Xusheng Dai et al.</w:t>
            </w:r>
          </w:p>
        </w:tc>
        <w:tc>
          <w:tcPr>
            <w:tcW w:type="dxa" w:w="2340"/>
          </w:tcPr>
          <w:p>
            <w:pPr>
              <w:spacing w:line="480" w:lineRule="auto" w:before="20" w:after="20"/>
              <w:ind w:firstLine="0"/>
              <w:jc w:val="center"/>
            </w:pPr>
            <w:r/>
            <w:r>
              <w:rPr>
                <w:rFonts w:ascii="Times New Roman" w:hAnsi="Times New Roman"/>
                <w:b w:val="0"/>
                <w:i w:val="0"/>
                <w:sz w:val="20"/>
              </w:rPr>
              <w:t>2025</w:t>
            </w:r>
          </w:p>
        </w:tc>
        <w:tc>
          <w:tcPr>
            <w:tcW w:type="dxa" w:w="2340"/>
          </w:tcPr>
          <w:p>
            <w:pPr>
              <w:spacing w:line="480" w:lineRule="auto" w:before="20" w:after="20"/>
              <w:ind w:firstLine="0"/>
              <w:jc w:val="center"/>
            </w:pPr>
            <w:r/>
            <w:r>
              <w:rPr>
                <w:rFonts w:ascii="Times New Roman" w:hAnsi="Times New Roman"/>
                <w:b w:val="0"/>
                <w:i w:val="0"/>
                <w:sz w:val="20"/>
              </w:rPr>
              <w:t>Complex multi-group design not suitable for standard meta-analysis</w:t>
            </w:r>
          </w:p>
        </w:tc>
      </w:tr>
      <w:tr>
        <w:tc>
          <w:tcPr>
            <w:tcW w:type="dxa" w:w="2340"/>
          </w:tcPr>
          <w:p>
            <w:pPr>
              <w:spacing w:line="480" w:lineRule="auto" w:before="20" w:after="20"/>
              <w:ind w:firstLine="0"/>
              <w:jc w:val="left"/>
            </w:pPr>
            <w:r/>
            <w:r>
              <w:rPr>
                <w:rFonts w:ascii="Times New Roman" w:hAnsi="Times New Roman"/>
                <w:b w:val="0"/>
                <w:i w:val="0"/>
                <w:sz w:val="20"/>
              </w:rPr>
              <w:t>051</w:t>
            </w:r>
          </w:p>
        </w:tc>
        <w:tc>
          <w:tcPr>
            <w:tcW w:type="dxa" w:w="2340"/>
          </w:tcPr>
          <w:p>
            <w:pPr>
              <w:spacing w:line="480" w:lineRule="auto" w:before="20" w:after="20"/>
              <w:ind w:firstLine="0"/>
              <w:jc w:val="center"/>
            </w:pPr>
            <w:r/>
            <w:r>
              <w:rPr>
                <w:rFonts w:ascii="Times New Roman" w:hAnsi="Times New Roman"/>
                <w:b w:val="0"/>
                <w:i w:val="0"/>
                <w:sz w:val="20"/>
              </w:rPr>
              <w:t>Seyyed Kazem Banihashem et al.</w:t>
            </w:r>
          </w:p>
        </w:tc>
        <w:tc>
          <w:tcPr>
            <w:tcW w:type="dxa" w:w="2340"/>
          </w:tcPr>
          <w:p>
            <w:pPr>
              <w:spacing w:line="480" w:lineRule="auto" w:before="20" w:after="20"/>
              <w:ind w:firstLine="0"/>
              <w:jc w:val="center"/>
            </w:pPr>
            <w:r/>
            <w:r>
              <w:rPr>
                <w:rFonts w:ascii="Times New Roman" w:hAnsi="Times New Roman"/>
                <w:b w:val="0"/>
                <w:i w:val="0"/>
                <w:sz w:val="20"/>
              </w:rPr>
              <w:t>2024</w:t>
            </w:r>
          </w:p>
        </w:tc>
        <w:tc>
          <w:tcPr>
            <w:tcW w:type="dxa" w:w="2340"/>
          </w:tcPr>
          <w:p>
            <w:pPr>
              <w:spacing w:line="480" w:lineRule="auto" w:before="20" w:after="20"/>
              <w:ind w:firstLine="0"/>
              <w:jc w:val="center"/>
            </w:pPr>
            <w:r/>
            <w:r>
              <w:rPr>
                <w:rFonts w:ascii="Times New Roman" w:hAnsi="Times New Roman"/>
                <w:b w:val="0"/>
                <w:i w:val="0"/>
                <w:sz w:val="20"/>
              </w:rPr>
              <w:t>Measures feedback quality, not learning outcomes</w:t>
            </w:r>
          </w:p>
        </w:tc>
      </w:tr>
      <w:tr>
        <w:tc>
          <w:tcPr>
            <w:tcW w:type="dxa" w:w="2340"/>
            <w:tcBorders>
              <w:bottom w:val="single" w:sz="8" w:space="0" w:color="000000"/>
            </w:tcBorders>
          </w:tcPr>
          <w:p>
            <w:pPr>
              <w:spacing w:line="480" w:lineRule="auto" w:before="20" w:after="20"/>
              <w:ind w:firstLine="0"/>
              <w:jc w:val="left"/>
            </w:pPr>
            <w:r/>
            <w:r>
              <w:rPr>
                <w:rFonts w:ascii="Times New Roman" w:hAnsi="Times New Roman"/>
                <w:b w:val="0"/>
                <w:i w:val="0"/>
                <w:sz w:val="20"/>
              </w:rPr>
              <w:t>056</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Joanne Leong et al.</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2024</w:t>
            </w:r>
          </w:p>
        </w:tc>
        <w:tc>
          <w:tcPr>
            <w:tcW w:type="dxa" w:w="2340"/>
            <w:tcBorders>
              <w:bottom w:val="single" w:sz="8" w:space="0" w:color="000000"/>
            </w:tcBorders>
          </w:tcPr>
          <w:p>
            <w:pPr>
              <w:spacing w:line="480" w:lineRule="auto" w:before="20" w:after="20"/>
              <w:ind w:firstLine="0"/>
              <w:jc w:val="center"/>
            </w:pPr>
            <w:r/>
            <w:r>
              <w:rPr>
                <w:rFonts w:ascii="Times New Roman" w:hAnsi="Times New Roman"/>
                <w:b w:val="0"/>
                <w:i w:val="0"/>
                <w:sz w:val="20"/>
              </w:rPr>
              <w:t>Measures engagement metrics, not learning performance</w:t>
            </w:r>
          </w:p>
        </w:tc>
      </w:tr>
    </w:tbl>
    <w:p>
      <w:pPr>
        <w:spacing w:line="480" w:lineRule="auto" w:before="0" w:after="0"/>
        <w:ind w:firstLine="720"/>
        <w:jc w:val="left"/>
      </w:pPr>
      <w:r>
        <w:rPr>
          <w:rFonts w:ascii="Times New Roman" w:hAnsi="Times New Roman"/>
          <w:b w:val="0"/>
          <w:i w:val="0"/>
          <w:sz w:val="24"/>
        </w:rPr>
        <w:t>These exclusions resulted in a final sample of 60 studies with 343 effect sizes for quantitative synthesis.</w:t>
      </w:r>
    </w:p>
    <w:p>
      <w:pPr>
        <w:spacing w:line="480" w:lineRule="auto" w:before="0" w:after="0"/>
        <w:ind w:firstLine="0"/>
        <w:jc w:val="left"/>
      </w:pPr>
      <w:r>
        <w:rPr>
          <w:rFonts w:ascii="Times New Roman" w:hAnsi="Times New Roman"/>
          <w:b/>
          <w:i w:val="0"/>
          <w:sz w:val="24"/>
        </w:rPr>
        <w:t>Data Extraction and Coding</w:t>
      </w:r>
    </w:p>
    <w:p>
      <w:pPr>
        <w:spacing w:line="480" w:lineRule="auto" w:before="0" w:after="0"/>
        <w:ind w:firstLine="720"/>
        <w:jc w:val="left"/>
      </w:pPr>
      <w:r>
        <w:rPr>
          <w:rFonts w:ascii="Times New Roman" w:hAnsi="Times New Roman"/>
          <w:b w:val="0"/>
          <w:i w:val="0"/>
          <w:sz w:val="24"/>
        </w:rPr>
        <w:t>Effect sizes were calculated as Hedges' g with small-sample bias correction. When studies reported means and standard deviations, g was computed directly; when studies reported t-statistics, F-ratios, or p-values, appropriate conversion formulas were applied (Borenstein et al., 2021). Standard errors were computed using the formula incorporating sample sizes and effect size magnitude.</w:t>
      </w:r>
    </w:p>
    <w:p>
      <w:pPr>
        <w:spacing w:line="480" w:lineRule="auto" w:before="0" w:after="0"/>
        <w:ind w:firstLine="720"/>
        <w:jc w:val="left"/>
      </w:pPr>
      <w:r>
        <w:rPr>
          <w:rFonts w:ascii="Times New Roman" w:hAnsi="Times New Roman"/>
          <w:b w:val="0"/>
          <w:i w:val="0"/>
          <w:sz w:val="24"/>
        </w:rPr>
        <w:t>Outcomes were coded into four dimensions following established frameworks in educational psychology (Krathwohl, 2002; Bloom et al., 1956; Zimmerman, 2002). The classification system, operational definitions, and decision rules are detailed below.</w:t>
      </w:r>
    </w:p>
    <w:p>
      <w:pPr>
        <w:spacing w:line="480" w:lineRule="auto" w:before="0" w:after="0"/>
        <w:ind w:firstLine="0"/>
        <w:jc w:val="left"/>
      </w:pPr>
      <w:r>
        <w:rPr>
          <w:rFonts w:ascii="Times New Roman" w:hAnsi="Times New Roman"/>
          <w:b/>
          <w:i/>
          <w:sz w:val="24"/>
        </w:rPr>
        <w:t>Outcome Dimension Operationalization</w:t>
      </w:r>
    </w:p>
    <w:p>
      <w:pPr>
        <w:spacing w:line="480" w:lineRule="auto" w:before="0" w:after="0"/>
        <w:ind w:firstLine="720"/>
        <w:jc w:val="left"/>
      </w:pPr>
      <w:r>
        <w:rPr>
          <w:rFonts w:ascii="Times New Roman" w:hAnsi="Times New Roman"/>
          <w:b/>
          <w:i w:val="0"/>
          <w:sz w:val="24"/>
        </w:rPr>
        <w:t>Cognitive Outcomes</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58 studies, </w:t>
      </w:r>
      <w:r>
        <w:rPr>
          <w:rFonts w:ascii="Times New Roman" w:hAnsi="Times New Roman"/>
          <w:b w:val="0"/>
          <w:i/>
          <w:sz w:val="24"/>
        </w:rPr>
        <w:t>n</w:t>
      </w:r>
      <w:r>
        <w:rPr>
          <w:rFonts w:ascii="Times New Roman" w:hAnsi="Times New Roman"/>
          <w:b w:val="0"/>
          <w:i w:val="0"/>
          <w:sz w:val="24"/>
        </w:rPr>
        <w:t xml:space="preserve"> = 218 effect sizes) encompassed measures of knowledge acquisition, comprehension, and intellectual skill development. Specific measure types included:</w:t>
      </w:r>
    </w:p>
    <w:p>
      <w:pPr>
        <w:spacing w:line="480" w:lineRule="auto" w:before="0" w:after="0"/>
        <w:ind w:left="720" w:hanging="360"/>
        <w:jc w:val="left"/>
      </w:pPr>
      <w:r>
        <w:rPr>
          <w:rFonts w:ascii="Times New Roman" w:hAnsi="Times New Roman"/>
          <w:b w:val="0"/>
          <w:i/>
          <w:sz w:val="24"/>
        </w:rPr>
        <w:t>• Standardized achievement tests</w:t>
      </w:r>
      <w:r>
        <w:rPr>
          <w:rFonts w:ascii="Times New Roman" w:hAnsi="Times New Roman"/>
          <w:b w:val="0"/>
          <w:i w:val="0"/>
          <w:sz w:val="24"/>
        </w:rPr>
        <w:t>: Discipline-specific assessments with established validity (e.g., medical licensing exam items, programming skill assessments, language proficiency tests such as TOEFL/IELTS components)</w:t>
      </w:r>
    </w:p>
    <w:p>
      <w:pPr>
        <w:spacing w:line="480" w:lineRule="auto" w:before="0" w:after="0"/>
        <w:ind w:left="720" w:hanging="360"/>
        <w:jc w:val="left"/>
      </w:pPr>
      <w:r>
        <w:rPr>
          <w:rFonts w:ascii="Times New Roman" w:hAnsi="Times New Roman"/>
          <w:b w:val="0"/>
          <w:i/>
          <w:sz w:val="24"/>
        </w:rPr>
        <w:t>• Course examinations</w:t>
      </w:r>
      <w:r>
        <w:rPr>
          <w:rFonts w:ascii="Times New Roman" w:hAnsi="Times New Roman"/>
          <w:b w:val="0"/>
          <w:i w:val="0"/>
          <w:sz w:val="24"/>
        </w:rPr>
        <w:t>: Instructor-developed tests measuring content mastery (multiple-choice, short answer, essay formats)</w:t>
      </w:r>
    </w:p>
    <w:p>
      <w:pPr>
        <w:spacing w:line="480" w:lineRule="auto" w:before="0" w:after="0"/>
        <w:ind w:left="720" w:hanging="360"/>
        <w:jc w:val="left"/>
      </w:pPr>
      <w:r>
        <w:rPr>
          <w:rFonts w:ascii="Times New Roman" w:hAnsi="Times New Roman"/>
          <w:b w:val="0"/>
          <w:i/>
          <w:sz w:val="24"/>
        </w:rPr>
        <w:t>• Performance-based assessments</w:t>
      </w:r>
      <w:r>
        <w:rPr>
          <w:rFonts w:ascii="Times New Roman" w:hAnsi="Times New Roman"/>
          <w:b w:val="0"/>
          <w:i w:val="0"/>
          <w:sz w:val="24"/>
        </w:rPr>
        <w:t>: Tasks requiring demonstration of applied skills (e.g., writing samples scored by rubric, coding projects, mathematical problem sets, clinical reasoning cases)</w:t>
      </w:r>
    </w:p>
    <w:p>
      <w:pPr>
        <w:spacing w:line="480" w:lineRule="auto" w:before="0" w:after="0"/>
        <w:ind w:left="720" w:hanging="360"/>
        <w:jc w:val="left"/>
      </w:pPr>
      <w:r>
        <w:rPr>
          <w:rFonts w:ascii="Times New Roman" w:hAnsi="Times New Roman"/>
          <w:b w:val="0"/>
          <w:i/>
          <w:sz w:val="24"/>
        </w:rPr>
        <w:t>• Knowledge tests</w:t>
      </w:r>
      <w:r>
        <w:rPr>
          <w:rFonts w:ascii="Times New Roman" w:hAnsi="Times New Roman"/>
          <w:b w:val="0"/>
          <w:i w:val="0"/>
          <w:sz w:val="24"/>
        </w:rPr>
        <w:t>: Pre/post assessments of factual and conceptual understanding developed for the study</w:t>
      </w:r>
    </w:p>
    <w:p>
      <w:pPr>
        <w:spacing w:line="480" w:lineRule="auto" w:before="0" w:after="0"/>
        <w:ind w:firstLine="720"/>
        <w:jc w:val="left"/>
      </w:pPr>
      <w:r>
        <w:rPr>
          <w:rFonts w:ascii="Times New Roman" w:hAnsi="Times New Roman"/>
          <w:b w:val="0"/>
          <w:i w:val="0"/>
          <w:sz w:val="24"/>
        </w:rPr>
        <w:t xml:space="preserve">Cognitive outcomes were further classified by Bloom's revised taxonomy (Anderson &amp; Krathwohl, 2001): </w:t>
      </w:r>
      <w:r>
        <w:rPr>
          <w:rFonts w:ascii="Times New Roman" w:hAnsi="Times New Roman"/>
          <w:b/>
          <w:i w:val="0"/>
          <w:sz w:val="24"/>
        </w:rPr>
        <w:t>lower-order</w:t>
      </w:r>
      <w:r>
        <w:rPr>
          <w:rFonts w:ascii="Times New Roman" w:hAnsi="Times New Roman"/>
          <w:b w:val="0"/>
          <w:i w:val="0"/>
          <w:sz w:val="24"/>
        </w:rPr>
        <w:t xml:space="preserve"> thinking skills (remembering, understanding, applying; </w:t>
      </w:r>
      <w:r>
        <w:rPr>
          <w:rFonts w:ascii="Times New Roman" w:hAnsi="Times New Roman"/>
          <w:b w:val="0"/>
          <w:i/>
          <w:sz w:val="24"/>
        </w:rPr>
        <w:t>n</w:t>
      </w:r>
      <w:r>
        <w:rPr>
          <w:rFonts w:ascii="Times New Roman" w:hAnsi="Times New Roman"/>
          <w:b w:val="0"/>
          <w:i w:val="0"/>
          <w:sz w:val="24"/>
        </w:rPr>
        <w:t xml:space="preserve"> = 112) included factual recall items, comprehension questions, and routine application tasks; </w:t>
      </w:r>
      <w:r>
        <w:rPr>
          <w:rFonts w:ascii="Times New Roman" w:hAnsi="Times New Roman"/>
          <w:b/>
          <w:i w:val="0"/>
          <w:sz w:val="24"/>
        </w:rPr>
        <w:t>higher-order</w:t>
      </w:r>
      <w:r>
        <w:rPr>
          <w:rFonts w:ascii="Times New Roman" w:hAnsi="Times New Roman"/>
          <w:b w:val="0"/>
          <w:i w:val="0"/>
          <w:sz w:val="24"/>
        </w:rPr>
        <w:t xml:space="preserve"> thinking skills (analyzing, evaluating, creating; </w:t>
      </w:r>
      <w:r>
        <w:rPr>
          <w:rFonts w:ascii="Times New Roman" w:hAnsi="Times New Roman"/>
          <w:b w:val="0"/>
          <w:i/>
          <w:sz w:val="24"/>
        </w:rPr>
        <w:t>n</w:t>
      </w:r>
      <w:r>
        <w:rPr>
          <w:rFonts w:ascii="Times New Roman" w:hAnsi="Times New Roman"/>
          <w:b w:val="0"/>
          <w:i w:val="0"/>
          <w:sz w:val="24"/>
        </w:rPr>
        <w:t xml:space="preserve"> = 87) included critical analysis tasks, argument evaluation, and creative production. Classification was based on the cognitive process targeted by assessment items as described in primary studies or inferred from item descriptions when not explicitly stated.</w:t>
      </w:r>
    </w:p>
    <w:p>
      <w:pPr>
        <w:spacing w:line="480" w:lineRule="auto" w:before="0" w:after="0"/>
        <w:ind w:firstLine="720"/>
        <w:jc w:val="left"/>
      </w:pPr>
      <w:r>
        <w:rPr>
          <w:rFonts w:ascii="Times New Roman" w:hAnsi="Times New Roman"/>
          <w:b/>
          <w:i w:val="0"/>
          <w:sz w:val="24"/>
        </w:rPr>
        <w:t>Affective Outcomes</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28 studies, </w:t>
      </w:r>
      <w:r>
        <w:rPr>
          <w:rFonts w:ascii="Times New Roman" w:hAnsi="Times New Roman"/>
          <w:b w:val="0"/>
          <w:i/>
          <w:sz w:val="24"/>
        </w:rPr>
        <w:t>n</w:t>
      </w:r>
      <w:r>
        <w:rPr>
          <w:rFonts w:ascii="Times New Roman" w:hAnsi="Times New Roman"/>
          <w:b w:val="0"/>
          <w:i w:val="0"/>
          <w:sz w:val="24"/>
        </w:rPr>
        <w:t xml:space="preserve"> = 89 effect sizes) captured attitudes, emotions, and motivational states related to learning. Specific measure types included:</w:t>
      </w:r>
    </w:p>
    <w:p>
      <w:pPr>
        <w:spacing w:line="480" w:lineRule="auto" w:before="0" w:after="0"/>
        <w:ind w:left="720" w:hanging="360"/>
        <w:jc w:val="left"/>
      </w:pPr>
      <w:r>
        <w:rPr>
          <w:rFonts w:ascii="Times New Roman" w:hAnsi="Times New Roman"/>
          <w:b w:val="0"/>
          <w:i/>
          <w:sz w:val="24"/>
        </w:rPr>
        <w:t>• Motivation scales</w:t>
      </w:r>
      <w:r>
        <w:rPr>
          <w:rFonts w:ascii="Times New Roman" w:hAnsi="Times New Roman"/>
          <w:b w:val="0"/>
          <w:i w:val="0"/>
          <w:sz w:val="24"/>
        </w:rPr>
        <w:t>: Intrinsic/extrinsic motivation measures, typically from the Motivated Strategies for Learning Questionnaire motivation subscales (MSLQ; Pintrich et al., 1991), Academic Motivation Scale (AMS; Vallerand et al., 1992), or study-specific motivation questionnaires</w:t>
      </w:r>
    </w:p>
    <w:p>
      <w:pPr>
        <w:spacing w:line="480" w:lineRule="auto" w:before="0" w:after="0"/>
        <w:ind w:left="720" w:hanging="360"/>
        <w:jc w:val="left"/>
      </w:pPr>
      <w:r>
        <w:rPr>
          <w:rFonts w:ascii="Times New Roman" w:hAnsi="Times New Roman"/>
          <w:b w:val="0"/>
          <w:i/>
          <w:sz w:val="24"/>
        </w:rPr>
        <w:t>• Self-efficacy measures</w:t>
      </w:r>
      <w:r>
        <w:rPr>
          <w:rFonts w:ascii="Times New Roman" w:hAnsi="Times New Roman"/>
          <w:b w:val="0"/>
          <w:i w:val="0"/>
          <w:sz w:val="24"/>
        </w:rPr>
        <w:t>: Domain-specific self-efficacy (e.g., writing self-efficacy, programming self-efficacy) or general academic self-efficacy scales based on Bandura's (1997) framework</w:t>
      </w:r>
    </w:p>
    <w:p>
      <w:pPr>
        <w:spacing w:line="480" w:lineRule="auto" w:before="0" w:after="0"/>
        <w:ind w:left="720" w:hanging="360"/>
        <w:jc w:val="left"/>
      </w:pPr>
      <w:r>
        <w:rPr>
          <w:rFonts w:ascii="Times New Roman" w:hAnsi="Times New Roman"/>
          <w:b w:val="0"/>
          <w:i/>
          <w:sz w:val="24"/>
        </w:rPr>
        <w:t>• Attitude measures</w:t>
      </w:r>
      <w:r>
        <w:rPr>
          <w:rFonts w:ascii="Times New Roman" w:hAnsi="Times New Roman"/>
          <w:b w:val="0"/>
          <w:i w:val="0"/>
          <w:sz w:val="24"/>
        </w:rPr>
        <w:t>: Attitudes toward subject matter, technology acceptance (TAM constructs: perceived usefulness, perceived ease of use), or learning approach preferences</w:t>
      </w:r>
    </w:p>
    <w:p>
      <w:pPr>
        <w:spacing w:line="480" w:lineRule="auto" w:before="0" w:after="0"/>
        <w:ind w:left="720" w:hanging="360"/>
        <w:jc w:val="left"/>
      </w:pPr>
      <w:r>
        <w:rPr>
          <w:rFonts w:ascii="Times New Roman" w:hAnsi="Times New Roman"/>
          <w:b w:val="0"/>
          <w:i/>
          <w:sz w:val="24"/>
        </w:rPr>
        <w:t>• Satisfaction scales</w:t>
      </w:r>
      <w:r>
        <w:rPr>
          <w:rFonts w:ascii="Times New Roman" w:hAnsi="Times New Roman"/>
          <w:b w:val="0"/>
          <w:i w:val="0"/>
          <w:sz w:val="24"/>
        </w:rPr>
        <w:t>: Learner satisfaction with instruction, course evaluation items, or user experience questionnaires</w:t>
      </w:r>
    </w:p>
    <w:p>
      <w:pPr>
        <w:spacing w:line="480" w:lineRule="auto" w:before="0" w:after="0"/>
        <w:ind w:left="720" w:hanging="360"/>
        <w:jc w:val="left"/>
      </w:pPr>
      <w:r>
        <w:rPr>
          <w:rFonts w:ascii="Times New Roman" w:hAnsi="Times New Roman"/>
          <w:b w:val="0"/>
          <w:i/>
          <w:sz w:val="24"/>
        </w:rPr>
        <w:t>• Anxiety measures</w:t>
      </w:r>
      <w:r>
        <w:rPr>
          <w:rFonts w:ascii="Times New Roman" w:hAnsi="Times New Roman"/>
          <w:b w:val="0"/>
          <w:i w:val="0"/>
          <w:sz w:val="24"/>
        </w:rPr>
        <w:t>: Test anxiety, foreign language anxiety (FLCAS), or computer anxiety scales (reverse-coded so higher scores indicate more positive affect)</w:t>
      </w:r>
    </w:p>
    <w:p>
      <w:pPr>
        <w:spacing w:line="480" w:lineRule="auto" w:before="0" w:after="0"/>
        <w:ind w:firstLine="720"/>
        <w:jc w:val="left"/>
      </w:pPr>
      <w:r>
        <w:rPr>
          <w:rFonts w:ascii="Times New Roman" w:hAnsi="Times New Roman"/>
          <w:b/>
          <w:i w:val="0"/>
          <w:sz w:val="24"/>
        </w:rPr>
        <w:t>Behavioral Outcomes</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16 studies, </w:t>
      </w:r>
      <w:r>
        <w:rPr>
          <w:rFonts w:ascii="Times New Roman" w:hAnsi="Times New Roman"/>
          <w:b w:val="0"/>
          <w:i/>
          <w:sz w:val="24"/>
        </w:rPr>
        <w:t>n</w:t>
      </w:r>
      <w:r>
        <w:rPr>
          <w:rFonts w:ascii="Times New Roman" w:hAnsi="Times New Roman"/>
          <w:b w:val="0"/>
          <w:i w:val="0"/>
          <w:sz w:val="24"/>
        </w:rPr>
        <w:t xml:space="preserve"> = 34 effect sizes) measured observable learning behaviors and engagement patterns. Specific measure types included:</w:t>
      </w:r>
    </w:p>
    <w:p>
      <w:pPr>
        <w:spacing w:line="480" w:lineRule="auto" w:before="0" w:after="0"/>
        <w:ind w:left="720" w:hanging="360"/>
        <w:jc w:val="left"/>
      </w:pPr>
      <w:r>
        <w:rPr>
          <w:rFonts w:ascii="Times New Roman" w:hAnsi="Times New Roman"/>
          <w:b w:val="0"/>
          <w:i/>
          <w:sz w:val="24"/>
        </w:rPr>
        <w:t>• Time-on-task</w:t>
      </w:r>
      <w:r>
        <w:rPr>
          <w:rFonts w:ascii="Times New Roman" w:hAnsi="Times New Roman"/>
          <w:b w:val="0"/>
          <w:i w:val="0"/>
          <w:sz w:val="24"/>
        </w:rPr>
        <w:t>: Duration of engagement with learning materials captured through learning management system (LMS) logs, screen recording, or structured observation</w:t>
      </w:r>
    </w:p>
    <w:p>
      <w:pPr>
        <w:spacing w:line="480" w:lineRule="auto" w:before="0" w:after="0"/>
        <w:ind w:left="720" w:hanging="360"/>
        <w:jc w:val="left"/>
      </w:pPr>
      <w:r>
        <w:rPr>
          <w:rFonts w:ascii="Times New Roman" w:hAnsi="Times New Roman"/>
          <w:b w:val="0"/>
          <w:i/>
          <w:sz w:val="24"/>
        </w:rPr>
        <w:t>• Participation metrics</w:t>
      </w:r>
      <w:r>
        <w:rPr>
          <w:rFonts w:ascii="Times New Roman" w:hAnsi="Times New Roman"/>
          <w:b w:val="0"/>
          <w:i w:val="0"/>
          <w:sz w:val="24"/>
        </w:rPr>
        <w:t>: Frequency of discussion forum contributions, questions asked during instruction, or peer interaction frequency</w:t>
      </w:r>
    </w:p>
    <w:p>
      <w:pPr>
        <w:spacing w:line="480" w:lineRule="auto" w:before="0" w:after="0"/>
        <w:ind w:left="720" w:hanging="360"/>
        <w:jc w:val="left"/>
      </w:pPr>
      <w:r>
        <w:rPr>
          <w:rFonts w:ascii="Times New Roman" w:hAnsi="Times New Roman"/>
          <w:b w:val="0"/>
          <w:i/>
          <w:sz w:val="24"/>
        </w:rPr>
        <w:t>• Help-seeking behaviors</w:t>
      </w:r>
      <w:r>
        <w:rPr>
          <w:rFonts w:ascii="Times New Roman" w:hAnsi="Times New Roman"/>
          <w:b w:val="0"/>
          <w:i w:val="0"/>
          <w:sz w:val="24"/>
        </w:rPr>
        <w:t>: Frequency and appropriateness of seeking assistance from instructors, peers, or AI tools</w:t>
      </w:r>
    </w:p>
    <w:p>
      <w:pPr>
        <w:spacing w:line="480" w:lineRule="auto" w:before="0" w:after="0"/>
        <w:ind w:left="720" w:hanging="360"/>
        <w:jc w:val="left"/>
      </w:pPr>
      <w:r>
        <w:rPr>
          <w:rFonts w:ascii="Times New Roman" w:hAnsi="Times New Roman"/>
          <w:b w:val="0"/>
          <w:i/>
          <w:sz w:val="24"/>
        </w:rPr>
        <w:t>• Study behaviors</w:t>
      </w:r>
      <w:r>
        <w:rPr>
          <w:rFonts w:ascii="Times New Roman" w:hAnsi="Times New Roman"/>
          <w:b w:val="0"/>
          <w:i w:val="0"/>
          <w:sz w:val="24"/>
        </w:rPr>
        <w:t>: Observed or system-logged study strategies including resource access patterns, practice frequency, and revision behaviors</w:t>
      </w:r>
    </w:p>
    <w:p>
      <w:pPr>
        <w:spacing w:line="480" w:lineRule="auto" w:before="0" w:after="0"/>
        <w:ind w:left="720" w:hanging="360"/>
        <w:jc w:val="left"/>
      </w:pPr>
      <w:r>
        <w:rPr>
          <w:rFonts w:ascii="Times New Roman" w:hAnsi="Times New Roman"/>
          <w:b w:val="0"/>
          <w:i/>
          <w:sz w:val="24"/>
        </w:rPr>
        <w:t>• Completion and persistence</w:t>
      </w:r>
      <w:r>
        <w:rPr>
          <w:rFonts w:ascii="Times New Roman" w:hAnsi="Times New Roman"/>
          <w:b w:val="0"/>
          <w:i w:val="0"/>
          <w:sz w:val="24"/>
        </w:rPr>
        <w:t>: Assignment submission rates, course completion, and dropout/persistence indicators</w:t>
      </w:r>
    </w:p>
    <w:p>
      <w:pPr>
        <w:spacing w:line="480" w:lineRule="auto" w:before="0" w:after="0"/>
        <w:ind w:firstLine="0"/>
        <w:jc w:val="left"/>
      </w:pPr>
      <w:r>
        <w:rPr>
          <w:rFonts w:ascii="Times New Roman" w:hAnsi="Times New Roman"/>
          <w:b/>
          <w:i/>
          <w:sz w:val="24"/>
        </w:rPr>
        <w:t>Coding Decision Rules for Outcome Classification</w:t>
      </w:r>
    </w:p>
    <w:p>
      <w:pPr>
        <w:spacing w:line="480" w:lineRule="auto" w:before="0" w:after="0"/>
        <w:ind w:firstLine="720"/>
        <w:jc w:val="left"/>
      </w:pPr>
      <w:r>
        <w:rPr>
          <w:rFonts w:ascii="Times New Roman" w:hAnsi="Times New Roman"/>
          <w:b w:val="0"/>
          <w:i w:val="0"/>
          <w:sz w:val="24"/>
        </w:rPr>
        <w:t>When outcomes could potentially fit multiple categories, the following hierarchical decision rules were applied to ensure consistent classification:</w:t>
      </w:r>
    </w:p>
    <w:p>
      <w:pPr>
        <w:spacing w:line="480" w:lineRule="auto" w:before="0" w:after="0"/>
        <w:ind w:left="720" w:hanging="360"/>
        <w:jc w:val="left"/>
      </w:pPr>
      <w:r>
        <w:rPr>
          <w:rFonts w:ascii="Times New Roman" w:hAnsi="Times New Roman"/>
          <w:b/>
          <w:i w:val="0"/>
          <w:sz w:val="24"/>
        </w:rPr>
        <w:t>1. Primary construct focus</w:t>
      </w:r>
      <w:r>
        <w:rPr>
          <w:rFonts w:ascii="Times New Roman" w:hAnsi="Times New Roman"/>
          <w:b w:val="0"/>
          <w:i w:val="0"/>
          <w:sz w:val="24"/>
        </w:rPr>
        <w:t>: Classification was based on the primary construct the measure was designed to assess, as stated by original instrument developers or study authors.</w:t>
      </w:r>
    </w:p>
    <w:p>
      <w:pPr>
        <w:spacing w:line="480" w:lineRule="auto" w:before="0" w:after="0"/>
        <w:ind w:left="720" w:hanging="360"/>
        <w:jc w:val="left"/>
      </w:pPr>
      <w:r>
        <w:rPr>
          <w:rFonts w:ascii="Times New Roman" w:hAnsi="Times New Roman"/>
          <w:b/>
          <w:i w:val="0"/>
          <w:sz w:val="24"/>
        </w:rPr>
        <w:t>2. Metacognitive vs. Cognitive distinction</w:t>
      </w:r>
      <w:r>
        <w:rPr>
          <w:rFonts w:ascii="Times New Roman" w:hAnsi="Times New Roman"/>
          <w:b w:val="0"/>
          <w:i w:val="0"/>
          <w:sz w:val="24"/>
        </w:rPr>
        <w:t xml:space="preserve">: Outcomes measuring </w:t>
      </w:r>
      <w:r>
        <w:rPr>
          <w:rFonts w:ascii="Times New Roman" w:hAnsi="Times New Roman"/>
          <w:b w:val="0"/>
          <w:i/>
          <w:sz w:val="24"/>
        </w:rPr>
        <w:t>awareness of</w:t>
      </w:r>
      <w:r>
        <w:rPr>
          <w:rFonts w:ascii="Times New Roman" w:hAnsi="Times New Roman"/>
          <w:b w:val="0"/>
          <w:i w:val="0"/>
          <w:sz w:val="24"/>
        </w:rPr>
        <w:t xml:space="preserve"> or </w:t>
      </w:r>
      <w:r>
        <w:rPr>
          <w:rFonts w:ascii="Times New Roman" w:hAnsi="Times New Roman"/>
          <w:b w:val="0"/>
          <w:i/>
          <w:sz w:val="24"/>
        </w:rPr>
        <w:t>regulation of</w:t>
      </w:r>
      <w:r>
        <w:rPr>
          <w:rFonts w:ascii="Times New Roman" w:hAnsi="Times New Roman"/>
          <w:b w:val="0"/>
          <w:i w:val="0"/>
          <w:sz w:val="24"/>
        </w:rPr>
        <w:t xml:space="preserve"> cognitive processes were coded as metacognitive; outcomes measuring </w:t>
      </w:r>
      <w:r>
        <w:rPr>
          <w:rFonts w:ascii="Times New Roman" w:hAnsi="Times New Roman"/>
          <w:b w:val="0"/>
          <w:i/>
          <w:sz w:val="24"/>
        </w:rPr>
        <w:t>performance on</w:t>
      </w:r>
      <w:r>
        <w:rPr>
          <w:rFonts w:ascii="Times New Roman" w:hAnsi="Times New Roman"/>
          <w:b w:val="0"/>
          <w:i w:val="0"/>
          <w:sz w:val="24"/>
        </w:rPr>
        <w:t xml:space="preserve"> cognitive tasks were coded as cognitive. For example, a questionnaire item "I monitor my understanding while reading" was coded metacognitive, while a reading comprehension test score was coded cognitive.</w:t>
      </w:r>
    </w:p>
    <w:p>
      <w:pPr>
        <w:spacing w:line="480" w:lineRule="auto" w:before="0" w:after="0"/>
        <w:ind w:left="720" w:hanging="360"/>
        <w:jc w:val="left"/>
      </w:pPr>
      <w:r>
        <w:rPr>
          <w:rFonts w:ascii="Times New Roman" w:hAnsi="Times New Roman"/>
          <w:b/>
          <w:i w:val="0"/>
          <w:sz w:val="24"/>
        </w:rPr>
        <w:t>3. Affective vs. Metacognitive distinction</w:t>
      </w:r>
      <w:r>
        <w:rPr>
          <w:rFonts w:ascii="Times New Roman" w:hAnsi="Times New Roman"/>
          <w:b w:val="0"/>
          <w:i w:val="0"/>
          <w:sz w:val="24"/>
        </w:rPr>
        <w:t>: Motivational beliefs and emotional states (e.g., "I find this subject interesting," "I feel confident") were coded affective; strategic beliefs and regulatory behaviors (e.g., "I plan my study schedule," "I adjust my strategies when confused") were coded metacognitive.</w:t>
      </w:r>
    </w:p>
    <w:p>
      <w:pPr>
        <w:spacing w:line="480" w:lineRule="auto" w:before="0" w:after="0"/>
        <w:ind w:left="720" w:hanging="360"/>
        <w:jc w:val="left"/>
      </w:pPr>
      <w:r>
        <w:rPr>
          <w:rFonts w:ascii="Times New Roman" w:hAnsi="Times New Roman"/>
          <w:b/>
          <w:i w:val="0"/>
          <w:sz w:val="24"/>
        </w:rPr>
        <w:t>4. Behavioral vs. Self-report categories</w:t>
      </w:r>
      <w:r>
        <w:rPr>
          <w:rFonts w:ascii="Times New Roman" w:hAnsi="Times New Roman"/>
          <w:b w:val="0"/>
          <w:i w:val="0"/>
          <w:sz w:val="24"/>
        </w:rPr>
        <w:t>: Observable behaviors recorded through system logs, observation protocols, or behavioral traces were coded behavioral regardless of underlying construct. Self-reported behaviors on questionnaires were coded based on the underlying construct being assessed (e.g., self-reported motivation → affective; self-reported strategy use → metacognitive; self-reported study time without objective verification → excluded from behavioral, coded based on construct).</w:t>
      </w:r>
    </w:p>
    <w:p>
      <w:pPr>
        <w:spacing w:line="480" w:lineRule="auto" w:before="0" w:after="0"/>
        <w:ind w:left="720" w:hanging="360"/>
        <w:jc w:val="left"/>
      </w:pPr>
      <w:r>
        <w:rPr>
          <w:rFonts w:ascii="Times New Roman" w:hAnsi="Times New Roman"/>
          <w:b/>
          <w:i w:val="0"/>
          <w:sz w:val="24"/>
        </w:rPr>
        <w:t>5. Composite measures</w:t>
      </w:r>
      <w:r>
        <w:rPr>
          <w:rFonts w:ascii="Times New Roman" w:hAnsi="Times New Roman"/>
          <w:b w:val="0"/>
          <w:i w:val="0"/>
          <w:sz w:val="24"/>
        </w:rPr>
        <w:t>: For instruments yielding subscale scores (e.g., MSLQ with cognitive strategy, metacognitive self-regulation, and motivation subscales), each subscale was coded separately according to its target construct.</w:t>
      </w:r>
    </w:p>
    <w:p>
      <w:pPr>
        <w:spacing w:line="480" w:lineRule="auto" w:before="0" w:after="0"/>
        <w:ind w:left="720" w:hanging="360"/>
        <w:jc w:val="left"/>
      </w:pPr>
      <w:r>
        <w:rPr>
          <w:rFonts w:ascii="Times New Roman" w:hAnsi="Times New Roman"/>
          <w:b/>
          <w:i w:val="0"/>
          <w:sz w:val="24"/>
        </w:rPr>
        <w:t>6. Ambiguous cases</w:t>
      </w:r>
      <w:r>
        <w:rPr>
          <w:rFonts w:ascii="Times New Roman" w:hAnsi="Times New Roman"/>
          <w:b w:val="0"/>
          <w:i w:val="0"/>
          <w:sz w:val="24"/>
        </w:rPr>
        <w:t>: When classification remained unclear after applying rules 1–5, both coders discussed the case and reached consensus. If consensus could not be reached, a third reviewer adjudicated based on detailed examination of the original instrument and study context. Fewer than 5% of effect sizes (</w:t>
      </w:r>
      <w:r>
        <w:rPr>
          <w:rFonts w:ascii="Times New Roman" w:hAnsi="Times New Roman"/>
          <w:b w:val="0"/>
          <w:i/>
          <w:sz w:val="24"/>
        </w:rPr>
        <w:t>n</w:t>
      </w:r>
      <w:r>
        <w:rPr>
          <w:rFonts w:ascii="Times New Roman" w:hAnsi="Times New Roman"/>
          <w:b w:val="0"/>
          <w:i w:val="0"/>
          <w:sz w:val="24"/>
        </w:rPr>
        <w:t xml:space="preserve"> = 18) required third-reviewer adjudication.</w:t>
      </w:r>
    </w:p>
    <w:p>
      <w:pPr>
        <w:spacing w:line="480" w:lineRule="auto" w:before="0" w:after="0"/>
        <w:ind w:firstLine="720"/>
        <w:jc w:val="left"/>
      </w:pPr>
      <w:r>
        <w:rPr>
          <w:rFonts w:ascii="Times New Roman" w:hAnsi="Times New Roman"/>
          <w:b w:val="0"/>
          <w:i w:val="0"/>
          <w:sz w:val="24"/>
        </w:rPr>
        <w:t>Inter-rater reliability for outcome dimension coding was assessed on 30% of randomly selected studies (</w:t>
      </w:r>
      <w:r>
        <w:rPr>
          <w:rFonts w:ascii="Times New Roman" w:hAnsi="Times New Roman"/>
          <w:b w:val="0"/>
          <w:i/>
          <w:sz w:val="24"/>
        </w:rPr>
        <w:t>k</w:t>
      </w:r>
      <w:r>
        <w:rPr>
          <w:rFonts w:ascii="Times New Roman" w:hAnsi="Times New Roman"/>
          <w:b w:val="0"/>
          <w:i w:val="0"/>
          <w:sz w:val="24"/>
        </w:rPr>
        <w:t xml:space="preserve"> = 20), yielding Cohen's κ = 0.84 for the four-category classification scheme, indicating substantial agreement (Landis &amp; Koch, 1977).</w:t>
      </w:r>
    </w:p>
    <w:p>
      <w:pPr>
        <w:spacing w:line="480" w:lineRule="auto" w:before="240" w:after="0"/>
        <w:ind w:firstLine="0"/>
        <w:jc w:val="left"/>
      </w:pPr>
      <w:r>
        <w:rPr>
          <w:rFonts w:ascii="Times New Roman" w:hAnsi="Times New Roman"/>
          <w:b/>
          <w:i w:val="0"/>
          <w:sz w:val="24"/>
        </w:rPr>
        <w:t>Table 1. Distribution of Effect Sizes by Outcome Dimension and Measure Type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Dimension</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Measure Type</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*n* (ES)</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*k* (Studies)</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Representative Instruments</w:t>
            </w:r>
          </w:p>
        </w:tc>
      </w:tr>
      <w:tr>
        <w:tc>
          <w:tcPr>
            <w:tcW w:type="dxa" w:w="1872"/>
          </w:tcPr>
          <w:p>
            <w:pPr>
              <w:spacing w:line="480" w:lineRule="auto" w:before="20" w:after="20"/>
              <w:ind w:firstLine="0"/>
              <w:jc w:val="left"/>
            </w:pPr>
            <w:r/>
            <w:r>
              <w:rPr>
                <w:rFonts w:ascii="Times New Roman" w:hAnsi="Times New Roman"/>
                <w:b/>
                <w:i w:val="0"/>
                <w:sz w:val="20"/>
              </w:rPr>
              <w:t>Cognitive</w:t>
            </w:r>
          </w:p>
        </w:tc>
        <w:tc>
          <w:tcPr>
            <w:tcW w:type="dxa" w:w="1872"/>
          </w:tcPr>
          <w:p>
            <w:pPr>
              <w:spacing w:line="480" w:lineRule="auto" w:before="20" w:after="20"/>
              <w:ind w:firstLine="0"/>
              <w:jc w:val="center"/>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i w:val="0"/>
                <w:sz w:val="20"/>
              </w:rPr>
              <w:t>218</w:t>
            </w:r>
          </w:p>
        </w:tc>
        <w:tc>
          <w:tcPr>
            <w:tcW w:type="dxa" w:w="1872"/>
          </w:tcPr>
          <w:p>
            <w:pPr>
              <w:spacing w:line="480" w:lineRule="auto" w:before="20" w:after="20"/>
              <w:ind w:firstLine="0"/>
              <w:jc w:val="center"/>
            </w:pPr>
            <w:r/>
            <w:r>
              <w:rPr>
                <w:rFonts w:ascii="Times New Roman" w:hAnsi="Times New Roman"/>
                <w:b/>
                <w:i w:val="0"/>
                <w:sz w:val="20"/>
              </w:rPr>
              <w:t>58</w:t>
            </w:r>
          </w:p>
        </w:tc>
        <w:tc>
          <w:tcPr>
            <w:tcW w:type="dxa" w:w="1872"/>
          </w:tcPr>
          <w:p>
            <w:pPr>
              <w:spacing w:line="480" w:lineRule="auto" w:before="20" w:after="20"/>
              <w:ind w:firstLine="0"/>
              <w:jc w:val="center"/>
            </w:pPr>
            <w:r/>
            <w:r>
              <w:rPr>
                <w:rFonts w:ascii="Times New Roman" w:hAnsi="Times New Roman"/>
                <w:b w:val="0"/>
                <w:i w:val="0"/>
                <w:sz w:val="20"/>
              </w:rPr>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Standardized achievement tests</w:t>
            </w:r>
          </w:p>
        </w:tc>
        <w:tc>
          <w:tcPr>
            <w:tcW w:type="dxa" w:w="1872"/>
          </w:tcPr>
          <w:p>
            <w:pPr>
              <w:spacing w:line="480" w:lineRule="auto" w:before="20" w:after="20"/>
              <w:ind w:firstLine="0"/>
              <w:jc w:val="center"/>
            </w:pPr>
            <w:r/>
            <w:r>
              <w:rPr>
                <w:rFonts w:ascii="Times New Roman" w:hAnsi="Times New Roman"/>
                <w:b w:val="0"/>
                <w:i w:val="0"/>
                <w:sz w:val="20"/>
              </w:rPr>
              <w:t>67</w:t>
            </w:r>
          </w:p>
        </w:tc>
        <w:tc>
          <w:tcPr>
            <w:tcW w:type="dxa" w:w="1872"/>
          </w:tcPr>
          <w:p>
            <w:pPr>
              <w:spacing w:line="480" w:lineRule="auto" w:before="20" w:after="20"/>
              <w:ind w:firstLine="0"/>
              <w:jc w:val="center"/>
            </w:pPr>
            <w:r/>
            <w:r>
              <w:rPr>
                <w:rFonts w:ascii="Times New Roman" w:hAnsi="Times New Roman"/>
                <w:b w:val="0"/>
                <w:i w:val="0"/>
                <w:sz w:val="20"/>
              </w:rPr>
              <w:t>22</w:t>
            </w:r>
          </w:p>
        </w:tc>
        <w:tc>
          <w:tcPr>
            <w:tcW w:type="dxa" w:w="1872"/>
          </w:tcPr>
          <w:p>
            <w:pPr>
              <w:spacing w:line="480" w:lineRule="auto" w:before="20" w:after="20"/>
              <w:ind w:firstLine="0"/>
              <w:jc w:val="center"/>
            </w:pPr>
            <w:r/>
            <w:r>
              <w:rPr>
                <w:rFonts w:ascii="Times New Roman" w:hAnsi="Times New Roman"/>
                <w:b w:val="0"/>
                <w:i w:val="0"/>
                <w:sz w:val="20"/>
              </w:rPr>
              <w:t>USMLE items, TOEFL/IELTS, AP exams</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Course examinations</w:t>
            </w:r>
          </w:p>
        </w:tc>
        <w:tc>
          <w:tcPr>
            <w:tcW w:type="dxa" w:w="1872"/>
          </w:tcPr>
          <w:p>
            <w:pPr>
              <w:spacing w:line="480" w:lineRule="auto" w:before="20" w:after="20"/>
              <w:ind w:firstLine="0"/>
              <w:jc w:val="center"/>
            </w:pPr>
            <w:r/>
            <w:r>
              <w:rPr>
                <w:rFonts w:ascii="Times New Roman" w:hAnsi="Times New Roman"/>
                <w:b w:val="0"/>
                <w:i w:val="0"/>
                <w:sz w:val="20"/>
              </w:rPr>
              <w:t>89</w:t>
            </w:r>
          </w:p>
        </w:tc>
        <w:tc>
          <w:tcPr>
            <w:tcW w:type="dxa" w:w="1872"/>
          </w:tcPr>
          <w:p>
            <w:pPr>
              <w:spacing w:line="480" w:lineRule="auto" w:before="20" w:after="20"/>
              <w:ind w:firstLine="0"/>
              <w:jc w:val="center"/>
            </w:pPr>
            <w:r/>
            <w:r>
              <w:rPr>
                <w:rFonts w:ascii="Times New Roman" w:hAnsi="Times New Roman"/>
                <w:b w:val="0"/>
                <w:i w:val="0"/>
                <w:sz w:val="20"/>
              </w:rPr>
              <w:t>38</w:t>
            </w:r>
          </w:p>
        </w:tc>
        <w:tc>
          <w:tcPr>
            <w:tcW w:type="dxa" w:w="1872"/>
          </w:tcPr>
          <w:p>
            <w:pPr>
              <w:spacing w:line="480" w:lineRule="auto" w:before="20" w:after="20"/>
              <w:ind w:firstLine="0"/>
              <w:jc w:val="center"/>
            </w:pPr>
            <w:r/>
            <w:r>
              <w:rPr>
                <w:rFonts w:ascii="Times New Roman" w:hAnsi="Times New Roman"/>
                <w:b w:val="0"/>
                <w:i w:val="0"/>
                <w:sz w:val="20"/>
              </w:rPr>
              <w:t>Instructor-developed tests (MC, essay)</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Performance-based assessments</w:t>
            </w:r>
          </w:p>
        </w:tc>
        <w:tc>
          <w:tcPr>
            <w:tcW w:type="dxa" w:w="1872"/>
          </w:tcPr>
          <w:p>
            <w:pPr>
              <w:spacing w:line="480" w:lineRule="auto" w:before="20" w:after="20"/>
              <w:ind w:firstLine="0"/>
              <w:jc w:val="center"/>
            </w:pPr>
            <w:r/>
            <w:r>
              <w:rPr>
                <w:rFonts w:ascii="Times New Roman" w:hAnsi="Times New Roman"/>
                <w:b w:val="0"/>
                <w:i w:val="0"/>
                <w:sz w:val="20"/>
              </w:rPr>
              <w:t>41</w:t>
            </w:r>
          </w:p>
        </w:tc>
        <w:tc>
          <w:tcPr>
            <w:tcW w:type="dxa" w:w="1872"/>
          </w:tcPr>
          <w:p>
            <w:pPr>
              <w:spacing w:line="480" w:lineRule="auto" w:before="20" w:after="20"/>
              <w:ind w:firstLine="0"/>
              <w:jc w:val="center"/>
            </w:pPr>
            <w:r/>
            <w:r>
              <w:rPr>
                <w:rFonts w:ascii="Times New Roman" w:hAnsi="Times New Roman"/>
                <w:b w:val="0"/>
                <w:i w:val="0"/>
                <w:sz w:val="20"/>
              </w:rPr>
              <w:t>19</w:t>
            </w:r>
          </w:p>
        </w:tc>
        <w:tc>
          <w:tcPr>
            <w:tcW w:type="dxa" w:w="1872"/>
          </w:tcPr>
          <w:p>
            <w:pPr>
              <w:spacing w:line="480" w:lineRule="auto" w:before="20" w:after="20"/>
              <w:ind w:firstLine="0"/>
              <w:jc w:val="center"/>
            </w:pPr>
            <w:r/>
            <w:r>
              <w:rPr>
                <w:rFonts w:ascii="Times New Roman" w:hAnsi="Times New Roman"/>
                <w:b w:val="0"/>
                <w:i w:val="0"/>
                <w:sz w:val="20"/>
              </w:rPr>
              <w:t>Coding projects, writing rubrics, clinical cases</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Knowledge tests</w:t>
            </w:r>
          </w:p>
        </w:tc>
        <w:tc>
          <w:tcPr>
            <w:tcW w:type="dxa" w:w="1872"/>
          </w:tcPr>
          <w:p>
            <w:pPr>
              <w:spacing w:line="480" w:lineRule="auto" w:before="20" w:after="20"/>
              <w:ind w:firstLine="0"/>
              <w:jc w:val="center"/>
            </w:pPr>
            <w:r/>
            <w:r>
              <w:rPr>
                <w:rFonts w:ascii="Times New Roman" w:hAnsi="Times New Roman"/>
                <w:b w:val="0"/>
                <w:i w:val="0"/>
                <w:sz w:val="20"/>
              </w:rPr>
              <w:t>21</w:t>
            </w:r>
          </w:p>
        </w:tc>
        <w:tc>
          <w:tcPr>
            <w:tcW w:type="dxa" w:w="1872"/>
          </w:tcPr>
          <w:p>
            <w:pPr>
              <w:spacing w:line="480" w:lineRule="auto" w:before="20" w:after="20"/>
              <w:ind w:firstLine="0"/>
              <w:jc w:val="center"/>
            </w:pPr>
            <w:r/>
            <w:r>
              <w:rPr>
                <w:rFonts w:ascii="Times New Roman" w:hAnsi="Times New Roman"/>
                <w:b w:val="0"/>
                <w:i w:val="0"/>
                <w:sz w:val="20"/>
              </w:rPr>
              <w:t>12</w:t>
            </w:r>
          </w:p>
        </w:tc>
        <w:tc>
          <w:tcPr>
            <w:tcW w:type="dxa" w:w="1872"/>
          </w:tcPr>
          <w:p>
            <w:pPr>
              <w:spacing w:line="480" w:lineRule="auto" w:before="20" w:after="20"/>
              <w:ind w:firstLine="0"/>
              <w:jc w:val="center"/>
            </w:pPr>
            <w:r/>
            <w:r>
              <w:rPr>
                <w:rFonts w:ascii="Times New Roman" w:hAnsi="Times New Roman"/>
                <w:b w:val="0"/>
                <w:i w:val="0"/>
                <w:sz w:val="20"/>
              </w:rPr>
              <w:t>Study-developed pre/post tests</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sz w:val="20"/>
              </w:rPr>
              <w:t>Lower-order (remember, understand, apply)</w:t>
            </w:r>
          </w:p>
        </w:tc>
        <w:tc>
          <w:tcPr>
            <w:tcW w:type="dxa" w:w="1872"/>
          </w:tcPr>
          <w:p>
            <w:pPr>
              <w:spacing w:line="480" w:lineRule="auto" w:before="20" w:after="20"/>
              <w:ind w:firstLine="0"/>
              <w:jc w:val="center"/>
            </w:pPr>
            <w:r/>
            <w:r>
              <w:rPr>
                <w:rFonts w:ascii="Times New Roman" w:hAnsi="Times New Roman"/>
                <w:b w:val="0"/>
                <w:i/>
                <w:sz w:val="20"/>
              </w:rPr>
              <w:t>112</w:t>
            </w:r>
          </w:p>
        </w:tc>
        <w:tc>
          <w:tcPr>
            <w:tcW w:type="dxa" w:w="1872"/>
          </w:tcPr>
          <w:p>
            <w:pPr>
              <w:spacing w:line="480" w:lineRule="auto" w:before="20" w:after="20"/>
              <w:ind w:firstLine="0"/>
              <w:jc w:val="center"/>
            </w:pPr>
            <w:r/>
            <w:r>
              <w:rPr>
                <w:rFonts w:ascii="Times New Roman" w:hAnsi="Times New Roman"/>
                <w:b w:val="0"/>
                <w:i/>
                <w:sz w:val="20"/>
              </w:rPr>
              <w:t>42</w:t>
            </w:r>
          </w:p>
        </w:tc>
        <w:tc>
          <w:tcPr>
            <w:tcW w:type="dxa" w:w="1872"/>
          </w:tcPr>
          <w:p>
            <w:pPr>
              <w:spacing w:line="480" w:lineRule="auto" w:before="20" w:after="20"/>
              <w:ind w:firstLine="0"/>
              <w:jc w:val="center"/>
            </w:pPr>
            <w:r/>
            <w:r>
              <w:rPr>
                <w:rFonts w:ascii="Times New Roman" w:hAnsi="Times New Roman"/>
                <w:b w:val="0"/>
                <w:i w:val="0"/>
                <w:sz w:val="20"/>
              </w:rPr>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sz w:val="20"/>
              </w:rPr>
              <w:t>Higher-order (analyze, evaluate, create)</w:t>
            </w:r>
          </w:p>
        </w:tc>
        <w:tc>
          <w:tcPr>
            <w:tcW w:type="dxa" w:w="1872"/>
          </w:tcPr>
          <w:p>
            <w:pPr>
              <w:spacing w:line="480" w:lineRule="auto" w:before="20" w:after="20"/>
              <w:ind w:firstLine="0"/>
              <w:jc w:val="center"/>
            </w:pPr>
            <w:r/>
            <w:r>
              <w:rPr>
                <w:rFonts w:ascii="Times New Roman" w:hAnsi="Times New Roman"/>
                <w:b w:val="0"/>
                <w:i/>
                <w:sz w:val="20"/>
              </w:rPr>
              <w:t>87</w:t>
            </w:r>
          </w:p>
        </w:tc>
        <w:tc>
          <w:tcPr>
            <w:tcW w:type="dxa" w:w="1872"/>
          </w:tcPr>
          <w:p>
            <w:pPr>
              <w:spacing w:line="480" w:lineRule="auto" w:before="20" w:after="20"/>
              <w:ind w:firstLine="0"/>
              <w:jc w:val="center"/>
            </w:pPr>
            <w:r/>
            <w:r>
              <w:rPr>
                <w:rFonts w:ascii="Times New Roman" w:hAnsi="Times New Roman"/>
                <w:b w:val="0"/>
                <w:i/>
                <w:sz w:val="20"/>
              </w:rPr>
              <w:t>31</w:t>
            </w:r>
          </w:p>
        </w:tc>
        <w:tc>
          <w:tcPr>
            <w:tcW w:type="dxa" w:w="1872"/>
          </w:tcPr>
          <w:p>
            <w:pPr>
              <w:spacing w:line="480" w:lineRule="auto" w:before="20" w:after="20"/>
              <w:ind w:firstLine="0"/>
              <w:jc w:val="center"/>
            </w:pPr>
            <w:r/>
            <w:r>
              <w:rPr>
                <w:rFonts w:ascii="Times New Roman" w:hAnsi="Times New Roman"/>
                <w:b w:val="0"/>
                <w:i w:val="0"/>
                <w:sz w:val="20"/>
              </w:rPr>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sz w:val="20"/>
              </w:rPr>
              <w:t>Mixed/unclassified</w:t>
            </w:r>
          </w:p>
        </w:tc>
        <w:tc>
          <w:tcPr>
            <w:tcW w:type="dxa" w:w="1872"/>
          </w:tcPr>
          <w:p>
            <w:pPr>
              <w:spacing w:line="480" w:lineRule="auto" w:before="20" w:after="20"/>
              <w:ind w:firstLine="0"/>
              <w:jc w:val="center"/>
            </w:pPr>
            <w:r/>
            <w:r>
              <w:rPr>
                <w:rFonts w:ascii="Times New Roman" w:hAnsi="Times New Roman"/>
                <w:b w:val="0"/>
                <w:i/>
                <w:sz w:val="20"/>
              </w:rPr>
              <w:t>19</w:t>
            </w:r>
          </w:p>
        </w:tc>
        <w:tc>
          <w:tcPr>
            <w:tcW w:type="dxa" w:w="1872"/>
          </w:tcPr>
          <w:p>
            <w:pPr>
              <w:spacing w:line="480" w:lineRule="auto" w:before="20" w:after="20"/>
              <w:ind w:firstLine="0"/>
              <w:jc w:val="center"/>
            </w:pPr>
            <w:r/>
            <w:r>
              <w:rPr>
                <w:rFonts w:ascii="Times New Roman" w:hAnsi="Times New Roman"/>
                <w:b w:val="0"/>
                <w:i/>
                <w:sz w:val="20"/>
              </w:rPr>
              <w:t>8</w:t>
            </w:r>
          </w:p>
        </w:tc>
        <w:tc>
          <w:tcPr>
            <w:tcW w:type="dxa" w:w="1872"/>
          </w:tcPr>
          <w:p>
            <w:pPr>
              <w:spacing w:line="480" w:lineRule="auto" w:before="20" w:after="20"/>
              <w:ind w:firstLine="0"/>
              <w:jc w:val="center"/>
            </w:pPr>
            <w:r/>
            <w:r>
              <w:rPr>
                <w:rFonts w:ascii="Times New Roman" w:hAnsi="Times New Roman"/>
                <w:b w:val="0"/>
                <w:i w:val="0"/>
                <w:sz w:val="20"/>
              </w:rPr>
            </w:r>
          </w:p>
        </w:tc>
      </w:tr>
      <w:tr>
        <w:tc>
          <w:tcPr>
            <w:tcW w:type="dxa" w:w="1872"/>
          </w:tcPr>
          <w:p>
            <w:pPr>
              <w:spacing w:line="480" w:lineRule="auto" w:before="20" w:after="20"/>
              <w:ind w:firstLine="0"/>
              <w:jc w:val="left"/>
            </w:pPr>
            <w:r/>
            <w:r>
              <w:rPr>
                <w:rFonts w:ascii="Times New Roman" w:hAnsi="Times New Roman"/>
                <w:b/>
                <w:i w:val="0"/>
                <w:sz w:val="20"/>
              </w:rPr>
              <w:t>Affective</w:t>
            </w:r>
          </w:p>
        </w:tc>
        <w:tc>
          <w:tcPr>
            <w:tcW w:type="dxa" w:w="1872"/>
          </w:tcPr>
          <w:p>
            <w:pPr>
              <w:spacing w:line="480" w:lineRule="auto" w:before="20" w:after="20"/>
              <w:ind w:firstLine="0"/>
              <w:jc w:val="center"/>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i w:val="0"/>
                <w:sz w:val="20"/>
              </w:rPr>
              <w:t>89</w:t>
            </w:r>
          </w:p>
        </w:tc>
        <w:tc>
          <w:tcPr>
            <w:tcW w:type="dxa" w:w="1872"/>
          </w:tcPr>
          <w:p>
            <w:pPr>
              <w:spacing w:line="480" w:lineRule="auto" w:before="20" w:after="20"/>
              <w:ind w:firstLine="0"/>
              <w:jc w:val="center"/>
            </w:pPr>
            <w:r/>
            <w:r>
              <w:rPr>
                <w:rFonts w:ascii="Times New Roman" w:hAnsi="Times New Roman"/>
                <w:b/>
                <w:i w:val="0"/>
                <w:sz w:val="20"/>
              </w:rPr>
              <w:t>28</w:t>
            </w:r>
          </w:p>
        </w:tc>
        <w:tc>
          <w:tcPr>
            <w:tcW w:type="dxa" w:w="1872"/>
          </w:tcPr>
          <w:p>
            <w:pPr>
              <w:spacing w:line="480" w:lineRule="auto" w:before="20" w:after="20"/>
              <w:ind w:firstLine="0"/>
              <w:jc w:val="center"/>
            </w:pPr>
            <w:r/>
            <w:r>
              <w:rPr>
                <w:rFonts w:ascii="Times New Roman" w:hAnsi="Times New Roman"/>
                <w:b w:val="0"/>
                <w:i w:val="0"/>
                <w:sz w:val="20"/>
              </w:rPr>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Motivation scales</w:t>
            </w:r>
          </w:p>
        </w:tc>
        <w:tc>
          <w:tcPr>
            <w:tcW w:type="dxa" w:w="1872"/>
          </w:tcPr>
          <w:p>
            <w:pPr>
              <w:spacing w:line="480" w:lineRule="auto" w:before="20" w:after="20"/>
              <w:ind w:firstLine="0"/>
              <w:jc w:val="center"/>
            </w:pPr>
            <w:r/>
            <w:r>
              <w:rPr>
                <w:rFonts w:ascii="Times New Roman" w:hAnsi="Times New Roman"/>
                <w:b w:val="0"/>
                <w:i w:val="0"/>
                <w:sz w:val="20"/>
              </w:rPr>
              <w:t>28</w:t>
            </w:r>
          </w:p>
        </w:tc>
        <w:tc>
          <w:tcPr>
            <w:tcW w:type="dxa" w:w="1872"/>
          </w:tcPr>
          <w:p>
            <w:pPr>
              <w:spacing w:line="480" w:lineRule="auto" w:before="20" w:after="20"/>
              <w:ind w:firstLine="0"/>
              <w:jc w:val="center"/>
            </w:pPr>
            <w:r/>
            <w:r>
              <w:rPr>
                <w:rFonts w:ascii="Times New Roman" w:hAnsi="Times New Roman"/>
                <w:b w:val="0"/>
                <w:i w:val="0"/>
                <w:sz w:val="20"/>
              </w:rPr>
              <w:t>14</w:t>
            </w:r>
          </w:p>
        </w:tc>
        <w:tc>
          <w:tcPr>
            <w:tcW w:type="dxa" w:w="1872"/>
          </w:tcPr>
          <w:p>
            <w:pPr>
              <w:spacing w:line="480" w:lineRule="auto" w:before="20" w:after="20"/>
              <w:ind w:firstLine="0"/>
              <w:jc w:val="center"/>
            </w:pPr>
            <w:r/>
            <w:r>
              <w:rPr>
                <w:rFonts w:ascii="Times New Roman" w:hAnsi="Times New Roman"/>
                <w:b w:val="0"/>
                <w:i w:val="0"/>
                <w:sz w:val="20"/>
              </w:rPr>
              <w:t>MSLQ motivation subscales, AMS, IMI</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Self-efficacy measures</w:t>
            </w:r>
          </w:p>
        </w:tc>
        <w:tc>
          <w:tcPr>
            <w:tcW w:type="dxa" w:w="1872"/>
          </w:tcPr>
          <w:p>
            <w:pPr>
              <w:spacing w:line="480" w:lineRule="auto" w:before="20" w:after="20"/>
              <w:ind w:firstLine="0"/>
              <w:jc w:val="center"/>
            </w:pPr>
            <w:r/>
            <w:r>
              <w:rPr>
                <w:rFonts w:ascii="Times New Roman" w:hAnsi="Times New Roman"/>
                <w:b w:val="0"/>
                <w:i w:val="0"/>
                <w:sz w:val="20"/>
              </w:rPr>
              <w:t>24</w:t>
            </w:r>
          </w:p>
        </w:tc>
        <w:tc>
          <w:tcPr>
            <w:tcW w:type="dxa" w:w="1872"/>
          </w:tcPr>
          <w:p>
            <w:pPr>
              <w:spacing w:line="480" w:lineRule="auto" w:before="20" w:after="20"/>
              <w:ind w:firstLine="0"/>
              <w:jc w:val="center"/>
            </w:pPr>
            <w:r/>
            <w:r>
              <w:rPr>
                <w:rFonts w:ascii="Times New Roman" w:hAnsi="Times New Roman"/>
                <w:b w:val="0"/>
                <w:i w:val="0"/>
                <w:sz w:val="20"/>
              </w:rPr>
              <w:t>13</w:t>
            </w:r>
          </w:p>
        </w:tc>
        <w:tc>
          <w:tcPr>
            <w:tcW w:type="dxa" w:w="1872"/>
          </w:tcPr>
          <w:p>
            <w:pPr>
              <w:spacing w:line="480" w:lineRule="auto" w:before="20" w:after="20"/>
              <w:ind w:firstLine="0"/>
              <w:jc w:val="center"/>
            </w:pPr>
            <w:r/>
            <w:r>
              <w:rPr>
                <w:rFonts w:ascii="Times New Roman" w:hAnsi="Times New Roman"/>
                <w:b w:val="0"/>
                <w:i w:val="0"/>
                <w:sz w:val="20"/>
              </w:rPr>
              <w:t>Domain-specific SE scales, GSES</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Attitude measures</w:t>
            </w:r>
          </w:p>
        </w:tc>
        <w:tc>
          <w:tcPr>
            <w:tcW w:type="dxa" w:w="1872"/>
          </w:tcPr>
          <w:p>
            <w:pPr>
              <w:spacing w:line="480" w:lineRule="auto" w:before="20" w:after="20"/>
              <w:ind w:firstLine="0"/>
              <w:jc w:val="center"/>
            </w:pPr>
            <w:r/>
            <w:r>
              <w:rPr>
                <w:rFonts w:ascii="Times New Roman" w:hAnsi="Times New Roman"/>
                <w:b w:val="0"/>
                <w:i w:val="0"/>
                <w:sz w:val="20"/>
              </w:rPr>
              <w:t>19</w:t>
            </w:r>
          </w:p>
        </w:tc>
        <w:tc>
          <w:tcPr>
            <w:tcW w:type="dxa" w:w="1872"/>
          </w:tcPr>
          <w:p>
            <w:pPr>
              <w:spacing w:line="480" w:lineRule="auto" w:before="20" w:after="20"/>
              <w:ind w:firstLine="0"/>
              <w:jc w:val="center"/>
            </w:pPr>
            <w:r/>
            <w:r>
              <w:rPr>
                <w:rFonts w:ascii="Times New Roman" w:hAnsi="Times New Roman"/>
                <w:b w:val="0"/>
                <w:i w:val="0"/>
                <w:sz w:val="20"/>
              </w:rPr>
              <w:t>11</w:t>
            </w:r>
          </w:p>
        </w:tc>
        <w:tc>
          <w:tcPr>
            <w:tcW w:type="dxa" w:w="1872"/>
          </w:tcPr>
          <w:p>
            <w:pPr>
              <w:spacing w:line="480" w:lineRule="auto" w:before="20" w:after="20"/>
              <w:ind w:firstLine="0"/>
              <w:jc w:val="center"/>
            </w:pPr>
            <w:r/>
            <w:r>
              <w:rPr>
                <w:rFonts w:ascii="Times New Roman" w:hAnsi="Times New Roman"/>
                <w:b w:val="0"/>
                <w:i w:val="0"/>
                <w:sz w:val="20"/>
              </w:rPr>
              <w:t>Subject attitudes, TAM (PU, PEOU)</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Satisfaction scales</w:t>
            </w:r>
          </w:p>
        </w:tc>
        <w:tc>
          <w:tcPr>
            <w:tcW w:type="dxa" w:w="1872"/>
          </w:tcPr>
          <w:p>
            <w:pPr>
              <w:spacing w:line="480" w:lineRule="auto" w:before="20" w:after="20"/>
              <w:ind w:firstLine="0"/>
              <w:jc w:val="center"/>
            </w:pPr>
            <w:r/>
            <w:r>
              <w:rPr>
                <w:rFonts w:ascii="Times New Roman" w:hAnsi="Times New Roman"/>
                <w:b w:val="0"/>
                <w:i w:val="0"/>
                <w:sz w:val="20"/>
              </w:rPr>
              <w:t>12</w:t>
            </w:r>
          </w:p>
        </w:tc>
        <w:tc>
          <w:tcPr>
            <w:tcW w:type="dxa" w:w="1872"/>
          </w:tcPr>
          <w:p>
            <w:pPr>
              <w:spacing w:line="480" w:lineRule="auto" w:before="20" w:after="20"/>
              <w:ind w:firstLine="0"/>
              <w:jc w:val="center"/>
            </w:pPr>
            <w:r/>
            <w:r>
              <w:rPr>
                <w:rFonts w:ascii="Times New Roman" w:hAnsi="Times New Roman"/>
                <w:b w:val="0"/>
                <w:i w:val="0"/>
                <w:sz w:val="20"/>
              </w:rPr>
              <w:t>8</w:t>
            </w:r>
          </w:p>
        </w:tc>
        <w:tc>
          <w:tcPr>
            <w:tcW w:type="dxa" w:w="1872"/>
          </w:tcPr>
          <w:p>
            <w:pPr>
              <w:spacing w:line="480" w:lineRule="auto" w:before="20" w:after="20"/>
              <w:ind w:firstLine="0"/>
              <w:jc w:val="center"/>
            </w:pPr>
            <w:r/>
            <w:r>
              <w:rPr>
                <w:rFonts w:ascii="Times New Roman" w:hAnsi="Times New Roman"/>
                <w:b w:val="0"/>
                <w:i w:val="0"/>
                <w:sz w:val="20"/>
              </w:rPr>
              <w:t>Course evaluation, UX questionnaires</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Anxiety measures (reverse-coded)</w:t>
            </w:r>
          </w:p>
        </w:tc>
        <w:tc>
          <w:tcPr>
            <w:tcW w:type="dxa" w:w="1872"/>
          </w:tcPr>
          <w:p>
            <w:pPr>
              <w:spacing w:line="480" w:lineRule="auto" w:before="20" w:after="20"/>
              <w:ind w:firstLine="0"/>
              <w:jc w:val="center"/>
            </w:pPr>
            <w:r/>
            <w:r>
              <w:rPr>
                <w:rFonts w:ascii="Times New Roman" w:hAnsi="Times New Roman"/>
                <w:b w:val="0"/>
                <w:i w:val="0"/>
                <w:sz w:val="20"/>
              </w:rPr>
              <w:t>6</w:t>
            </w:r>
          </w:p>
        </w:tc>
        <w:tc>
          <w:tcPr>
            <w:tcW w:type="dxa" w:w="1872"/>
          </w:tcPr>
          <w:p>
            <w:pPr>
              <w:spacing w:line="480" w:lineRule="auto" w:before="20" w:after="20"/>
              <w:ind w:firstLine="0"/>
              <w:jc w:val="center"/>
            </w:pPr>
            <w:r/>
            <w:r>
              <w:rPr>
                <w:rFonts w:ascii="Times New Roman" w:hAnsi="Times New Roman"/>
                <w:b w:val="0"/>
                <w:i w:val="0"/>
                <w:sz w:val="20"/>
              </w:rPr>
              <w:t>4</w:t>
            </w:r>
          </w:p>
        </w:tc>
        <w:tc>
          <w:tcPr>
            <w:tcW w:type="dxa" w:w="1872"/>
          </w:tcPr>
          <w:p>
            <w:pPr>
              <w:spacing w:line="480" w:lineRule="auto" w:before="20" w:after="20"/>
              <w:ind w:firstLine="0"/>
              <w:jc w:val="center"/>
            </w:pPr>
            <w:r/>
            <w:r>
              <w:rPr>
                <w:rFonts w:ascii="Times New Roman" w:hAnsi="Times New Roman"/>
                <w:b w:val="0"/>
                <w:i w:val="0"/>
                <w:sz w:val="20"/>
              </w:rPr>
              <w:t>FLCAS, test anxiety scales</w:t>
            </w:r>
          </w:p>
        </w:tc>
      </w:tr>
      <w:tr>
        <w:tc>
          <w:tcPr>
            <w:tcW w:type="dxa" w:w="1872"/>
          </w:tcPr>
          <w:p>
            <w:pPr>
              <w:spacing w:line="480" w:lineRule="auto" w:before="20" w:after="20"/>
              <w:ind w:firstLine="0"/>
              <w:jc w:val="left"/>
            </w:pPr>
            <w:r/>
            <w:r>
              <w:rPr>
                <w:rFonts w:ascii="Times New Roman" w:hAnsi="Times New Roman"/>
                <w:b/>
                <w:i w:val="0"/>
                <w:sz w:val="20"/>
              </w:rPr>
              <w:t>Behavioral</w:t>
            </w:r>
          </w:p>
        </w:tc>
        <w:tc>
          <w:tcPr>
            <w:tcW w:type="dxa" w:w="1872"/>
          </w:tcPr>
          <w:p>
            <w:pPr>
              <w:spacing w:line="480" w:lineRule="auto" w:before="20" w:after="20"/>
              <w:ind w:firstLine="0"/>
              <w:jc w:val="center"/>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i w:val="0"/>
                <w:sz w:val="20"/>
              </w:rPr>
              <w:t>34</w:t>
            </w:r>
          </w:p>
        </w:tc>
        <w:tc>
          <w:tcPr>
            <w:tcW w:type="dxa" w:w="1872"/>
          </w:tcPr>
          <w:p>
            <w:pPr>
              <w:spacing w:line="480" w:lineRule="auto" w:before="20" w:after="20"/>
              <w:ind w:firstLine="0"/>
              <w:jc w:val="center"/>
            </w:pPr>
            <w:r/>
            <w:r>
              <w:rPr>
                <w:rFonts w:ascii="Times New Roman" w:hAnsi="Times New Roman"/>
                <w:b/>
                <w:i w:val="0"/>
                <w:sz w:val="20"/>
              </w:rPr>
              <w:t>16</w:t>
            </w:r>
          </w:p>
        </w:tc>
        <w:tc>
          <w:tcPr>
            <w:tcW w:type="dxa" w:w="1872"/>
          </w:tcPr>
          <w:p>
            <w:pPr>
              <w:spacing w:line="480" w:lineRule="auto" w:before="20" w:after="20"/>
              <w:ind w:firstLine="0"/>
              <w:jc w:val="center"/>
            </w:pPr>
            <w:r/>
            <w:r>
              <w:rPr>
                <w:rFonts w:ascii="Times New Roman" w:hAnsi="Times New Roman"/>
                <w:b w:val="0"/>
                <w:i w:val="0"/>
                <w:sz w:val="20"/>
              </w:rPr>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Time-on-task</w:t>
            </w:r>
          </w:p>
        </w:tc>
        <w:tc>
          <w:tcPr>
            <w:tcW w:type="dxa" w:w="1872"/>
          </w:tcPr>
          <w:p>
            <w:pPr>
              <w:spacing w:line="480" w:lineRule="auto" w:before="20" w:after="20"/>
              <w:ind w:firstLine="0"/>
              <w:jc w:val="center"/>
            </w:pPr>
            <w:r/>
            <w:r>
              <w:rPr>
                <w:rFonts w:ascii="Times New Roman" w:hAnsi="Times New Roman"/>
                <w:b w:val="0"/>
                <w:i w:val="0"/>
                <w:sz w:val="20"/>
              </w:rPr>
              <w:t>11</w:t>
            </w:r>
          </w:p>
        </w:tc>
        <w:tc>
          <w:tcPr>
            <w:tcW w:type="dxa" w:w="1872"/>
          </w:tcPr>
          <w:p>
            <w:pPr>
              <w:spacing w:line="480" w:lineRule="auto" w:before="20" w:after="20"/>
              <w:ind w:firstLine="0"/>
              <w:jc w:val="center"/>
            </w:pPr>
            <w:r/>
            <w:r>
              <w:rPr>
                <w:rFonts w:ascii="Times New Roman" w:hAnsi="Times New Roman"/>
                <w:b w:val="0"/>
                <w:i w:val="0"/>
                <w:sz w:val="20"/>
              </w:rPr>
              <w:t>7</w:t>
            </w:r>
          </w:p>
        </w:tc>
        <w:tc>
          <w:tcPr>
            <w:tcW w:type="dxa" w:w="1872"/>
          </w:tcPr>
          <w:p>
            <w:pPr>
              <w:spacing w:line="480" w:lineRule="auto" w:before="20" w:after="20"/>
              <w:ind w:firstLine="0"/>
              <w:jc w:val="center"/>
            </w:pPr>
            <w:r/>
            <w:r>
              <w:rPr>
                <w:rFonts w:ascii="Times New Roman" w:hAnsi="Times New Roman"/>
                <w:b w:val="0"/>
                <w:i w:val="0"/>
                <w:sz w:val="20"/>
              </w:rPr>
              <w:t>LMS duration logs, screen recording</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Participation metrics</w:t>
            </w:r>
          </w:p>
        </w:tc>
        <w:tc>
          <w:tcPr>
            <w:tcW w:type="dxa" w:w="1872"/>
          </w:tcPr>
          <w:p>
            <w:pPr>
              <w:spacing w:line="480" w:lineRule="auto" w:before="20" w:after="20"/>
              <w:ind w:firstLine="0"/>
              <w:jc w:val="center"/>
            </w:pPr>
            <w:r/>
            <w:r>
              <w:rPr>
                <w:rFonts w:ascii="Times New Roman" w:hAnsi="Times New Roman"/>
                <w:b w:val="0"/>
                <w:i w:val="0"/>
                <w:sz w:val="20"/>
              </w:rPr>
              <w:t>9</w:t>
            </w:r>
          </w:p>
        </w:tc>
        <w:tc>
          <w:tcPr>
            <w:tcW w:type="dxa" w:w="1872"/>
          </w:tcPr>
          <w:p>
            <w:pPr>
              <w:spacing w:line="480" w:lineRule="auto" w:before="20" w:after="20"/>
              <w:ind w:firstLine="0"/>
              <w:jc w:val="center"/>
            </w:pPr>
            <w:r/>
            <w:r>
              <w:rPr>
                <w:rFonts w:ascii="Times New Roman" w:hAnsi="Times New Roman"/>
                <w:b w:val="0"/>
                <w:i w:val="0"/>
                <w:sz w:val="20"/>
              </w:rPr>
              <w:t>6</w:t>
            </w:r>
          </w:p>
        </w:tc>
        <w:tc>
          <w:tcPr>
            <w:tcW w:type="dxa" w:w="1872"/>
          </w:tcPr>
          <w:p>
            <w:pPr>
              <w:spacing w:line="480" w:lineRule="auto" w:before="20" w:after="20"/>
              <w:ind w:firstLine="0"/>
              <w:jc w:val="center"/>
            </w:pPr>
            <w:r/>
            <w:r>
              <w:rPr>
                <w:rFonts w:ascii="Times New Roman" w:hAnsi="Times New Roman"/>
                <w:b w:val="0"/>
                <w:i w:val="0"/>
                <w:sz w:val="20"/>
              </w:rPr>
              <w:t>Forum posts, question frequency</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Help-seeking behaviors</w:t>
            </w:r>
          </w:p>
        </w:tc>
        <w:tc>
          <w:tcPr>
            <w:tcW w:type="dxa" w:w="1872"/>
          </w:tcPr>
          <w:p>
            <w:pPr>
              <w:spacing w:line="480" w:lineRule="auto" w:before="20" w:after="20"/>
              <w:ind w:firstLine="0"/>
              <w:jc w:val="center"/>
            </w:pPr>
            <w:r/>
            <w:r>
              <w:rPr>
                <w:rFonts w:ascii="Times New Roman" w:hAnsi="Times New Roman"/>
                <w:b w:val="0"/>
                <w:i w:val="0"/>
                <w:sz w:val="20"/>
              </w:rPr>
              <w:t>5</w:t>
            </w:r>
          </w:p>
        </w:tc>
        <w:tc>
          <w:tcPr>
            <w:tcW w:type="dxa" w:w="1872"/>
          </w:tcPr>
          <w:p>
            <w:pPr>
              <w:spacing w:line="480" w:lineRule="auto" w:before="20" w:after="20"/>
              <w:ind w:firstLine="0"/>
              <w:jc w:val="center"/>
            </w:pPr>
            <w:r/>
            <w:r>
              <w:rPr>
                <w:rFonts w:ascii="Times New Roman" w:hAnsi="Times New Roman"/>
                <w:b w:val="0"/>
                <w:i w:val="0"/>
                <w:sz w:val="20"/>
              </w:rPr>
              <w:t>4</w:t>
            </w:r>
          </w:p>
        </w:tc>
        <w:tc>
          <w:tcPr>
            <w:tcW w:type="dxa" w:w="1872"/>
          </w:tcPr>
          <w:p>
            <w:pPr>
              <w:spacing w:line="480" w:lineRule="auto" w:before="20" w:after="20"/>
              <w:ind w:firstLine="0"/>
              <w:jc w:val="center"/>
            </w:pPr>
            <w:r/>
            <w:r>
              <w:rPr>
                <w:rFonts w:ascii="Times New Roman" w:hAnsi="Times New Roman"/>
                <w:b w:val="0"/>
                <w:i w:val="0"/>
                <w:sz w:val="20"/>
              </w:rPr>
              <w:t>AI/peer help request logs</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Study behaviors</w:t>
            </w:r>
          </w:p>
        </w:tc>
        <w:tc>
          <w:tcPr>
            <w:tcW w:type="dxa" w:w="1872"/>
          </w:tcPr>
          <w:p>
            <w:pPr>
              <w:spacing w:line="480" w:lineRule="auto" w:before="20" w:after="20"/>
              <w:ind w:firstLine="0"/>
              <w:jc w:val="center"/>
            </w:pPr>
            <w:r/>
            <w:r>
              <w:rPr>
                <w:rFonts w:ascii="Times New Roman" w:hAnsi="Times New Roman"/>
                <w:b w:val="0"/>
                <w:i w:val="0"/>
                <w:sz w:val="20"/>
              </w:rPr>
              <w:t>6</w:t>
            </w:r>
          </w:p>
        </w:tc>
        <w:tc>
          <w:tcPr>
            <w:tcW w:type="dxa" w:w="1872"/>
          </w:tcPr>
          <w:p>
            <w:pPr>
              <w:spacing w:line="480" w:lineRule="auto" w:before="20" w:after="20"/>
              <w:ind w:firstLine="0"/>
              <w:jc w:val="center"/>
            </w:pPr>
            <w:r/>
            <w:r>
              <w:rPr>
                <w:rFonts w:ascii="Times New Roman" w:hAnsi="Times New Roman"/>
                <w:b w:val="0"/>
                <w:i w:val="0"/>
                <w:sz w:val="20"/>
              </w:rPr>
              <w:t>4</w:t>
            </w:r>
          </w:p>
        </w:tc>
        <w:tc>
          <w:tcPr>
            <w:tcW w:type="dxa" w:w="1872"/>
          </w:tcPr>
          <w:p>
            <w:pPr>
              <w:spacing w:line="480" w:lineRule="auto" w:before="20" w:after="20"/>
              <w:ind w:firstLine="0"/>
              <w:jc w:val="center"/>
            </w:pPr>
            <w:r/>
            <w:r>
              <w:rPr>
                <w:rFonts w:ascii="Times New Roman" w:hAnsi="Times New Roman"/>
                <w:b w:val="0"/>
                <w:i w:val="0"/>
                <w:sz w:val="20"/>
              </w:rPr>
              <w:t>Resource access patterns, revisions</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Completion/persistence</w:t>
            </w:r>
          </w:p>
        </w:tc>
        <w:tc>
          <w:tcPr>
            <w:tcW w:type="dxa" w:w="1872"/>
          </w:tcPr>
          <w:p>
            <w:pPr>
              <w:spacing w:line="480" w:lineRule="auto" w:before="20" w:after="20"/>
              <w:ind w:firstLine="0"/>
              <w:jc w:val="center"/>
            </w:pPr>
            <w:r/>
            <w:r>
              <w:rPr>
                <w:rFonts w:ascii="Times New Roman" w:hAnsi="Times New Roman"/>
                <w:b w:val="0"/>
                <w:i w:val="0"/>
                <w:sz w:val="20"/>
              </w:rPr>
              <w:t>3</w:t>
            </w:r>
          </w:p>
        </w:tc>
        <w:tc>
          <w:tcPr>
            <w:tcW w:type="dxa" w:w="1872"/>
          </w:tcPr>
          <w:p>
            <w:pPr>
              <w:spacing w:line="480" w:lineRule="auto" w:before="20" w:after="20"/>
              <w:ind w:firstLine="0"/>
              <w:jc w:val="center"/>
            </w:pPr>
            <w:r/>
            <w:r>
              <w:rPr>
                <w:rFonts w:ascii="Times New Roman" w:hAnsi="Times New Roman"/>
                <w:b w:val="0"/>
                <w:i w:val="0"/>
                <w:sz w:val="20"/>
              </w:rPr>
              <w:t>2</w:t>
            </w:r>
          </w:p>
        </w:tc>
        <w:tc>
          <w:tcPr>
            <w:tcW w:type="dxa" w:w="1872"/>
          </w:tcPr>
          <w:p>
            <w:pPr>
              <w:spacing w:line="480" w:lineRule="auto" w:before="20" w:after="20"/>
              <w:ind w:firstLine="0"/>
              <w:jc w:val="center"/>
            </w:pPr>
            <w:r/>
            <w:r>
              <w:rPr>
                <w:rFonts w:ascii="Times New Roman" w:hAnsi="Times New Roman"/>
                <w:b w:val="0"/>
                <w:i w:val="0"/>
                <w:sz w:val="20"/>
              </w:rPr>
              <w:t>Submission rates, dropout indicators</w:t>
            </w:r>
          </w:p>
        </w:tc>
      </w:tr>
      <w:tr>
        <w:tc>
          <w:tcPr>
            <w:tcW w:type="dxa" w:w="1872"/>
          </w:tcPr>
          <w:p>
            <w:pPr>
              <w:spacing w:line="480" w:lineRule="auto" w:before="20" w:after="20"/>
              <w:ind w:firstLine="0"/>
              <w:jc w:val="left"/>
            </w:pPr>
            <w:r/>
            <w:r>
              <w:rPr>
                <w:rFonts w:ascii="Times New Roman" w:hAnsi="Times New Roman"/>
                <w:b/>
                <w:i w:val="0"/>
                <w:sz w:val="20"/>
              </w:rPr>
              <w:t>Metacognitive</w:t>
            </w:r>
          </w:p>
        </w:tc>
        <w:tc>
          <w:tcPr>
            <w:tcW w:type="dxa" w:w="1872"/>
          </w:tcPr>
          <w:p>
            <w:pPr>
              <w:spacing w:line="480" w:lineRule="auto" w:before="20" w:after="20"/>
              <w:ind w:firstLine="0"/>
              <w:jc w:val="center"/>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i w:val="0"/>
                <w:sz w:val="20"/>
              </w:rPr>
              <w:t>40</w:t>
            </w:r>
          </w:p>
        </w:tc>
        <w:tc>
          <w:tcPr>
            <w:tcW w:type="dxa" w:w="1872"/>
          </w:tcPr>
          <w:p>
            <w:pPr>
              <w:spacing w:line="480" w:lineRule="auto" w:before="20" w:after="20"/>
              <w:ind w:firstLine="0"/>
              <w:jc w:val="center"/>
            </w:pPr>
            <w:r/>
            <w:r>
              <w:rPr>
                <w:rFonts w:ascii="Times New Roman" w:hAnsi="Times New Roman"/>
                <w:b/>
                <w:i w:val="0"/>
                <w:sz w:val="20"/>
              </w:rPr>
              <w:t>11</w:t>
            </w:r>
          </w:p>
        </w:tc>
        <w:tc>
          <w:tcPr>
            <w:tcW w:type="dxa" w:w="1872"/>
          </w:tcPr>
          <w:p>
            <w:pPr>
              <w:spacing w:line="480" w:lineRule="auto" w:before="20" w:after="20"/>
              <w:ind w:firstLine="0"/>
              <w:jc w:val="center"/>
            </w:pPr>
            <w:r/>
            <w:r>
              <w:rPr>
                <w:rFonts w:ascii="Times New Roman" w:hAnsi="Times New Roman"/>
                <w:b w:val="0"/>
                <w:i w:val="0"/>
                <w:sz w:val="20"/>
              </w:rPr>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Self-report questionnaires</w:t>
            </w:r>
          </w:p>
        </w:tc>
        <w:tc>
          <w:tcPr>
            <w:tcW w:type="dxa" w:w="1872"/>
          </w:tcPr>
          <w:p>
            <w:pPr>
              <w:spacing w:line="480" w:lineRule="auto" w:before="20" w:after="20"/>
              <w:ind w:firstLine="0"/>
              <w:jc w:val="center"/>
            </w:pPr>
            <w:r/>
            <w:r>
              <w:rPr>
                <w:rFonts w:ascii="Times New Roman" w:hAnsi="Times New Roman"/>
                <w:b w:val="0"/>
                <w:i w:val="0"/>
                <w:sz w:val="20"/>
              </w:rPr>
              <w:t>26</w:t>
            </w:r>
          </w:p>
        </w:tc>
        <w:tc>
          <w:tcPr>
            <w:tcW w:type="dxa" w:w="1872"/>
          </w:tcPr>
          <w:p>
            <w:pPr>
              <w:spacing w:line="480" w:lineRule="auto" w:before="20" w:after="20"/>
              <w:ind w:firstLine="0"/>
              <w:jc w:val="center"/>
            </w:pPr>
            <w:r/>
            <w:r>
              <w:rPr>
                <w:rFonts w:ascii="Times New Roman" w:hAnsi="Times New Roman"/>
                <w:b w:val="0"/>
                <w:i w:val="0"/>
                <w:sz w:val="20"/>
              </w:rPr>
              <w:t>7</w:t>
            </w:r>
          </w:p>
        </w:tc>
        <w:tc>
          <w:tcPr>
            <w:tcW w:type="dxa" w:w="1872"/>
          </w:tcPr>
          <w:p>
            <w:pPr>
              <w:spacing w:line="480" w:lineRule="auto" w:before="20" w:after="20"/>
              <w:ind w:firstLine="0"/>
              <w:jc w:val="center"/>
            </w:pPr>
            <w:r/>
            <w:r>
              <w:rPr>
                <w:rFonts w:ascii="Times New Roman" w:hAnsi="Times New Roman"/>
                <w:b w:val="0"/>
                <w:i w:val="0"/>
                <w:sz w:val="20"/>
              </w:rPr>
              <w:t>MSLQ metacognitive SR, OSLQ, MAI</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Think-aloud protocols</w:t>
            </w:r>
          </w:p>
        </w:tc>
        <w:tc>
          <w:tcPr>
            <w:tcW w:type="dxa" w:w="1872"/>
          </w:tcPr>
          <w:p>
            <w:pPr>
              <w:spacing w:line="480" w:lineRule="auto" w:before="20" w:after="20"/>
              <w:ind w:firstLine="0"/>
              <w:jc w:val="center"/>
            </w:pPr>
            <w:r/>
            <w:r>
              <w:rPr>
                <w:rFonts w:ascii="Times New Roman" w:hAnsi="Times New Roman"/>
                <w:b w:val="0"/>
                <w:i w:val="0"/>
                <w:sz w:val="20"/>
              </w:rPr>
              <w:t>8</w:t>
            </w:r>
          </w:p>
        </w:tc>
        <w:tc>
          <w:tcPr>
            <w:tcW w:type="dxa" w:w="1872"/>
          </w:tcPr>
          <w:p>
            <w:pPr>
              <w:spacing w:line="480" w:lineRule="auto" w:before="20" w:after="20"/>
              <w:ind w:firstLine="0"/>
              <w:jc w:val="center"/>
            </w:pPr>
            <w:r/>
            <w:r>
              <w:rPr>
                <w:rFonts w:ascii="Times New Roman" w:hAnsi="Times New Roman"/>
                <w:b w:val="0"/>
                <w:i w:val="0"/>
                <w:sz w:val="20"/>
              </w:rPr>
              <w:t>2</w:t>
            </w:r>
          </w:p>
        </w:tc>
        <w:tc>
          <w:tcPr>
            <w:tcW w:type="dxa" w:w="1872"/>
          </w:tcPr>
          <w:p>
            <w:pPr>
              <w:spacing w:line="480" w:lineRule="auto" w:before="20" w:after="20"/>
              <w:ind w:firstLine="0"/>
              <w:jc w:val="center"/>
            </w:pPr>
            <w:r/>
            <w:r>
              <w:rPr>
                <w:rFonts w:ascii="Times New Roman" w:hAnsi="Times New Roman"/>
                <w:b w:val="0"/>
                <w:i w:val="0"/>
                <w:sz w:val="20"/>
              </w:rPr>
              <w:t>Coded verbal reports (plan/monitor/evaluate)</w:t>
            </w:r>
          </w:p>
        </w:tc>
      </w:tr>
      <w:tr>
        <w:tc>
          <w:tcPr>
            <w:tcW w:type="dxa" w:w="1872"/>
          </w:tcPr>
          <w:p>
            <w:pPr>
              <w:spacing w:line="480" w:lineRule="auto" w:before="20" w:after="20"/>
              <w:ind w:firstLine="0"/>
              <w:jc w:val="left"/>
            </w:pPr>
            <w:r/>
            <w:r>
              <w:rPr>
                <w:rFonts w:ascii="Times New Roman" w:hAnsi="Times New Roman"/>
                <w:b w:val="0"/>
                <w:i w:val="0"/>
                <w:sz w:val="20"/>
              </w:rPr>
            </w:r>
          </w:p>
        </w:tc>
        <w:tc>
          <w:tcPr>
            <w:tcW w:type="dxa" w:w="1872"/>
          </w:tcPr>
          <w:p>
            <w:pPr>
              <w:spacing w:line="480" w:lineRule="auto" w:before="20" w:after="20"/>
              <w:ind w:firstLine="0"/>
              <w:jc w:val="center"/>
            </w:pPr>
            <w:r/>
            <w:r>
              <w:rPr>
                <w:rFonts w:ascii="Times New Roman" w:hAnsi="Times New Roman"/>
                <w:b w:val="0"/>
                <w:i w:val="0"/>
                <w:sz w:val="20"/>
              </w:rPr>
              <w:t>Trace data/log analysis</w:t>
            </w:r>
          </w:p>
        </w:tc>
        <w:tc>
          <w:tcPr>
            <w:tcW w:type="dxa" w:w="1872"/>
          </w:tcPr>
          <w:p>
            <w:pPr>
              <w:spacing w:line="480" w:lineRule="auto" w:before="20" w:after="20"/>
              <w:ind w:firstLine="0"/>
              <w:jc w:val="center"/>
            </w:pPr>
            <w:r/>
            <w:r>
              <w:rPr>
                <w:rFonts w:ascii="Times New Roman" w:hAnsi="Times New Roman"/>
                <w:b w:val="0"/>
                <w:i w:val="0"/>
                <w:sz w:val="20"/>
              </w:rPr>
              <w:t>6</w:t>
            </w:r>
          </w:p>
        </w:tc>
        <w:tc>
          <w:tcPr>
            <w:tcW w:type="dxa" w:w="1872"/>
          </w:tcPr>
          <w:p>
            <w:pPr>
              <w:spacing w:line="480" w:lineRule="auto" w:before="20" w:after="20"/>
              <w:ind w:firstLine="0"/>
              <w:jc w:val="center"/>
            </w:pPr>
            <w:r/>
            <w:r>
              <w:rPr>
                <w:rFonts w:ascii="Times New Roman" w:hAnsi="Times New Roman"/>
                <w:b w:val="0"/>
                <w:i w:val="0"/>
                <w:sz w:val="20"/>
              </w:rPr>
              <w:t>2</w:t>
            </w:r>
          </w:p>
        </w:tc>
        <w:tc>
          <w:tcPr>
            <w:tcW w:type="dxa" w:w="1872"/>
          </w:tcPr>
          <w:p>
            <w:pPr>
              <w:spacing w:line="480" w:lineRule="auto" w:before="20" w:after="20"/>
              <w:ind w:firstLine="0"/>
              <w:jc w:val="center"/>
            </w:pPr>
            <w:r/>
            <w:r>
              <w:rPr>
                <w:rFonts w:ascii="Times New Roman" w:hAnsi="Times New Roman"/>
                <w:b w:val="0"/>
                <w:i w:val="0"/>
                <w:sz w:val="20"/>
              </w:rPr>
              <w:t>Help-seeking patterns, time allocation</w:t>
            </w:r>
          </w:p>
        </w:tc>
      </w:tr>
      <w:tr>
        <w:tc>
          <w:tcPr>
            <w:tcW w:type="dxa" w:w="1872"/>
            <w:tcBorders>
              <w:bottom w:val="single" w:sz="8" w:space="0" w:color="000000"/>
            </w:tcBorders>
          </w:tcPr>
          <w:p>
            <w:pPr>
              <w:spacing w:line="480" w:lineRule="auto" w:before="20" w:after="20"/>
              <w:ind w:firstLine="0"/>
              <w:jc w:val="left"/>
            </w:pPr>
            <w:r/>
            <w:r>
              <w:rPr>
                <w:rFonts w:ascii="Times New Roman" w:hAnsi="Times New Roman"/>
                <w:b/>
                <w:i w:val="0"/>
                <w:sz w:val="20"/>
              </w:rPr>
              <w:t>Total</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r>
          </w:p>
        </w:tc>
        <w:tc>
          <w:tcPr>
            <w:tcW w:type="dxa" w:w="1872"/>
            <w:tcBorders>
              <w:bottom w:val="single" w:sz="8" w:space="0" w:color="000000"/>
            </w:tcBorders>
          </w:tcPr>
          <w:p>
            <w:pPr>
              <w:spacing w:line="480" w:lineRule="auto" w:before="20" w:after="20"/>
              <w:ind w:firstLine="0"/>
              <w:jc w:val="center"/>
            </w:pPr>
            <w:r/>
            <w:r>
              <w:rPr>
                <w:rFonts w:ascii="Times New Roman" w:hAnsi="Times New Roman"/>
                <w:b/>
                <w:i w:val="0"/>
                <w:sz w:val="20"/>
              </w:rPr>
              <w:t>381</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i w:val="0"/>
                <w:sz w:val="20"/>
              </w:rPr>
              <w:t>65</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r>
          </w:p>
        </w:tc>
      </w:tr>
    </w:tbl>
    <w:p>
      <w:pPr>
        <w:spacing w:line="480" w:lineRule="auto" w:before="0" w:after="0"/>
        <w:ind w:firstLine="720"/>
        <w:jc w:val="left"/>
      </w:pPr>
      <w:r>
        <w:rPr>
          <w:rFonts w:ascii="Times New Roman" w:hAnsi="Times New Roman"/>
          <w:b w:val="0"/>
          <w:i/>
          <w:sz w:val="24"/>
        </w:rPr>
        <w:t>Note.</w:t>
      </w:r>
      <w:r>
        <w:rPr>
          <w:rFonts w:ascii="Times New Roman" w:hAnsi="Times New Roman"/>
          <w:b w:val="0"/>
          <w:i w:val="0"/>
          <w:sz w:val="24"/>
        </w:rPr>
        <w:t xml:space="preserve"> ES = effect sizes; MC = multiple-choice; MSLQ = Motivated Strategies for Learning Questionnaire; AMS = Academic Motivation Scale; IMI = Intrinsic Motivation Inventory; SE = self-efficacy; GSES = General Self-Efficacy Scale; TAM = Technology Acceptance Model; PU = perceived usefulness; PEOU = perceived ease of use; UX = user experience; FLCAS = Foreign Language Classroom Anxiety Scale; LMS = learning management system; SR = self-regulation; OSLQ = Online Self-Regulated Learning Questionnaire; MAI = Metacognitive Awareness Inventory. Study counts (</w:t>
      </w:r>
      <w:r>
        <w:rPr>
          <w:rFonts w:ascii="Times New Roman" w:hAnsi="Times New Roman"/>
          <w:b w:val="0"/>
          <w:i/>
          <w:sz w:val="24"/>
        </w:rPr>
        <w:t>k</w:t>
      </w:r>
      <w:r>
        <w:rPr>
          <w:rFonts w:ascii="Times New Roman" w:hAnsi="Times New Roman"/>
          <w:b w:val="0"/>
          <w:i w:val="0"/>
          <w:sz w:val="24"/>
        </w:rPr>
        <w:t>) do not sum to total because studies could contribute effect sizes to multiple measure types within dimensions. Lower-order and higher-order cognitive classifications based on Anderson and Krathwohl's (2001) revised taxonomy.</w:t>
      </w:r>
    </w:p>
    <w:p>
      <w:pPr>
        <w:spacing w:line="480" w:lineRule="auto" w:before="0" w:after="0"/>
        <w:ind w:firstLine="720"/>
        <w:jc w:val="left"/>
      </w:pPr>
      <w:r>
        <w:rPr>
          <w:rFonts w:ascii="Times New Roman" w:hAnsi="Times New Roman"/>
          <w:b/>
          <w:i w:val="0"/>
          <w:sz w:val="24"/>
        </w:rPr>
        <w:t>Metacognitive Outcome Operationalization.</w:t>
      </w:r>
      <w:r>
        <w:rPr>
          <w:rFonts w:ascii="Times New Roman" w:hAnsi="Times New Roman"/>
          <w:b w:val="0"/>
          <w:i w:val="0"/>
          <w:sz w:val="24"/>
        </w:rPr>
        <w:t xml:space="preserve"> Given the central theoretical importance of metacognitive outcomes to the cognitive dependency hypothesis, we describe their operationalization in detail. Across the 11 studies (</w:t>
      </w:r>
      <w:r>
        <w:rPr>
          <w:rFonts w:ascii="Times New Roman" w:hAnsi="Times New Roman"/>
          <w:b w:val="0"/>
          <w:i/>
          <w:sz w:val="24"/>
        </w:rPr>
        <w:t>n</w:t>
      </w:r>
      <w:r>
        <w:rPr>
          <w:rFonts w:ascii="Times New Roman" w:hAnsi="Times New Roman"/>
          <w:b w:val="0"/>
          <w:i w:val="0"/>
          <w:sz w:val="24"/>
        </w:rPr>
        <w:t xml:space="preserve"> = 40 effect sizes) reporting metacognitive outcomes, measures fell into three categories: (a) </w:t>
      </w:r>
      <w:r>
        <w:rPr>
          <w:rFonts w:ascii="Times New Roman" w:hAnsi="Times New Roman"/>
          <w:b w:val="0"/>
          <w:i/>
          <w:sz w:val="24"/>
        </w:rPr>
        <w:t>Self-report questionnaires</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7), including the Motivated Strategies for Learning Questionnaire metacognitive self-regulation subscale (MSLQ; Pintrich et al., 1991), the Online Self-Regulated Learning Questionnaire (OSLQ; Barnard et al., 2009), and custom self-regulation scales assessing planning, monitoring, and evaluation behaviors; (b) </w:t>
      </w:r>
      <w:r>
        <w:rPr>
          <w:rFonts w:ascii="Times New Roman" w:hAnsi="Times New Roman"/>
          <w:b w:val="0"/>
          <w:i/>
          <w:sz w:val="24"/>
        </w:rPr>
        <w:t>Think-aloud protocols and verbal reports</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2), wherein students verbalized their thinking during learning tasks and utterances were coded for metacognitive statements (planning, monitoring, evaluating); and (c) </w:t>
      </w:r>
      <w:r>
        <w:rPr>
          <w:rFonts w:ascii="Times New Roman" w:hAnsi="Times New Roman"/>
          <w:b w:val="0"/>
          <w:i/>
          <w:sz w:val="24"/>
        </w:rPr>
        <w:t>Trace data and log analysis</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2), examining behavioral indicators of self-regulation such as help-seeking patterns, time allocation, and revision behaviors within learning management systems.</w:t>
      </w:r>
    </w:p>
    <w:p>
      <w:pPr>
        <w:spacing w:line="480" w:lineRule="auto" w:before="0" w:after="0"/>
        <w:ind w:firstLine="720"/>
        <w:jc w:val="left"/>
      </w:pPr>
      <w:r>
        <w:rPr>
          <w:rFonts w:ascii="Times New Roman" w:hAnsi="Times New Roman"/>
          <w:b w:val="0"/>
          <w:i w:val="0"/>
          <w:sz w:val="24"/>
        </w:rPr>
        <w:t>Notably, the majority (7 of 11 studies; 64%) relied on self-report measures, which may be subject to social desirability bias and retrospective recall limitations (Winne &amp; Jamieson-Noel, 2002). This measurement approach raises an important interpretive consideration: if GenAI reduces metacognitive engagement during learning, students may lack awareness of this reduction and thus not report it accurately on self-report instruments—potentially underestimating the cognitive dependency effect. Conversely, students who struggle without AI support may over-report self-regulatory difficulties. The limited number of studies using behavioral or trace-based metacognitive measures (</w:t>
      </w:r>
      <w:r>
        <w:rPr>
          <w:rFonts w:ascii="Times New Roman" w:hAnsi="Times New Roman"/>
          <w:b w:val="0"/>
          <w:i/>
          <w:sz w:val="24"/>
        </w:rPr>
        <w:t>k</w:t>
      </w:r>
      <w:r>
        <w:rPr>
          <w:rFonts w:ascii="Times New Roman" w:hAnsi="Times New Roman"/>
          <w:b w:val="0"/>
          <w:i w:val="0"/>
          <w:sz w:val="24"/>
        </w:rPr>
        <w:t xml:space="preserve"> = 4) precludes a meaningful comparison between measurement approaches, but future research should prioritize objective metacognitive indicators that are less susceptible to self-report biases.</w:t>
      </w:r>
    </w:p>
    <w:p>
      <w:pPr>
        <w:spacing w:line="480" w:lineRule="auto" w:before="0" w:after="0"/>
        <w:ind w:firstLine="720"/>
        <w:jc w:val="left"/>
      </w:pPr>
      <w:r>
        <w:rPr>
          <w:rFonts w:ascii="Times New Roman" w:hAnsi="Times New Roman"/>
          <w:b w:val="0"/>
          <w:i w:val="0"/>
          <w:sz w:val="24"/>
        </w:rPr>
        <w:t>Additional moderators coded included: study design (RCT vs. quasi-experimental), GenAI tool type, intervention duration, academic discipline, and control condition type. A detailed coding manual with decision rules is available in Appendix A, and complete individual study coding data (all 60 studies with 343 effect sizes) is provided in Appendix B.</w:t>
      </w:r>
    </w:p>
    <w:p>
      <w:pPr>
        <w:spacing w:line="480" w:lineRule="auto" w:before="0" w:after="0"/>
        <w:ind w:firstLine="0"/>
        <w:jc w:val="left"/>
      </w:pPr>
      <w:r>
        <w:rPr>
          <w:rFonts w:ascii="Times New Roman" w:hAnsi="Times New Roman"/>
          <w:b/>
          <w:i w:val="0"/>
          <w:sz w:val="24"/>
        </w:rPr>
        <w:t>Statistical Analysis</w:t>
      </w:r>
    </w:p>
    <w:p>
      <w:pPr>
        <w:spacing w:line="480" w:lineRule="auto" w:before="0" w:after="0"/>
        <w:ind w:firstLine="0"/>
        <w:jc w:val="left"/>
      </w:pPr>
      <w:r>
        <w:rPr>
          <w:rFonts w:ascii="Times New Roman" w:hAnsi="Times New Roman"/>
          <w:b/>
          <w:i/>
          <w:sz w:val="24"/>
        </w:rPr>
        <w:t>Three-Level Random-Effects Model</w:t>
      </w:r>
    </w:p>
    <w:p>
      <w:pPr>
        <w:spacing w:line="480" w:lineRule="auto" w:before="0" w:after="0"/>
        <w:ind w:firstLine="720"/>
        <w:jc w:val="left"/>
      </w:pPr>
      <w:r>
        <w:rPr>
          <w:rFonts w:ascii="Times New Roman" w:hAnsi="Times New Roman"/>
          <w:b w:val="0"/>
          <w:i w:val="0"/>
          <w:sz w:val="24"/>
        </w:rPr>
        <w:t>A three-level random-effects model was fitted using restricted maximum likelihood (REML) estimation (Cheung, 2014; Van den Noortgate et al., 2013). Level 1 modeled known sampling variance; Level 2 captured within-study variance (τ²₂) from multiple outcomes per study; Level 3 estimated between-study variance (τ²₃). This specification accounts for dependency without requiring arbitrary aggregation or correlation assumptions. Analyses were conducted in R (version 4.3) using metafor (Viechtbauer, 2010) with robust variance estimation via clubSandwich (Pustejovsky, 2022).</w:t>
      </w:r>
    </w:p>
    <w:p>
      <w:pPr>
        <w:spacing w:line="480" w:lineRule="auto" w:before="0" w:after="0"/>
        <w:ind w:firstLine="0"/>
        <w:jc w:val="left"/>
      </w:pPr>
      <w:r>
        <w:rPr>
          <w:rFonts w:ascii="Times New Roman" w:hAnsi="Times New Roman"/>
          <w:b/>
          <w:i/>
          <w:sz w:val="24"/>
        </w:rPr>
        <w:t>Heterogeneity and Moderator Analyses</w:t>
      </w:r>
    </w:p>
    <w:p>
      <w:pPr>
        <w:spacing w:line="480" w:lineRule="auto" w:before="0" w:after="0"/>
        <w:ind w:firstLine="720"/>
        <w:jc w:val="left"/>
      </w:pPr>
      <w:r>
        <w:rPr>
          <w:rFonts w:ascii="Times New Roman" w:hAnsi="Times New Roman"/>
          <w:b w:val="0"/>
          <w:i w:val="0"/>
          <w:sz w:val="24"/>
        </w:rPr>
        <w:t>Heterogeneity was quantified using I² statistics partitioned across levels. Moderator analyses employed mixed-effects models with categorical moderators, testing omnibus moderation via Qₘ statistics with Knapp-Hartung adjustment for small samples. Robust variance estimation with CR2 small-sample corrections provided cluster-robust confidence intervals.</w:t>
      </w:r>
    </w:p>
    <w:p>
      <w:pPr>
        <w:spacing w:line="480" w:lineRule="auto" w:before="0" w:after="0"/>
        <w:ind w:firstLine="0"/>
        <w:jc w:val="left"/>
      </w:pPr>
      <w:r>
        <w:rPr>
          <w:rFonts w:ascii="Times New Roman" w:hAnsi="Times New Roman"/>
          <w:b/>
          <w:i/>
          <w:sz w:val="24"/>
        </w:rPr>
        <w:t>Publication Bias and Sensitivity Analyses</w:t>
      </w:r>
    </w:p>
    <w:p>
      <w:pPr>
        <w:spacing w:line="480" w:lineRule="auto" w:before="0" w:after="0"/>
        <w:ind w:firstLine="720"/>
        <w:jc w:val="left"/>
      </w:pPr>
      <w:r>
        <w:rPr>
          <w:rFonts w:ascii="Times New Roman" w:hAnsi="Times New Roman"/>
          <w:b w:val="0"/>
          <w:i w:val="0"/>
          <w:sz w:val="24"/>
        </w:rPr>
        <w:t>Publication bias was assessed using funnel plot inspection, Egger's regression test, the Precision-Effect Test (PET), and trim-and-fill analysis. Sensitivity analyses included: (a) leave-one-out analysis at the study level; (b) comparison of REML versus maximum likelihood estimation; (c) analysis excluding outliers (|g| &gt; 3.0) versus winsorized analysis; and (d) analysis restricted to RCTs only.</w:t>
      </w:r>
    </w:p>
    <w:p>
      <w:pPr>
        <w:spacing w:line="480" w:lineRule="auto" w:before="0" w:after="0"/>
        <w:ind w:firstLine="0"/>
        <w:jc w:val="left"/>
      </w:pPr>
      <w:r>
        <w:rPr>
          <w:rFonts w:ascii="Times New Roman" w:hAnsi="Times New Roman"/>
          <w:b/>
          <w:i/>
          <w:sz w:val="24"/>
        </w:rPr>
        <w:t>Outlier Treatment</w:t>
      </w:r>
    </w:p>
    <w:p>
      <w:pPr>
        <w:spacing w:line="480" w:lineRule="auto" w:before="0" w:after="0"/>
        <w:ind w:firstLine="720"/>
        <w:jc w:val="left"/>
      </w:pPr>
      <w:r>
        <w:rPr>
          <w:rFonts w:ascii="Times New Roman" w:hAnsi="Times New Roman"/>
          <w:b w:val="0"/>
          <w:i w:val="0"/>
          <w:sz w:val="24"/>
        </w:rPr>
        <w:t>Fourteen effect sizes exceeding |g| &gt; 3.0 were identified as potential outliers. Following recommendations for meta-analysis with extreme values (Viechtbauer &amp; Cheung, 2010), these were winsorized to ±3.0 rather than excluded, preserving all studies while reducing undue influence. Sensitivity analyses compared results with and without winsorization.</w:t>
      </w:r>
    </w:p>
    <w:p>
      <w:pPr>
        <w:spacing w:line="480" w:lineRule="auto" w:before="0" w:after="0"/>
        <w:ind w:firstLine="0"/>
        <w:jc w:val="center"/>
      </w:pPr>
      <w:r>
        <w:rPr>
          <w:rFonts w:ascii="Times New Roman" w:hAnsi="Times New Roman"/>
          <w:b/>
          <w:i w:val="0"/>
          <w:sz w:val="24"/>
        </w:rPr>
        <w:t>Results</w:t>
      </w:r>
    </w:p>
    <w:p>
      <w:pPr>
        <w:spacing w:line="480" w:lineRule="auto" w:before="0" w:after="0"/>
        <w:ind w:firstLine="0"/>
        <w:jc w:val="left"/>
      </w:pPr>
      <w:r>
        <w:rPr>
          <w:rFonts w:ascii="Times New Roman" w:hAnsi="Times New Roman"/>
          <w:b/>
          <w:i w:val="0"/>
          <w:sz w:val="24"/>
        </w:rPr>
        <w:t>Study Selection and Characteristics</w:t>
      </w:r>
    </w:p>
    <w:p>
      <w:pPr>
        <w:spacing w:line="480" w:lineRule="auto" w:before="0" w:after="0"/>
        <w:ind w:firstLine="720"/>
        <w:jc w:val="left"/>
      </w:pPr>
      <w:r>
        <w:rPr>
          <w:rFonts w:ascii="Times New Roman" w:hAnsi="Times New Roman"/>
          <w:b w:val="0"/>
          <w:i w:val="0"/>
          <w:sz w:val="24"/>
        </w:rPr>
        <w:t>The PRISMA 2020 flow diagram (Figure 1) summarizes the study selection process. Initial searches identified 3,247 records from electronic databases and 187 from other sources (citation searching, grey literature). After removing 891 duplicates and 387 records marked ineligible by automation tools, 2,156 records were screened by title and abstract. Following screening (1,847 excluded), 309 reports were sought for retrieval, of which 23 could not be retrieved. Full-text assessment of 286 reports excluded 221 studies, yielding 60 studies meeting all eligibility criteria with sufficient statistical information to calculate effect sizes and 343 valid Hedges' g estimates for quantitative synthesis.</w:t>
      </w:r>
    </w:p>
    <w:p>
      <w:pPr>
        <w:spacing w:line="480" w:lineRule="auto" w:before="240" w:after="240"/>
        <w:ind w:firstLine="0"/>
        <w:jc w:val="center"/>
      </w:pPr>
      <w:r>
        <w:rPr>
          <w:rFonts w:ascii="Times New Roman" w:hAnsi="Times New Roman"/>
          <w:b w:val="0"/>
          <w:i/>
          <w:sz w:val="24"/>
        </w:rPr>
        <w:t>Insert Figure 1 about here</w:t>
      </w:r>
    </w:p>
    <w:p>
      <w:pPr>
        <w:spacing w:line="480" w:lineRule="auto" w:before="0" w:after="0"/>
        <w:ind w:firstLine="720"/>
        <w:jc w:val="left"/>
      </w:pPr>
      <w:r>
        <w:rPr>
          <w:rFonts w:ascii="Times New Roman" w:hAnsi="Times New Roman"/>
          <w:b w:val="0"/>
          <w:i w:val="0"/>
          <w:sz w:val="24"/>
        </w:rPr>
        <w:t>Table 2 presents characteristics of the 60 studies included in quantitative synthesis. The total sample comprised 7,918 participants. Studies were published between 2023 and early 2026, with the majority (n = 41, 63.1%) published in 2025, reflecting the rapid growth of this literature following ChatGPT's release in November 2022. Study designs included randomized controlled trials (n = 34, 52.3%), quasi-experimental studies (n = 18, 27.7%), and other controlled designs (n = 13, 20.0%). Studies originated from databases including institutional sources via Penn State Libraries (PsycINFO, ERIC, Education Source; n = 24), Semantic Scholar (n = 18), OpenAlex (n = 14), arXiv (n = 5), and other sources including grey literature (n = 4).</w:t>
      </w:r>
    </w:p>
    <w:p>
      <w:pPr>
        <w:spacing w:line="480" w:lineRule="auto" w:before="240" w:after="0"/>
        <w:ind w:firstLine="0"/>
        <w:jc w:val="left"/>
      </w:pPr>
      <w:r>
        <w:rPr>
          <w:rFonts w:ascii="Times New Roman" w:hAnsi="Times New Roman"/>
          <w:b/>
          <w:i w:val="0"/>
          <w:sz w:val="24"/>
        </w:rPr>
        <w:t>Table 2</w:t>
      </w:r>
    </w:p>
    <w:p>
      <w:pPr>
        <w:spacing w:line="480" w:lineRule="auto" w:before="0" w:after="0"/>
        <w:ind w:firstLine="720"/>
        <w:jc w:val="left"/>
      </w:pPr>
      <w:r>
        <w:rPr>
          <w:rFonts w:ascii="Times New Roman" w:hAnsi="Times New Roman"/>
          <w:b w:val="0"/>
          <w:i/>
          <w:sz w:val="24"/>
        </w:rPr>
        <w:t>Characteristics of Included Studies (k = 65)</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40"/>
        <w:gridCol w:w="1040"/>
        <w:gridCol w:w="1040"/>
        <w:gridCol w:w="1040"/>
        <w:gridCol w:w="1040"/>
        <w:gridCol w:w="1040"/>
        <w:gridCol w:w="1040"/>
        <w:gridCol w:w="1040"/>
        <w:gridCol w:w="1040"/>
      </w:tblGrid>
      <w:tr>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ID</w:t>
            </w:r>
          </w:p>
        </w:tc>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Author(s)</w:t>
            </w:r>
          </w:p>
        </w:tc>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Year</w:t>
            </w:r>
          </w:p>
        </w:tc>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*N*</w:t>
            </w:r>
          </w:p>
        </w:tc>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Design</w:t>
            </w:r>
          </w:p>
        </w:tc>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GenAI Tool</w:t>
            </w:r>
          </w:p>
        </w:tc>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Outcomes</w:t>
            </w:r>
          </w:p>
        </w:tc>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w:t>
            </w:r>
          </w:p>
        </w:tc>
        <w:tc>
          <w:tcPr>
            <w:tcW w:type="dxa" w:w="104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*k*</w:t>
            </w:r>
          </w:p>
        </w:tc>
      </w:tr>
      <w:tr>
        <w:tc>
          <w:tcPr>
            <w:tcW w:type="dxa" w:w="1040"/>
          </w:tcPr>
          <w:p>
            <w:pPr>
              <w:spacing w:line="480" w:lineRule="auto" w:before="20" w:after="20"/>
              <w:ind w:firstLine="0"/>
              <w:jc w:val="left"/>
            </w:pPr>
            <w:r/>
            <w:r>
              <w:rPr>
                <w:rFonts w:ascii="Times New Roman" w:hAnsi="Times New Roman"/>
                <w:b w:val="0"/>
                <w:i w:val="0"/>
                <w:sz w:val="20"/>
              </w:rPr>
              <w:t>1</w:t>
            </w:r>
          </w:p>
        </w:tc>
        <w:tc>
          <w:tcPr>
            <w:tcW w:type="dxa" w:w="1040"/>
          </w:tcPr>
          <w:p>
            <w:pPr>
              <w:spacing w:line="480" w:lineRule="auto" w:before="20" w:after="20"/>
              <w:ind w:firstLine="0"/>
              <w:jc w:val="center"/>
            </w:pPr>
            <w:r/>
            <w:r>
              <w:rPr>
                <w:rFonts w:ascii="Times New Roman" w:hAnsi="Times New Roman"/>
                <w:b w:val="0"/>
                <w:i w:val="0"/>
                <w:sz w:val="20"/>
              </w:rPr>
              <w:t>Heo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86</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 Beh, Cog</w:t>
            </w:r>
          </w:p>
        </w:tc>
        <w:tc>
          <w:tcPr>
            <w:tcW w:type="dxa" w:w="1040"/>
          </w:tcPr>
          <w:p>
            <w:pPr>
              <w:spacing w:line="480" w:lineRule="auto" w:before="20" w:after="20"/>
              <w:ind w:firstLine="0"/>
              <w:jc w:val="center"/>
            </w:pPr>
            <w:r/>
            <w:r>
              <w:rPr>
                <w:rFonts w:ascii="Times New Roman" w:hAnsi="Times New Roman"/>
                <w:b w:val="0"/>
                <w:i w:val="0"/>
                <w:sz w:val="20"/>
              </w:rPr>
              <w:t>−0.06</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2</w:t>
            </w:r>
          </w:p>
        </w:tc>
        <w:tc>
          <w:tcPr>
            <w:tcW w:type="dxa" w:w="1040"/>
          </w:tcPr>
          <w:p>
            <w:pPr>
              <w:spacing w:line="480" w:lineRule="auto" w:before="20" w:after="20"/>
              <w:ind w:firstLine="0"/>
              <w:jc w:val="center"/>
            </w:pPr>
            <w:r/>
            <w:r>
              <w:rPr>
                <w:rFonts w:ascii="Times New Roman" w:hAnsi="Times New Roman"/>
                <w:b w:val="0"/>
                <w:i w:val="0"/>
                <w:sz w:val="20"/>
              </w:rPr>
              <w:t>He &amp; Li</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80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LLM</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0.61</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3</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50</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GPT-3.5</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0.49</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4</w:t>
            </w:r>
          </w:p>
        </w:tc>
        <w:tc>
          <w:tcPr>
            <w:tcW w:type="dxa" w:w="1040"/>
          </w:tcPr>
          <w:p>
            <w:pPr>
              <w:spacing w:line="480" w:lineRule="auto" w:before="20" w:after="20"/>
              <w:ind w:firstLine="0"/>
              <w:jc w:val="center"/>
            </w:pPr>
            <w:r/>
            <w:r>
              <w:rPr>
                <w:rFonts w:ascii="Times New Roman" w:hAnsi="Times New Roman"/>
                <w:b w:val="0"/>
                <w:i w:val="0"/>
                <w:sz w:val="20"/>
              </w:rPr>
              <w:t>Sagoo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40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Custom</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1.13</w:t>
            </w:r>
          </w:p>
        </w:tc>
        <w:tc>
          <w:tcPr>
            <w:tcW w:type="dxa" w:w="1040"/>
          </w:tcPr>
          <w:p>
            <w:pPr>
              <w:spacing w:line="480" w:lineRule="auto" w:before="20" w:after="20"/>
              <w:ind w:firstLine="0"/>
              <w:jc w:val="center"/>
            </w:pPr>
            <w:r/>
            <w:r>
              <w:rPr>
                <w:rFonts w:ascii="Times New Roman" w:hAnsi="Times New Roman"/>
                <w:b w:val="0"/>
                <w:i w:val="0"/>
                <w:sz w:val="20"/>
              </w:rPr>
              <w:t>12</w:t>
            </w:r>
          </w:p>
        </w:tc>
      </w:tr>
      <w:tr>
        <w:tc>
          <w:tcPr>
            <w:tcW w:type="dxa" w:w="1040"/>
          </w:tcPr>
          <w:p>
            <w:pPr>
              <w:spacing w:line="480" w:lineRule="auto" w:before="20" w:after="20"/>
              <w:ind w:firstLine="0"/>
              <w:jc w:val="left"/>
            </w:pPr>
            <w:r/>
            <w:r>
              <w:rPr>
                <w:rFonts w:ascii="Times New Roman" w:hAnsi="Times New Roman"/>
                <w:b w:val="0"/>
                <w:i w:val="0"/>
                <w:sz w:val="20"/>
              </w:rPr>
              <w:t>5</w:t>
            </w:r>
          </w:p>
        </w:tc>
        <w:tc>
          <w:tcPr>
            <w:tcW w:type="dxa" w:w="1040"/>
          </w:tcPr>
          <w:p>
            <w:pPr>
              <w:spacing w:line="480" w:lineRule="auto" w:before="20" w:after="20"/>
              <w:ind w:firstLine="0"/>
              <w:jc w:val="center"/>
            </w:pPr>
            <w:r/>
            <w:r>
              <w:rPr>
                <w:rFonts w:ascii="Times New Roman" w:hAnsi="Times New Roman"/>
                <w:b w:val="0"/>
                <w:i w:val="0"/>
                <w:sz w:val="20"/>
              </w:rPr>
              <w:t>Husain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53</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0.61</w:t>
            </w:r>
          </w:p>
        </w:tc>
        <w:tc>
          <w:tcPr>
            <w:tcW w:type="dxa" w:w="1040"/>
          </w:tcPr>
          <w:p>
            <w:pPr>
              <w:spacing w:line="480" w:lineRule="auto" w:before="20" w:after="20"/>
              <w:ind w:firstLine="0"/>
              <w:jc w:val="center"/>
            </w:pPr>
            <w:r/>
            <w:r>
              <w:rPr>
                <w:rFonts w:ascii="Times New Roman" w:hAnsi="Times New Roman"/>
                <w:b w:val="0"/>
                <w:i w:val="0"/>
                <w:sz w:val="20"/>
              </w:rPr>
              <w:t>1</w:t>
            </w:r>
          </w:p>
        </w:tc>
      </w:tr>
      <w:tr>
        <w:tc>
          <w:tcPr>
            <w:tcW w:type="dxa" w:w="1040"/>
          </w:tcPr>
          <w:p>
            <w:pPr>
              <w:spacing w:line="480" w:lineRule="auto" w:before="20" w:after="20"/>
              <w:ind w:firstLine="0"/>
              <w:jc w:val="left"/>
            </w:pPr>
            <w:r/>
            <w:r>
              <w:rPr>
                <w:rFonts w:ascii="Times New Roman" w:hAnsi="Times New Roman"/>
                <w:b w:val="0"/>
                <w:i w:val="0"/>
                <w:sz w:val="20"/>
              </w:rPr>
              <w:t>6</w:t>
            </w:r>
          </w:p>
        </w:tc>
        <w:tc>
          <w:tcPr>
            <w:tcW w:type="dxa" w:w="1040"/>
          </w:tcPr>
          <w:p>
            <w:pPr>
              <w:spacing w:line="480" w:lineRule="auto" w:before="20" w:after="20"/>
              <w:ind w:firstLine="0"/>
              <w:jc w:val="center"/>
            </w:pPr>
            <w:r/>
            <w:r>
              <w:rPr>
                <w:rFonts w:ascii="Times New Roman" w:hAnsi="Times New Roman"/>
                <w:b w:val="0"/>
                <w:i w:val="0"/>
                <w:sz w:val="20"/>
              </w:rPr>
              <w:t>Viriyavejakul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240</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Beh, Cog</w:t>
            </w:r>
          </w:p>
        </w:tc>
        <w:tc>
          <w:tcPr>
            <w:tcW w:type="dxa" w:w="1040"/>
          </w:tcPr>
          <w:p>
            <w:pPr>
              <w:spacing w:line="480" w:lineRule="auto" w:before="20" w:after="20"/>
              <w:ind w:firstLine="0"/>
              <w:jc w:val="center"/>
            </w:pPr>
            <w:r/>
            <w:r>
              <w:rPr>
                <w:rFonts w:ascii="Times New Roman" w:hAnsi="Times New Roman"/>
                <w:b w:val="0"/>
                <w:i w:val="0"/>
                <w:sz w:val="20"/>
              </w:rPr>
              <w:t>1.23</w:t>
            </w:r>
          </w:p>
        </w:tc>
        <w:tc>
          <w:tcPr>
            <w:tcW w:type="dxa" w:w="1040"/>
          </w:tcPr>
          <w:p>
            <w:pPr>
              <w:spacing w:line="480" w:lineRule="auto" w:before="20" w:after="20"/>
              <w:ind w:firstLine="0"/>
              <w:jc w:val="center"/>
            </w:pPr>
            <w:r/>
            <w:r>
              <w:rPr>
                <w:rFonts w:ascii="Times New Roman" w:hAnsi="Times New Roman"/>
                <w:b w:val="0"/>
                <w:i w:val="0"/>
                <w:sz w:val="20"/>
              </w:rPr>
              <w:t>8</w:t>
            </w:r>
          </w:p>
        </w:tc>
      </w:tr>
      <w:tr>
        <w:tc>
          <w:tcPr>
            <w:tcW w:type="dxa" w:w="1040"/>
          </w:tcPr>
          <w:p>
            <w:pPr>
              <w:spacing w:line="480" w:lineRule="auto" w:before="20" w:after="20"/>
              <w:ind w:firstLine="0"/>
              <w:jc w:val="left"/>
            </w:pPr>
            <w:r/>
            <w:r>
              <w:rPr>
                <w:rFonts w:ascii="Times New Roman" w:hAnsi="Times New Roman"/>
                <w:b w:val="0"/>
                <w:i w:val="0"/>
                <w:sz w:val="20"/>
              </w:rPr>
              <w:t>7</w:t>
            </w:r>
          </w:p>
        </w:tc>
        <w:tc>
          <w:tcPr>
            <w:tcW w:type="dxa" w:w="1040"/>
          </w:tcPr>
          <w:p>
            <w:pPr>
              <w:spacing w:line="480" w:lineRule="auto" w:before="20" w:after="20"/>
              <w:ind w:firstLine="0"/>
              <w:jc w:val="center"/>
            </w:pPr>
            <w:r/>
            <w:r>
              <w:rPr>
                <w:rFonts w:ascii="Times New Roman" w:hAnsi="Times New Roman"/>
                <w:b w:val="0"/>
                <w:i w:val="0"/>
                <w:sz w:val="20"/>
              </w:rPr>
              <w:t>Hong</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420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N/A</w:t>
            </w:r>
          </w:p>
        </w:tc>
        <w:tc>
          <w:tcPr>
            <w:tcW w:type="dxa" w:w="1040"/>
          </w:tcPr>
          <w:p>
            <w:pPr>
              <w:spacing w:line="480" w:lineRule="auto" w:before="20" w:after="20"/>
              <w:ind w:firstLine="0"/>
              <w:jc w:val="center"/>
            </w:pPr>
            <w:r/>
            <w:r>
              <w:rPr>
                <w:rFonts w:ascii="Times New Roman" w:hAnsi="Times New Roman"/>
                <w:b w:val="0"/>
                <w:i w:val="0"/>
                <w:sz w:val="20"/>
              </w:rPr>
              <w:t>Beh, Cog</w:t>
            </w:r>
          </w:p>
        </w:tc>
        <w:tc>
          <w:tcPr>
            <w:tcW w:type="dxa" w:w="1040"/>
          </w:tcPr>
          <w:p>
            <w:pPr>
              <w:spacing w:line="480" w:lineRule="auto" w:before="20" w:after="20"/>
              <w:ind w:firstLine="0"/>
              <w:jc w:val="center"/>
            </w:pPr>
            <w:r/>
            <w:r>
              <w:rPr>
                <w:rFonts w:ascii="Times New Roman" w:hAnsi="Times New Roman"/>
                <w:b w:val="0"/>
                <w:i w:val="0"/>
                <w:sz w:val="20"/>
              </w:rPr>
              <w:t>2.70</w:t>
            </w:r>
          </w:p>
        </w:tc>
        <w:tc>
          <w:tcPr>
            <w:tcW w:type="dxa" w:w="1040"/>
          </w:tcPr>
          <w:p>
            <w:pPr>
              <w:spacing w:line="480" w:lineRule="auto" w:before="20" w:after="20"/>
              <w:ind w:firstLine="0"/>
              <w:jc w:val="center"/>
            </w:pPr>
            <w:r/>
            <w:r>
              <w:rPr>
                <w:rFonts w:ascii="Times New Roman" w:hAnsi="Times New Roman"/>
                <w:b w:val="0"/>
                <w:i w:val="0"/>
                <w:sz w:val="20"/>
              </w:rPr>
              <w:t>6</w:t>
            </w:r>
          </w:p>
        </w:tc>
      </w:tr>
      <w:tr>
        <w:tc>
          <w:tcPr>
            <w:tcW w:type="dxa" w:w="1040"/>
          </w:tcPr>
          <w:p>
            <w:pPr>
              <w:spacing w:line="480" w:lineRule="auto" w:before="20" w:after="20"/>
              <w:ind w:firstLine="0"/>
              <w:jc w:val="left"/>
            </w:pPr>
            <w:r/>
            <w:r>
              <w:rPr>
                <w:rFonts w:ascii="Times New Roman" w:hAnsi="Times New Roman"/>
                <w:b w:val="0"/>
                <w:i w:val="0"/>
                <w:sz w:val="20"/>
              </w:rPr>
              <w:t>8</w:t>
            </w:r>
          </w:p>
        </w:tc>
        <w:tc>
          <w:tcPr>
            <w:tcW w:type="dxa" w:w="1040"/>
          </w:tcPr>
          <w:p>
            <w:pPr>
              <w:spacing w:line="480" w:lineRule="auto" w:before="20" w:after="20"/>
              <w:ind w:firstLine="0"/>
              <w:jc w:val="center"/>
            </w:pPr>
            <w:r/>
            <w:r>
              <w:rPr>
                <w:rFonts w:ascii="Times New Roman" w:hAnsi="Times New Roman"/>
                <w:b w:val="0"/>
                <w:i w:val="0"/>
                <w:sz w:val="20"/>
              </w:rPr>
              <w:t>Rolle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195</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−1.73</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9</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40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1.98</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10</w:t>
            </w:r>
          </w:p>
        </w:tc>
        <w:tc>
          <w:tcPr>
            <w:tcW w:type="dxa" w:w="1040"/>
          </w:tcPr>
          <w:p>
            <w:pPr>
              <w:spacing w:line="480" w:lineRule="auto" w:before="20" w:after="20"/>
              <w:ind w:firstLine="0"/>
              <w:jc w:val="center"/>
            </w:pPr>
            <w:r/>
            <w:r>
              <w:rPr>
                <w:rFonts w:ascii="Times New Roman" w:hAnsi="Times New Roman"/>
                <w:b w:val="0"/>
                <w:i w:val="0"/>
                <w:sz w:val="20"/>
              </w:rPr>
              <w:t>Zhang</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259</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Qwen</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0.50</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11</w:t>
            </w:r>
          </w:p>
        </w:tc>
        <w:tc>
          <w:tcPr>
            <w:tcW w:type="dxa" w:w="1040"/>
          </w:tcPr>
          <w:p>
            <w:pPr>
              <w:spacing w:line="480" w:lineRule="auto" w:before="20" w:after="20"/>
              <w:ind w:firstLine="0"/>
              <w:jc w:val="center"/>
            </w:pPr>
            <w:r/>
            <w:r>
              <w:rPr>
                <w:rFonts w:ascii="Times New Roman" w:hAnsi="Times New Roman"/>
                <w:b w:val="0"/>
                <w:i w:val="0"/>
                <w:sz w:val="20"/>
              </w:rPr>
              <w:t>Liu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142</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Beh, Cog</w:t>
            </w:r>
          </w:p>
        </w:tc>
        <w:tc>
          <w:tcPr>
            <w:tcW w:type="dxa" w:w="1040"/>
          </w:tcPr>
          <w:p>
            <w:pPr>
              <w:spacing w:line="480" w:lineRule="auto" w:before="20" w:after="20"/>
              <w:ind w:firstLine="0"/>
              <w:jc w:val="center"/>
            </w:pPr>
            <w:r/>
            <w:r>
              <w:rPr>
                <w:rFonts w:ascii="Times New Roman" w:hAnsi="Times New Roman"/>
                <w:b w:val="0"/>
                <w:i w:val="0"/>
                <w:sz w:val="20"/>
              </w:rPr>
              <w:t>−0.45</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12</w:t>
            </w:r>
          </w:p>
        </w:tc>
        <w:tc>
          <w:tcPr>
            <w:tcW w:type="dxa" w:w="1040"/>
          </w:tcPr>
          <w:p>
            <w:pPr>
              <w:spacing w:line="480" w:lineRule="auto" w:before="20" w:after="20"/>
              <w:ind w:firstLine="0"/>
              <w:jc w:val="center"/>
            </w:pPr>
            <w:r/>
            <w:r>
              <w:rPr>
                <w:rFonts w:ascii="Times New Roman" w:hAnsi="Times New Roman"/>
                <w:b w:val="0"/>
                <w:i w:val="0"/>
                <w:sz w:val="20"/>
              </w:rPr>
              <w:t>Zhao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68</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 Cog, Met</w:t>
            </w:r>
          </w:p>
        </w:tc>
        <w:tc>
          <w:tcPr>
            <w:tcW w:type="dxa" w:w="1040"/>
          </w:tcPr>
          <w:p>
            <w:pPr>
              <w:spacing w:line="480" w:lineRule="auto" w:before="20" w:after="20"/>
              <w:ind w:firstLine="0"/>
              <w:jc w:val="center"/>
            </w:pPr>
            <w:r/>
            <w:r>
              <w:rPr>
                <w:rFonts w:ascii="Times New Roman" w:hAnsi="Times New Roman"/>
                <w:b w:val="0"/>
                <w:i w:val="0"/>
                <w:sz w:val="20"/>
              </w:rPr>
              <w:t>0.61</w:t>
            </w:r>
          </w:p>
        </w:tc>
        <w:tc>
          <w:tcPr>
            <w:tcW w:type="dxa" w:w="1040"/>
          </w:tcPr>
          <w:p>
            <w:pPr>
              <w:spacing w:line="480" w:lineRule="auto" w:before="20" w:after="20"/>
              <w:ind w:firstLine="0"/>
              <w:jc w:val="center"/>
            </w:pPr>
            <w:r/>
            <w:r>
              <w:rPr>
                <w:rFonts w:ascii="Times New Roman" w:hAnsi="Times New Roman"/>
                <w:b w:val="0"/>
                <w:i w:val="0"/>
                <w:sz w:val="20"/>
              </w:rPr>
              <w:t>10</w:t>
            </w:r>
          </w:p>
        </w:tc>
      </w:tr>
      <w:tr>
        <w:tc>
          <w:tcPr>
            <w:tcW w:type="dxa" w:w="1040"/>
          </w:tcPr>
          <w:p>
            <w:pPr>
              <w:spacing w:line="480" w:lineRule="auto" w:before="20" w:after="20"/>
              <w:ind w:firstLine="0"/>
              <w:jc w:val="left"/>
            </w:pPr>
            <w:r/>
            <w:r>
              <w:rPr>
                <w:rFonts w:ascii="Times New Roman" w:hAnsi="Times New Roman"/>
                <w:b w:val="0"/>
                <w:i w:val="0"/>
                <w:sz w:val="20"/>
              </w:rPr>
              <w:t>13</w:t>
            </w:r>
          </w:p>
        </w:tc>
        <w:tc>
          <w:tcPr>
            <w:tcW w:type="dxa" w:w="1040"/>
          </w:tcPr>
          <w:p>
            <w:pPr>
              <w:spacing w:line="480" w:lineRule="auto" w:before="20" w:after="20"/>
              <w:ind w:firstLine="0"/>
              <w:jc w:val="center"/>
            </w:pPr>
            <w:r/>
            <w:r>
              <w:rPr>
                <w:rFonts w:ascii="Times New Roman" w:hAnsi="Times New Roman"/>
                <w:b w:val="0"/>
                <w:i w:val="0"/>
                <w:sz w:val="20"/>
              </w:rPr>
              <w:t>Nakatani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68</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0.32</w:t>
            </w:r>
          </w:p>
        </w:tc>
        <w:tc>
          <w:tcPr>
            <w:tcW w:type="dxa" w:w="1040"/>
          </w:tcPr>
          <w:p>
            <w:pPr>
              <w:spacing w:line="480" w:lineRule="auto" w:before="20" w:after="20"/>
              <w:ind w:firstLine="0"/>
              <w:jc w:val="center"/>
            </w:pPr>
            <w:r/>
            <w:r>
              <w:rPr>
                <w:rFonts w:ascii="Times New Roman" w:hAnsi="Times New Roman"/>
                <w:b w:val="0"/>
                <w:i w:val="0"/>
                <w:sz w:val="20"/>
              </w:rPr>
              <w:t>7</w:t>
            </w:r>
          </w:p>
        </w:tc>
      </w:tr>
      <w:tr>
        <w:tc>
          <w:tcPr>
            <w:tcW w:type="dxa" w:w="1040"/>
          </w:tcPr>
          <w:p>
            <w:pPr>
              <w:spacing w:line="480" w:lineRule="auto" w:before="20" w:after="20"/>
              <w:ind w:firstLine="0"/>
              <w:jc w:val="left"/>
            </w:pPr>
            <w:r/>
            <w:r>
              <w:rPr>
                <w:rFonts w:ascii="Times New Roman" w:hAnsi="Times New Roman"/>
                <w:b w:val="0"/>
                <w:i w:val="0"/>
                <w:sz w:val="20"/>
              </w:rPr>
              <w:t>14</w:t>
            </w:r>
          </w:p>
        </w:tc>
        <w:tc>
          <w:tcPr>
            <w:tcW w:type="dxa" w:w="1040"/>
          </w:tcPr>
          <w:p>
            <w:pPr>
              <w:spacing w:line="480" w:lineRule="auto" w:before="20" w:after="20"/>
              <w:ind w:firstLine="0"/>
              <w:jc w:val="center"/>
            </w:pPr>
            <w:r/>
            <w:r>
              <w:rPr>
                <w:rFonts w:ascii="Times New Roman" w:hAnsi="Times New Roman"/>
                <w:b w:val="0"/>
                <w:i w:val="0"/>
                <w:sz w:val="20"/>
              </w:rPr>
              <w:t>Zhang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80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 Cog, Met</w:t>
            </w:r>
          </w:p>
        </w:tc>
        <w:tc>
          <w:tcPr>
            <w:tcW w:type="dxa" w:w="1040"/>
          </w:tcPr>
          <w:p>
            <w:pPr>
              <w:spacing w:line="480" w:lineRule="auto" w:before="20" w:after="20"/>
              <w:ind w:firstLine="0"/>
              <w:jc w:val="center"/>
            </w:pPr>
            <w:r/>
            <w:r>
              <w:rPr>
                <w:rFonts w:ascii="Times New Roman" w:hAnsi="Times New Roman"/>
                <w:b w:val="0"/>
                <w:i w:val="0"/>
                <w:sz w:val="20"/>
              </w:rPr>
              <w:t>−0.18</w:t>
            </w:r>
          </w:p>
        </w:tc>
        <w:tc>
          <w:tcPr>
            <w:tcW w:type="dxa" w:w="1040"/>
          </w:tcPr>
          <w:p>
            <w:pPr>
              <w:spacing w:line="480" w:lineRule="auto" w:before="20" w:after="20"/>
              <w:ind w:firstLine="0"/>
              <w:jc w:val="center"/>
            </w:pPr>
            <w:r/>
            <w:r>
              <w:rPr>
                <w:rFonts w:ascii="Times New Roman" w:hAnsi="Times New Roman"/>
                <w:b w:val="0"/>
                <w:i w:val="0"/>
                <w:sz w:val="20"/>
              </w:rPr>
              <w:t>8</w:t>
            </w:r>
          </w:p>
        </w:tc>
      </w:tr>
      <w:tr>
        <w:tc>
          <w:tcPr>
            <w:tcW w:type="dxa" w:w="1040"/>
          </w:tcPr>
          <w:p>
            <w:pPr>
              <w:spacing w:line="480" w:lineRule="auto" w:before="20" w:after="20"/>
              <w:ind w:firstLine="0"/>
              <w:jc w:val="left"/>
            </w:pPr>
            <w:r/>
            <w:r>
              <w:rPr>
                <w:rFonts w:ascii="Times New Roman" w:hAnsi="Times New Roman"/>
                <w:b w:val="0"/>
                <w:i w:val="0"/>
                <w:sz w:val="20"/>
              </w:rPr>
              <w:t>15</w:t>
            </w:r>
          </w:p>
        </w:tc>
        <w:tc>
          <w:tcPr>
            <w:tcW w:type="dxa" w:w="1040"/>
          </w:tcPr>
          <w:p>
            <w:pPr>
              <w:spacing w:line="480" w:lineRule="auto" w:before="20" w:after="20"/>
              <w:ind w:firstLine="0"/>
              <w:jc w:val="center"/>
            </w:pPr>
            <w:r/>
            <w:r>
              <w:rPr>
                <w:rFonts w:ascii="Times New Roman" w:hAnsi="Times New Roman"/>
                <w:b w:val="0"/>
                <w:i w:val="0"/>
                <w:sz w:val="20"/>
              </w:rPr>
              <w:t>Lyu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36</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Aff, Cog, Met</w:t>
            </w:r>
          </w:p>
        </w:tc>
        <w:tc>
          <w:tcPr>
            <w:tcW w:type="dxa" w:w="1040"/>
          </w:tcPr>
          <w:p>
            <w:pPr>
              <w:spacing w:line="480" w:lineRule="auto" w:before="20" w:after="20"/>
              <w:ind w:firstLine="0"/>
              <w:jc w:val="center"/>
            </w:pPr>
            <w:r/>
            <w:r>
              <w:rPr>
                <w:rFonts w:ascii="Times New Roman" w:hAnsi="Times New Roman"/>
                <w:b w:val="0"/>
                <w:i w:val="0"/>
                <w:sz w:val="20"/>
              </w:rPr>
              <w:t>0.66</w:t>
            </w:r>
          </w:p>
        </w:tc>
        <w:tc>
          <w:tcPr>
            <w:tcW w:type="dxa" w:w="1040"/>
          </w:tcPr>
          <w:p>
            <w:pPr>
              <w:spacing w:line="480" w:lineRule="auto" w:before="20" w:after="20"/>
              <w:ind w:firstLine="0"/>
              <w:jc w:val="center"/>
            </w:pPr>
            <w:r/>
            <w:r>
              <w:rPr>
                <w:rFonts w:ascii="Times New Roman" w:hAnsi="Times New Roman"/>
                <w:b w:val="0"/>
                <w:i w:val="0"/>
                <w:sz w:val="20"/>
              </w:rPr>
              <w:t>13</w:t>
            </w:r>
          </w:p>
        </w:tc>
      </w:tr>
      <w:tr>
        <w:tc>
          <w:tcPr>
            <w:tcW w:type="dxa" w:w="1040"/>
          </w:tcPr>
          <w:p>
            <w:pPr>
              <w:spacing w:line="480" w:lineRule="auto" w:before="20" w:after="20"/>
              <w:ind w:firstLine="0"/>
              <w:jc w:val="left"/>
            </w:pPr>
            <w:r/>
            <w:r>
              <w:rPr>
                <w:rFonts w:ascii="Times New Roman" w:hAnsi="Times New Roman"/>
                <w:b w:val="0"/>
                <w:i w:val="0"/>
                <w:sz w:val="20"/>
              </w:rPr>
              <w:t>16</w:t>
            </w:r>
          </w:p>
        </w:tc>
        <w:tc>
          <w:tcPr>
            <w:tcW w:type="dxa" w:w="1040"/>
          </w:tcPr>
          <w:p>
            <w:pPr>
              <w:spacing w:line="480" w:lineRule="auto" w:before="20" w:after="20"/>
              <w:ind w:firstLine="0"/>
              <w:jc w:val="center"/>
            </w:pPr>
            <w:r/>
            <w:r>
              <w:rPr>
                <w:rFonts w:ascii="Times New Roman" w:hAnsi="Times New Roman"/>
                <w:b w:val="0"/>
                <w:i w:val="0"/>
                <w:sz w:val="20"/>
              </w:rPr>
              <w:t>Jost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37</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−0.25</w:t>
            </w:r>
          </w:p>
        </w:tc>
        <w:tc>
          <w:tcPr>
            <w:tcW w:type="dxa" w:w="1040"/>
          </w:tcPr>
          <w:p>
            <w:pPr>
              <w:spacing w:line="480" w:lineRule="auto" w:before="20" w:after="20"/>
              <w:ind w:firstLine="0"/>
              <w:jc w:val="center"/>
            </w:pPr>
            <w:r/>
            <w:r>
              <w:rPr>
                <w:rFonts w:ascii="Times New Roman" w:hAnsi="Times New Roman"/>
                <w:b w:val="0"/>
                <w:i w:val="0"/>
                <w:sz w:val="20"/>
              </w:rPr>
              <w:t>7</w:t>
            </w:r>
          </w:p>
        </w:tc>
      </w:tr>
      <w:tr>
        <w:tc>
          <w:tcPr>
            <w:tcW w:type="dxa" w:w="1040"/>
          </w:tcPr>
          <w:p>
            <w:pPr>
              <w:spacing w:line="480" w:lineRule="auto" w:before="20" w:after="20"/>
              <w:ind w:firstLine="0"/>
              <w:jc w:val="left"/>
            </w:pPr>
            <w:r/>
            <w:r>
              <w:rPr>
                <w:rFonts w:ascii="Times New Roman" w:hAnsi="Times New Roman"/>
                <w:b w:val="0"/>
                <w:i w:val="0"/>
                <w:sz w:val="20"/>
              </w:rPr>
              <w:t>17</w:t>
            </w:r>
          </w:p>
        </w:tc>
        <w:tc>
          <w:tcPr>
            <w:tcW w:type="dxa" w:w="1040"/>
          </w:tcPr>
          <w:p>
            <w:pPr>
              <w:spacing w:line="480" w:lineRule="auto" w:before="20" w:after="20"/>
              <w:ind w:firstLine="0"/>
              <w:jc w:val="center"/>
            </w:pPr>
            <w:r/>
            <w:r>
              <w:rPr>
                <w:rFonts w:ascii="Times New Roman" w:hAnsi="Times New Roman"/>
                <w:b w:val="0"/>
                <w:i w:val="0"/>
                <w:sz w:val="20"/>
              </w:rPr>
              <w:t>Huang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61</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GPT-4o</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1.03</w:t>
            </w:r>
          </w:p>
        </w:tc>
        <w:tc>
          <w:tcPr>
            <w:tcW w:type="dxa" w:w="1040"/>
          </w:tcPr>
          <w:p>
            <w:pPr>
              <w:spacing w:line="480" w:lineRule="auto" w:before="20" w:after="20"/>
              <w:ind w:firstLine="0"/>
              <w:jc w:val="center"/>
            </w:pPr>
            <w:r/>
            <w:r>
              <w:rPr>
                <w:rFonts w:ascii="Times New Roman" w:hAnsi="Times New Roman"/>
                <w:b w:val="0"/>
                <w:i w:val="0"/>
                <w:sz w:val="20"/>
              </w:rPr>
              <w:t>8</w:t>
            </w:r>
          </w:p>
        </w:tc>
      </w:tr>
      <w:tr>
        <w:tc>
          <w:tcPr>
            <w:tcW w:type="dxa" w:w="1040"/>
          </w:tcPr>
          <w:p>
            <w:pPr>
              <w:spacing w:line="480" w:lineRule="auto" w:before="20" w:after="20"/>
              <w:ind w:firstLine="0"/>
              <w:jc w:val="left"/>
            </w:pPr>
            <w:r/>
            <w:r>
              <w:rPr>
                <w:rFonts w:ascii="Times New Roman" w:hAnsi="Times New Roman"/>
                <w:b w:val="0"/>
                <w:i w:val="0"/>
                <w:sz w:val="20"/>
              </w:rPr>
              <w:t>18</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120</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0.51</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19</w:t>
            </w:r>
          </w:p>
        </w:tc>
        <w:tc>
          <w:tcPr>
            <w:tcW w:type="dxa" w:w="1040"/>
          </w:tcPr>
          <w:p>
            <w:pPr>
              <w:spacing w:line="480" w:lineRule="auto" w:before="20" w:after="20"/>
              <w:ind w:firstLine="0"/>
              <w:jc w:val="center"/>
            </w:pPr>
            <w:r/>
            <w:r>
              <w:rPr>
                <w:rFonts w:ascii="Times New Roman" w:hAnsi="Times New Roman"/>
                <w:b w:val="0"/>
                <w:i w:val="0"/>
                <w:sz w:val="20"/>
              </w:rPr>
              <w:t>Pensky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34</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Beh</w:t>
            </w:r>
          </w:p>
        </w:tc>
        <w:tc>
          <w:tcPr>
            <w:tcW w:type="dxa" w:w="1040"/>
          </w:tcPr>
          <w:p>
            <w:pPr>
              <w:spacing w:line="480" w:lineRule="auto" w:before="20" w:after="20"/>
              <w:ind w:firstLine="0"/>
              <w:jc w:val="center"/>
            </w:pPr>
            <w:r/>
            <w:r>
              <w:rPr>
                <w:rFonts w:ascii="Times New Roman" w:hAnsi="Times New Roman"/>
                <w:b w:val="0"/>
                <w:i w:val="0"/>
                <w:sz w:val="20"/>
              </w:rPr>
              <w:t>0.30</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20</w:t>
            </w:r>
          </w:p>
        </w:tc>
        <w:tc>
          <w:tcPr>
            <w:tcW w:type="dxa" w:w="1040"/>
          </w:tcPr>
          <w:p>
            <w:pPr>
              <w:spacing w:line="480" w:lineRule="auto" w:before="20" w:after="20"/>
              <w:ind w:firstLine="0"/>
              <w:jc w:val="center"/>
            </w:pPr>
            <w:r/>
            <w:r>
              <w:rPr>
                <w:rFonts w:ascii="Times New Roman" w:hAnsi="Times New Roman"/>
                <w:b w:val="0"/>
                <w:i w:val="0"/>
                <w:sz w:val="20"/>
              </w:rPr>
              <w:t>Toker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61</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0.49</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21</w:t>
            </w:r>
          </w:p>
        </w:tc>
        <w:tc>
          <w:tcPr>
            <w:tcW w:type="dxa" w:w="1040"/>
          </w:tcPr>
          <w:p>
            <w:pPr>
              <w:spacing w:line="480" w:lineRule="auto" w:before="20" w:after="20"/>
              <w:ind w:firstLine="0"/>
              <w:jc w:val="center"/>
            </w:pPr>
            <w:r/>
            <w:r>
              <w:rPr>
                <w:rFonts w:ascii="Times New Roman" w:hAnsi="Times New Roman"/>
                <w:b w:val="0"/>
                <w:i w:val="0"/>
                <w:sz w:val="20"/>
              </w:rPr>
              <w:t>Al-Homidhi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60</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−0.13</w:t>
            </w:r>
          </w:p>
        </w:tc>
        <w:tc>
          <w:tcPr>
            <w:tcW w:type="dxa" w:w="1040"/>
          </w:tcPr>
          <w:p>
            <w:pPr>
              <w:spacing w:line="480" w:lineRule="auto" w:before="20" w:after="20"/>
              <w:ind w:firstLine="0"/>
              <w:jc w:val="center"/>
            </w:pPr>
            <w:r/>
            <w:r>
              <w:rPr>
                <w:rFonts w:ascii="Times New Roman" w:hAnsi="Times New Roman"/>
                <w:b w:val="0"/>
                <w:i w:val="0"/>
                <w:sz w:val="20"/>
              </w:rPr>
              <w:t>6</w:t>
            </w:r>
          </w:p>
        </w:tc>
      </w:tr>
      <w:tr>
        <w:tc>
          <w:tcPr>
            <w:tcW w:type="dxa" w:w="1040"/>
          </w:tcPr>
          <w:p>
            <w:pPr>
              <w:spacing w:line="480" w:lineRule="auto" w:before="20" w:after="20"/>
              <w:ind w:firstLine="0"/>
              <w:jc w:val="left"/>
            </w:pPr>
            <w:r/>
            <w:r>
              <w:rPr>
                <w:rFonts w:ascii="Times New Roman" w:hAnsi="Times New Roman"/>
                <w:b w:val="0"/>
                <w:i w:val="0"/>
                <w:sz w:val="20"/>
              </w:rPr>
              <w:t>22</w:t>
            </w:r>
          </w:p>
        </w:tc>
        <w:tc>
          <w:tcPr>
            <w:tcW w:type="dxa" w:w="1040"/>
          </w:tcPr>
          <w:p>
            <w:pPr>
              <w:spacing w:line="480" w:lineRule="auto" w:before="20" w:after="20"/>
              <w:ind w:firstLine="0"/>
              <w:jc w:val="center"/>
            </w:pPr>
            <w:r/>
            <w:r>
              <w:rPr>
                <w:rFonts w:ascii="Times New Roman" w:hAnsi="Times New Roman"/>
                <w:b w:val="0"/>
                <w:i w:val="0"/>
                <w:sz w:val="20"/>
              </w:rPr>
              <w:t>Su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66</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0.87</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23</w:t>
            </w:r>
          </w:p>
        </w:tc>
        <w:tc>
          <w:tcPr>
            <w:tcW w:type="dxa" w:w="1040"/>
          </w:tcPr>
          <w:p>
            <w:pPr>
              <w:spacing w:line="480" w:lineRule="auto" w:before="20" w:after="20"/>
              <w:ind w:firstLine="0"/>
              <w:jc w:val="center"/>
            </w:pPr>
            <w:r/>
            <w:r>
              <w:rPr>
                <w:rFonts w:ascii="Times New Roman" w:hAnsi="Times New Roman"/>
                <w:b w:val="0"/>
                <w:i w:val="0"/>
                <w:sz w:val="20"/>
              </w:rPr>
              <w:t>Kasimovskaya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150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 Beh, Cog</w:t>
            </w:r>
          </w:p>
        </w:tc>
        <w:tc>
          <w:tcPr>
            <w:tcW w:type="dxa" w:w="1040"/>
          </w:tcPr>
          <w:p>
            <w:pPr>
              <w:spacing w:line="480" w:lineRule="auto" w:before="20" w:after="20"/>
              <w:ind w:firstLine="0"/>
              <w:jc w:val="center"/>
            </w:pPr>
            <w:r/>
            <w:r>
              <w:rPr>
                <w:rFonts w:ascii="Times New Roman" w:hAnsi="Times New Roman"/>
                <w:b w:val="0"/>
                <w:i w:val="0"/>
                <w:sz w:val="20"/>
              </w:rPr>
              <w:t>1.43</w:t>
            </w:r>
          </w:p>
        </w:tc>
        <w:tc>
          <w:tcPr>
            <w:tcW w:type="dxa" w:w="1040"/>
          </w:tcPr>
          <w:p>
            <w:pPr>
              <w:spacing w:line="480" w:lineRule="auto" w:before="20" w:after="20"/>
              <w:ind w:firstLine="0"/>
              <w:jc w:val="center"/>
            </w:pPr>
            <w:r/>
            <w:r>
              <w:rPr>
                <w:rFonts w:ascii="Times New Roman" w:hAnsi="Times New Roman"/>
                <w:b w:val="0"/>
                <w:i w:val="0"/>
                <w:sz w:val="20"/>
              </w:rPr>
              <w:t>17</w:t>
            </w:r>
          </w:p>
        </w:tc>
      </w:tr>
      <w:tr>
        <w:tc>
          <w:tcPr>
            <w:tcW w:type="dxa" w:w="1040"/>
          </w:tcPr>
          <w:p>
            <w:pPr>
              <w:spacing w:line="480" w:lineRule="auto" w:before="20" w:after="20"/>
              <w:ind w:firstLine="0"/>
              <w:jc w:val="left"/>
            </w:pPr>
            <w:r/>
            <w:r>
              <w:rPr>
                <w:rFonts w:ascii="Times New Roman" w:hAnsi="Times New Roman"/>
                <w:b w:val="0"/>
                <w:i w:val="0"/>
                <w:sz w:val="20"/>
              </w:rPr>
              <w:t>24</w:t>
            </w:r>
          </w:p>
        </w:tc>
        <w:tc>
          <w:tcPr>
            <w:tcW w:type="dxa" w:w="1040"/>
          </w:tcPr>
          <w:p>
            <w:pPr>
              <w:spacing w:line="480" w:lineRule="auto" w:before="20" w:after="20"/>
              <w:ind w:firstLine="0"/>
              <w:jc w:val="center"/>
            </w:pPr>
            <w:r/>
            <w:r>
              <w:rPr>
                <w:rFonts w:ascii="Times New Roman" w:hAnsi="Times New Roman"/>
                <w:b w:val="0"/>
                <w:i w:val="0"/>
                <w:sz w:val="20"/>
              </w:rPr>
              <w:t>Qi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286</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w:t>
            </w:r>
          </w:p>
        </w:tc>
        <w:tc>
          <w:tcPr>
            <w:tcW w:type="dxa" w:w="1040"/>
          </w:tcPr>
          <w:p>
            <w:pPr>
              <w:spacing w:line="480" w:lineRule="auto" w:before="20" w:after="20"/>
              <w:ind w:firstLine="0"/>
              <w:jc w:val="center"/>
            </w:pPr>
            <w:r/>
            <w:r>
              <w:rPr>
                <w:rFonts w:ascii="Times New Roman" w:hAnsi="Times New Roman"/>
                <w:b w:val="0"/>
                <w:i w:val="0"/>
                <w:sz w:val="20"/>
              </w:rPr>
              <w:t>−0.23</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25</w:t>
            </w:r>
          </w:p>
        </w:tc>
        <w:tc>
          <w:tcPr>
            <w:tcW w:type="dxa" w:w="1040"/>
          </w:tcPr>
          <w:p>
            <w:pPr>
              <w:spacing w:line="480" w:lineRule="auto" w:before="20" w:after="20"/>
              <w:ind w:firstLine="0"/>
              <w:jc w:val="center"/>
            </w:pPr>
            <w:r/>
            <w:r>
              <w:rPr>
                <w:rFonts w:ascii="Times New Roman" w:hAnsi="Times New Roman"/>
                <w:b w:val="0"/>
                <w:i w:val="0"/>
                <w:sz w:val="20"/>
              </w:rPr>
              <w:t>Nazli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55</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Cog, Met</w:t>
            </w:r>
          </w:p>
        </w:tc>
        <w:tc>
          <w:tcPr>
            <w:tcW w:type="dxa" w:w="1040"/>
          </w:tcPr>
          <w:p>
            <w:pPr>
              <w:spacing w:line="480" w:lineRule="auto" w:before="20" w:after="20"/>
              <w:ind w:firstLine="0"/>
              <w:jc w:val="center"/>
            </w:pPr>
            <w:r/>
            <w:r>
              <w:rPr>
                <w:rFonts w:ascii="Times New Roman" w:hAnsi="Times New Roman"/>
                <w:b w:val="0"/>
                <w:i w:val="0"/>
                <w:sz w:val="20"/>
              </w:rPr>
              <w:t>0.42</w:t>
            </w:r>
          </w:p>
        </w:tc>
        <w:tc>
          <w:tcPr>
            <w:tcW w:type="dxa" w:w="1040"/>
          </w:tcPr>
          <w:p>
            <w:pPr>
              <w:spacing w:line="480" w:lineRule="auto" w:before="20" w:after="20"/>
              <w:ind w:firstLine="0"/>
              <w:jc w:val="center"/>
            </w:pPr>
            <w:r/>
            <w:r>
              <w:rPr>
                <w:rFonts w:ascii="Times New Roman" w:hAnsi="Times New Roman"/>
                <w:b w:val="0"/>
                <w:i w:val="0"/>
                <w:sz w:val="20"/>
              </w:rPr>
              <w:t>8</w:t>
            </w:r>
          </w:p>
        </w:tc>
      </w:tr>
      <w:tr>
        <w:tc>
          <w:tcPr>
            <w:tcW w:type="dxa" w:w="1040"/>
          </w:tcPr>
          <w:p>
            <w:pPr>
              <w:spacing w:line="480" w:lineRule="auto" w:before="20" w:after="20"/>
              <w:ind w:firstLine="0"/>
              <w:jc w:val="left"/>
            </w:pPr>
            <w:r/>
            <w:r>
              <w:rPr>
                <w:rFonts w:ascii="Times New Roman" w:hAnsi="Times New Roman"/>
                <w:b w:val="0"/>
                <w:i w:val="0"/>
                <w:sz w:val="20"/>
              </w:rPr>
              <w:t>26</w:t>
            </w:r>
          </w:p>
        </w:tc>
        <w:tc>
          <w:tcPr>
            <w:tcW w:type="dxa" w:w="1040"/>
          </w:tcPr>
          <w:p>
            <w:pPr>
              <w:spacing w:line="480" w:lineRule="auto" w:before="20" w:after="20"/>
              <w:ind w:firstLine="0"/>
              <w:jc w:val="center"/>
            </w:pPr>
            <w:r/>
            <w:r>
              <w:rPr>
                <w:rFonts w:ascii="Times New Roman" w:hAnsi="Times New Roman"/>
                <w:b w:val="0"/>
                <w:i w:val="0"/>
                <w:sz w:val="20"/>
              </w:rPr>
              <w:t>Inzlicht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108</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w:t>
            </w:r>
          </w:p>
        </w:tc>
        <w:tc>
          <w:tcPr>
            <w:tcW w:type="dxa" w:w="1040"/>
          </w:tcPr>
          <w:p>
            <w:pPr>
              <w:spacing w:line="480" w:lineRule="auto" w:before="20" w:after="20"/>
              <w:ind w:firstLine="0"/>
              <w:jc w:val="center"/>
            </w:pPr>
            <w:r/>
            <w:r>
              <w:rPr>
                <w:rFonts w:ascii="Times New Roman" w:hAnsi="Times New Roman"/>
                <w:b w:val="0"/>
                <w:i w:val="0"/>
                <w:sz w:val="20"/>
              </w:rPr>
              <w:t>0.80</w:t>
            </w:r>
          </w:p>
        </w:tc>
        <w:tc>
          <w:tcPr>
            <w:tcW w:type="dxa" w:w="1040"/>
          </w:tcPr>
          <w:p>
            <w:pPr>
              <w:spacing w:line="480" w:lineRule="auto" w:before="20" w:after="20"/>
              <w:ind w:firstLine="0"/>
              <w:jc w:val="center"/>
            </w:pPr>
            <w:r/>
            <w:r>
              <w:rPr>
                <w:rFonts w:ascii="Times New Roman" w:hAnsi="Times New Roman"/>
                <w:b w:val="0"/>
                <w:i w:val="0"/>
                <w:sz w:val="20"/>
              </w:rPr>
              <w:t>8</w:t>
            </w:r>
          </w:p>
        </w:tc>
      </w:tr>
      <w:tr>
        <w:tc>
          <w:tcPr>
            <w:tcW w:type="dxa" w:w="1040"/>
          </w:tcPr>
          <w:p>
            <w:pPr>
              <w:spacing w:line="480" w:lineRule="auto" w:before="20" w:after="20"/>
              <w:ind w:firstLine="0"/>
              <w:jc w:val="left"/>
            </w:pPr>
            <w:r/>
            <w:r>
              <w:rPr>
                <w:rFonts w:ascii="Times New Roman" w:hAnsi="Times New Roman"/>
                <w:b w:val="0"/>
                <w:i w:val="0"/>
                <w:sz w:val="20"/>
              </w:rPr>
              <w:t>27</w:t>
            </w:r>
          </w:p>
        </w:tc>
        <w:tc>
          <w:tcPr>
            <w:tcW w:type="dxa" w:w="1040"/>
          </w:tcPr>
          <w:p>
            <w:pPr>
              <w:spacing w:line="480" w:lineRule="auto" w:before="20" w:after="20"/>
              <w:ind w:firstLine="0"/>
              <w:jc w:val="center"/>
            </w:pPr>
            <w:r/>
            <w:r>
              <w:rPr>
                <w:rFonts w:ascii="Times New Roman" w:hAnsi="Times New Roman"/>
                <w:b w:val="0"/>
                <w:i w:val="0"/>
                <w:sz w:val="20"/>
              </w:rPr>
              <w:t>Tiandem-Adamou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200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0.66</w:t>
            </w:r>
          </w:p>
        </w:tc>
        <w:tc>
          <w:tcPr>
            <w:tcW w:type="dxa" w:w="1040"/>
          </w:tcPr>
          <w:p>
            <w:pPr>
              <w:spacing w:line="480" w:lineRule="auto" w:before="20" w:after="20"/>
              <w:ind w:firstLine="0"/>
              <w:jc w:val="center"/>
            </w:pPr>
            <w:r/>
            <w:r>
              <w:rPr>
                <w:rFonts w:ascii="Times New Roman" w:hAnsi="Times New Roman"/>
                <w:b w:val="0"/>
                <w:i w:val="0"/>
                <w:sz w:val="20"/>
              </w:rPr>
              <w:t>16</w:t>
            </w:r>
          </w:p>
        </w:tc>
      </w:tr>
      <w:tr>
        <w:tc>
          <w:tcPr>
            <w:tcW w:type="dxa" w:w="1040"/>
          </w:tcPr>
          <w:p>
            <w:pPr>
              <w:spacing w:line="480" w:lineRule="auto" w:before="20" w:after="20"/>
              <w:ind w:firstLine="0"/>
              <w:jc w:val="left"/>
            </w:pPr>
            <w:r/>
            <w:r>
              <w:rPr>
                <w:rFonts w:ascii="Times New Roman" w:hAnsi="Times New Roman"/>
                <w:b w:val="0"/>
                <w:i w:val="0"/>
                <w:sz w:val="20"/>
              </w:rPr>
              <w:t>28</w:t>
            </w:r>
          </w:p>
        </w:tc>
        <w:tc>
          <w:tcPr>
            <w:tcW w:type="dxa" w:w="1040"/>
          </w:tcPr>
          <w:p>
            <w:pPr>
              <w:spacing w:line="480" w:lineRule="auto" w:before="20" w:after="20"/>
              <w:ind w:firstLine="0"/>
              <w:jc w:val="center"/>
            </w:pPr>
            <w:r/>
            <w:r>
              <w:rPr>
                <w:rFonts w:ascii="Times New Roman" w:hAnsi="Times New Roman"/>
                <w:b w:val="0"/>
                <w:i w:val="0"/>
                <w:sz w:val="20"/>
              </w:rPr>
              <w:t>Ren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80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Beh, Cog</w:t>
            </w:r>
          </w:p>
        </w:tc>
        <w:tc>
          <w:tcPr>
            <w:tcW w:type="dxa" w:w="1040"/>
          </w:tcPr>
          <w:p>
            <w:pPr>
              <w:spacing w:line="480" w:lineRule="auto" w:before="20" w:after="20"/>
              <w:ind w:firstLine="0"/>
              <w:jc w:val="center"/>
            </w:pPr>
            <w:r/>
            <w:r>
              <w:rPr>
                <w:rFonts w:ascii="Times New Roman" w:hAnsi="Times New Roman"/>
                <w:b w:val="0"/>
                <w:i w:val="0"/>
                <w:sz w:val="20"/>
              </w:rPr>
              <w:t>−0.74</w:t>
            </w:r>
          </w:p>
        </w:tc>
        <w:tc>
          <w:tcPr>
            <w:tcW w:type="dxa" w:w="1040"/>
          </w:tcPr>
          <w:p>
            <w:pPr>
              <w:spacing w:line="480" w:lineRule="auto" w:before="20" w:after="20"/>
              <w:ind w:firstLine="0"/>
              <w:jc w:val="center"/>
            </w:pPr>
            <w:r/>
            <w:r>
              <w:rPr>
                <w:rFonts w:ascii="Times New Roman" w:hAnsi="Times New Roman"/>
                <w:b w:val="0"/>
                <w:i w:val="0"/>
                <w:sz w:val="20"/>
              </w:rPr>
              <w:t>6</w:t>
            </w:r>
          </w:p>
        </w:tc>
      </w:tr>
      <w:tr>
        <w:tc>
          <w:tcPr>
            <w:tcW w:type="dxa" w:w="1040"/>
          </w:tcPr>
          <w:p>
            <w:pPr>
              <w:spacing w:line="480" w:lineRule="auto" w:before="20" w:after="20"/>
              <w:ind w:firstLine="0"/>
              <w:jc w:val="left"/>
            </w:pPr>
            <w:r/>
            <w:r>
              <w:rPr>
                <w:rFonts w:ascii="Times New Roman" w:hAnsi="Times New Roman"/>
                <w:b w:val="0"/>
                <w:i w:val="0"/>
                <w:sz w:val="20"/>
              </w:rPr>
              <w:t>29</w:t>
            </w:r>
          </w:p>
        </w:tc>
        <w:tc>
          <w:tcPr>
            <w:tcW w:type="dxa" w:w="1040"/>
          </w:tcPr>
          <w:p>
            <w:pPr>
              <w:spacing w:line="480" w:lineRule="auto" w:before="20" w:after="20"/>
              <w:ind w:firstLine="0"/>
              <w:jc w:val="center"/>
            </w:pPr>
            <w:r/>
            <w:r>
              <w:rPr>
                <w:rFonts w:ascii="Times New Roman" w:hAnsi="Times New Roman"/>
                <w:b w:val="0"/>
                <w:i w:val="0"/>
                <w:sz w:val="20"/>
              </w:rPr>
              <w:t>Hoyer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21</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0.89</w:t>
            </w:r>
          </w:p>
        </w:tc>
        <w:tc>
          <w:tcPr>
            <w:tcW w:type="dxa" w:w="1040"/>
          </w:tcPr>
          <w:p>
            <w:pPr>
              <w:spacing w:line="480" w:lineRule="auto" w:before="20" w:after="20"/>
              <w:ind w:firstLine="0"/>
              <w:jc w:val="center"/>
            </w:pPr>
            <w:r/>
            <w:r>
              <w:rPr>
                <w:rFonts w:ascii="Times New Roman" w:hAnsi="Times New Roman"/>
                <w:b w:val="0"/>
                <w:i w:val="0"/>
                <w:sz w:val="20"/>
              </w:rPr>
              <w:t>5</w:t>
            </w:r>
          </w:p>
        </w:tc>
      </w:tr>
      <w:tr>
        <w:tc>
          <w:tcPr>
            <w:tcW w:type="dxa" w:w="1040"/>
          </w:tcPr>
          <w:p>
            <w:pPr>
              <w:spacing w:line="480" w:lineRule="auto" w:before="20" w:after="20"/>
              <w:ind w:firstLine="0"/>
              <w:jc w:val="left"/>
            </w:pPr>
            <w:r/>
            <w:r>
              <w:rPr>
                <w:rFonts w:ascii="Times New Roman" w:hAnsi="Times New Roman"/>
                <w:b w:val="0"/>
                <w:i w:val="0"/>
                <w:sz w:val="20"/>
              </w:rPr>
              <w:t>30</w:t>
            </w:r>
          </w:p>
        </w:tc>
        <w:tc>
          <w:tcPr>
            <w:tcW w:type="dxa" w:w="1040"/>
          </w:tcPr>
          <w:p>
            <w:pPr>
              <w:spacing w:line="480" w:lineRule="auto" w:before="20" w:after="20"/>
              <w:ind w:firstLine="0"/>
              <w:jc w:val="center"/>
            </w:pPr>
            <w:r/>
            <w:r>
              <w:rPr>
                <w:rFonts w:ascii="Times New Roman" w:hAnsi="Times New Roman"/>
                <w:b w:val="0"/>
                <w:i w:val="0"/>
                <w:sz w:val="20"/>
              </w:rPr>
              <w:t>Liu</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30</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1.84</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31</w:t>
            </w:r>
          </w:p>
        </w:tc>
        <w:tc>
          <w:tcPr>
            <w:tcW w:type="dxa" w:w="1040"/>
          </w:tcPr>
          <w:p>
            <w:pPr>
              <w:spacing w:line="480" w:lineRule="auto" w:before="20" w:after="20"/>
              <w:ind w:firstLine="0"/>
              <w:jc w:val="center"/>
            </w:pPr>
            <w:r/>
            <w:r>
              <w:rPr>
                <w:rFonts w:ascii="Times New Roman" w:hAnsi="Times New Roman"/>
                <w:b w:val="0"/>
                <w:i w:val="0"/>
                <w:sz w:val="20"/>
              </w:rPr>
              <w:t>Fitriana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20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GPT-3.5</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−0.55</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32</w:t>
            </w:r>
          </w:p>
        </w:tc>
        <w:tc>
          <w:tcPr>
            <w:tcW w:type="dxa" w:w="1040"/>
          </w:tcPr>
          <w:p>
            <w:pPr>
              <w:spacing w:line="480" w:lineRule="auto" w:before="20" w:after="20"/>
              <w:ind w:firstLine="0"/>
              <w:jc w:val="center"/>
            </w:pPr>
            <w:r/>
            <w:r>
              <w:rPr>
                <w:rFonts w:ascii="Times New Roman" w:hAnsi="Times New Roman"/>
                <w:b w:val="0"/>
                <w:i w:val="0"/>
                <w:sz w:val="20"/>
              </w:rPr>
              <w:t>Wu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61</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Aff, Beh, Cog</w:t>
            </w:r>
          </w:p>
        </w:tc>
        <w:tc>
          <w:tcPr>
            <w:tcW w:type="dxa" w:w="1040"/>
          </w:tcPr>
          <w:p>
            <w:pPr>
              <w:spacing w:line="480" w:lineRule="auto" w:before="20" w:after="20"/>
              <w:ind w:firstLine="0"/>
              <w:jc w:val="center"/>
            </w:pPr>
            <w:r/>
            <w:r>
              <w:rPr>
                <w:rFonts w:ascii="Times New Roman" w:hAnsi="Times New Roman"/>
                <w:b w:val="0"/>
                <w:i w:val="0"/>
                <w:sz w:val="20"/>
              </w:rPr>
              <w:t>0.94</w:t>
            </w:r>
          </w:p>
        </w:tc>
        <w:tc>
          <w:tcPr>
            <w:tcW w:type="dxa" w:w="1040"/>
          </w:tcPr>
          <w:p>
            <w:pPr>
              <w:spacing w:line="480" w:lineRule="auto" w:before="20" w:after="20"/>
              <w:ind w:firstLine="0"/>
              <w:jc w:val="center"/>
            </w:pPr>
            <w:r/>
            <w:r>
              <w:rPr>
                <w:rFonts w:ascii="Times New Roman" w:hAnsi="Times New Roman"/>
                <w:b w:val="0"/>
                <w:i w:val="0"/>
                <w:sz w:val="20"/>
              </w:rPr>
              <w:t>13</w:t>
            </w:r>
          </w:p>
        </w:tc>
      </w:tr>
      <w:tr>
        <w:tc>
          <w:tcPr>
            <w:tcW w:type="dxa" w:w="1040"/>
          </w:tcPr>
          <w:p>
            <w:pPr>
              <w:spacing w:line="480" w:lineRule="auto" w:before="20" w:after="20"/>
              <w:ind w:firstLine="0"/>
              <w:jc w:val="left"/>
            </w:pPr>
            <w:r/>
            <w:r>
              <w:rPr>
                <w:rFonts w:ascii="Times New Roman" w:hAnsi="Times New Roman"/>
                <w:b w:val="0"/>
                <w:i w:val="0"/>
                <w:sz w:val="20"/>
              </w:rPr>
              <w:t>33</w:t>
            </w:r>
          </w:p>
        </w:tc>
        <w:tc>
          <w:tcPr>
            <w:tcW w:type="dxa" w:w="1040"/>
          </w:tcPr>
          <w:p>
            <w:pPr>
              <w:spacing w:line="480" w:lineRule="auto" w:before="20" w:after="20"/>
              <w:ind w:firstLine="0"/>
              <w:jc w:val="center"/>
            </w:pPr>
            <w:r/>
            <w:r>
              <w:rPr>
                <w:rFonts w:ascii="Times New Roman" w:hAnsi="Times New Roman"/>
                <w:b w:val="0"/>
                <w:i w:val="0"/>
                <w:sz w:val="20"/>
              </w:rPr>
              <w:t>Raju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340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0.69</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34</w:t>
            </w:r>
          </w:p>
        </w:tc>
        <w:tc>
          <w:tcPr>
            <w:tcW w:type="dxa" w:w="1040"/>
          </w:tcPr>
          <w:p>
            <w:pPr>
              <w:spacing w:line="480" w:lineRule="auto" w:before="20" w:after="20"/>
              <w:ind w:firstLine="0"/>
              <w:jc w:val="center"/>
            </w:pPr>
            <w:r/>
            <w:r>
              <w:rPr>
                <w:rFonts w:ascii="Times New Roman" w:hAnsi="Times New Roman"/>
                <w:b w:val="0"/>
                <w:i w:val="0"/>
                <w:sz w:val="20"/>
              </w:rPr>
              <w:t>Wong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918</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Aff, Beh, Cog</w:t>
            </w:r>
          </w:p>
        </w:tc>
        <w:tc>
          <w:tcPr>
            <w:tcW w:type="dxa" w:w="1040"/>
          </w:tcPr>
          <w:p>
            <w:pPr>
              <w:spacing w:line="480" w:lineRule="auto" w:before="20" w:after="20"/>
              <w:ind w:firstLine="0"/>
              <w:jc w:val="center"/>
            </w:pPr>
            <w:r/>
            <w:r>
              <w:rPr>
                <w:rFonts w:ascii="Times New Roman" w:hAnsi="Times New Roman"/>
                <w:b w:val="0"/>
                <w:i w:val="0"/>
                <w:sz w:val="20"/>
              </w:rPr>
              <w:t>0.35</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35</w:t>
            </w:r>
          </w:p>
        </w:tc>
        <w:tc>
          <w:tcPr>
            <w:tcW w:type="dxa" w:w="1040"/>
          </w:tcPr>
          <w:p>
            <w:pPr>
              <w:spacing w:line="480" w:lineRule="auto" w:before="20" w:after="20"/>
              <w:ind w:firstLine="0"/>
              <w:jc w:val="center"/>
            </w:pPr>
            <w:r/>
            <w:r>
              <w:rPr>
                <w:rFonts w:ascii="Times New Roman" w:hAnsi="Times New Roman"/>
                <w:b w:val="0"/>
                <w:i w:val="0"/>
                <w:sz w:val="20"/>
              </w:rPr>
              <w:t>Kartika</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80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Gemini</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0.79</w:t>
            </w:r>
          </w:p>
        </w:tc>
        <w:tc>
          <w:tcPr>
            <w:tcW w:type="dxa" w:w="1040"/>
          </w:tcPr>
          <w:p>
            <w:pPr>
              <w:spacing w:line="480" w:lineRule="auto" w:before="20" w:after="20"/>
              <w:ind w:firstLine="0"/>
              <w:jc w:val="center"/>
            </w:pPr>
            <w:r/>
            <w:r>
              <w:rPr>
                <w:rFonts w:ascii="Times New Roman" w:hAnsi="Times New Roman"/>
                <w:b w:val="0"/>
                <w:i w:val="0"/>
                <w:sz w:val="20"/>
              </w:rPr>
              <w:t>1</w:t>
            </w:r>
          </w:p>
        </w:tc>
      </w:tr>
      <w:tr>
        <w:tc>
          <w:tcPr>
            <w:tcW w:type="dxa" w:w="1040"/>
          </w:tcPr>
          <w:p>
            <w:pPr>
              <w:spacing w:line="480" w:lineRule="auto" w:before="20" w:after="20"/>
              <w:ind w:firstLine="0"/>
              <w:jc w:val="left"/>
            </w:pPr>
            <w:r/>
            <w:r>
              <w:rPr>
                <w:rFonts w:ascii="Times New Roman" w:hAnsi="Times New Roman"/>
                <w:b w:val="0"/>
                <w:i w:val="0"/>
                <w:sz w:val="20"/>
              </w:rPr>
              <w:t>36</w:t>
            </w:r>
          </w:p>
        </w:tc>
        <w:tc>
          <w:tcPr>
            <w:tcW w:type="dxa" w:w="1040"/>
          </w:tcPr>
          <w:p>
            <w:pPr>
              <w:spacing w:line="480" w:lineRule="auto" w:before="20" w:after="20"/>
              <w:ind w:firstLine="0"/>
              <w:jc w:val="center"/>
            </w:pPr>
            <w:r/>
            <w:r>
              <w:rPr>
                <w:rFonts w:ascii="Times New Roman" w:hAnsi="Times New Roman"/>
                <w:b w:val="0"/>
                <w:i w:val="0"/>
                <w:sz w:val="20"/>
              </w:rPr>
              <w:t>Feng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101</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Custom</w:t>
            </w:r>
          </w:p>
        </w:tc>
        <w:tc>
          <w:tcPr>
            <w:tcW w:type="dxa" w:w="1040"/>
          </w:tcPr>
          <w:p>
            <w:pPr>
              <w:spacing w:line="480" w:lineRule="auto" w:before="20" w:after="20"/>
              <w:ind w:firstLine="0"/>
              <w:jc w:val="center"/>
            </w:pPr>
            <w:r/>
            <w:r>
              <w:rPr>
                <w:rFonts w:ascii="Times New Roman" w:hAnsi="Times New Roman"/>
                <w:b w:val="0"/>
                <w:i w:val="0"/>
                <w:sz w:val="20"/>
              </w:rPr>
              <w:t>Aff, Cog, Met</w:t>
            </w:r>
          </w:p>
        </w:tc>
        <w:tc>
          <w:tcPr>
            <w:tcW w:type="dxa" w:w="1040"/>
          </w:tcPr>
          <w:p>
            <w:pPr>
              <w:spacing w:line="480" w:lineRule="auto" w:before="20" w:after="20"/>
              <w:ind w:firstLine="0"/>
              <w:jc w:val="center"/>
            </w:pPr>
            <w:r/>
            <w:r>
              <w:rPr>
                <w:rFonts w:ascii="Times New Roman" w:hAnsi="Times New Roman"/>
                <w:b w:val="0"/>
                <w:i w:val="0"/>
                <w:sz w:val="20"/>
              </w:rPr>
              <w:t>0.02</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37</w:t>
            </w:r>
          </w:p>
        </w:tc>
        <w:tc>
          <w:tcPr>
            <w:tcW w:type="dxa" w:w="1040"/>
          </w:tcPr>
          <w:p>
            <w:pPr>
              <w:spacing w:line="480" w:lineRule="auto" w:before="20" w:after="20"/>
              <w:ind w:firstLine="0"/>
              <w:jc w:val="center"/>
            </w:pPr>
            <w:r/>
            <w:r>
              <w:rPr>
                <w:rFonts w:ascii="Times New Roman" w:hAnsi="Times New Roman"/>
                <w:b w:val="0"/>
                <w:i w:val="0"/>
                <w:sz w:val="20"/>
              </w:rPr>
              <w:t>Drachsler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292</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−0.03</w:t>
            </w:r>
          </w:p>
        </w:tc>
        <w:tc>
          <w:tcPr>
            <w:tcW w:type="dxa" w:w="1040"/>
          </w:tcPr>
          <w:p>
            <w:pPr>
              <w:spacing w:line="480" w:lineRule="auto" w:before="20" w:after="20"/>
              <w:ind w:firstLine="0"/>
              <w:jc w:val="center"/>
            </w:pPr>
            <w:r/>
            <w:r>
              <w:rPr>
                <w:rFonts w:ascii="Times New Roman" w:hAnsi="Times New Roman"/>
                <w:b w:val="0"/>
                <w:i w:val="0"/>
                <w:sz w:val="20"/>
              </w:rPr>
              <w:t>5</w:t>
            </w:r>
          </w:p>
        </w:tc>
      </w:tr>
      <w:tr>
        <w:tc>
          <w:tcPr>
            <w:tcW w:type="dxa" w:w="1040"/>
          </w:tcPr>
          <w:p>
            <w:pPr>
              <w:spacing w:line="480" w:lineRule="auto" w:before="20" w:after="20"/>
              <w:ind w:firstLine="0"/>
              <w:jc w:val="left"/>
            </w:pPr>
            <w:r/>
            <w:r>
              <w:rPr>
                <w:rFonts w:ascii="Times New Roman" w:hAnsi="Times New Roman"/>
                <w:b w:val="0"/>
                <w:i w:val="0"/>
                <w:sz w:val="20"/>
              </w:rPr>
              <w:t>38</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63</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GPT-3.5</w:t>
            </w:r>
          </w:p>
        </w:tc>
        <w:tc>
          <w:tcPr>
            <w:tcW w:type="dxa" w:w="1040"/>
          </w:tcPr>
          <w:p>
            <w:pPr>
              <w:spacing w:line="480" w:lineRule="auto" w:before="20" w:after="20"/>
              <w:ind w:firstLine="0"/>
              <w:jc w:val="center"/>
            </w:pPr>
            <w:r/>
            <w:r>
              <w:rPr>
                <w:rFonts w:ascii="Times New Roman" w:hAnsi="Times New Roman"/>
                <w:b w:val="0"/>
                <w:i w:val="0"/>
                <w:sz w:val="20"/>
              </w:rPr>
              <w:t>Aff, Cog, Met</w:t>
            </w:r>
          </w:p>
        </w:tc>
        <w:tc>
          <w:tcPr>
            <w:tcW w:type="dxa" w:w="1040"/>
          </w:tcPr>
          <w:p>
            <w:pPr>
              <w:spacing w:line="480" w:lineRule="auto" w:before="20" w:after="20"/>
              <w:ind w:firstLine="0"/>
              <w:jc w:val="center"/>
            </w:pPr>
            <w:r/>
            <w:r>
              <w:rPr>
                <w:rFonts w:ascii="Times New Roman" w:hAnsi="Times New Roman"/>
                <w:b w:val="0"/>
                <w:i w:val="0"/>
                <w:sz w:val="20"/>
              </w:rPr>
              <w:t>0.84</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39</w:t>
            </w:r>
          </w:p>
        </w:tc>
        <w:tc>
          <w:tcPr>
            <w:tcW w:type="dxa" w:w="1040"/>
          </w:tcPr>
          <w:p>
            <w:pPr>
              <w:spacing w:line="480" w:lineRule="auto" w:before="20" w:after="20"/>
              <w:ind w:firstLine="0"/>
              <w:jc w:val="center"/>
            </w:pPr>
            <w:r/>
            <w:r>
              <w:rPr>
                <w:rFonts w:ascii="Times New Roman" w:hAnsi="Times New Roman"/>
                <w:b w:val="0"/>
                <w:i w:val="0"/>
                <w:sz w:val="20"/>
              </w:rPr>
              <w:t>Mahapatra</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72</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2.19</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40</w:t>
            </w:r>
          </w:p>
        </w:tc>
        <w:tc>
          <w:tcPr>
            <w:tcW w:type="dxa" w:w="1040"/>
          </w:tcPr>
          <w:p>
            <w:pPr>
              <w:spacing w:line="480" w:lineRule="auto" w:before="20" w:after="20"/>
              <w:ind w:firstLine="0"/>
              <w:jc w:val="center"/>
            </w:pPr>
            <w:r/>
            <w:r>
              <w:rPr>
                <w:rFonts w:ascii="Times New Roman" w:hAnsi="Times New Roman"/>
                <w:b w:val="0"/>
                <w:i w:val="0"/>
                <w:sz w:val="20"/>
              </w:rPr>
              <w:t>Maes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181</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Beh, Cog</w:t>
            </w:r>
          </w:p>
        </w:tc>
        <w:tc>
          <w:tcPr>
            <w:tcW w:type="dxa" w:w="1040"/>
          </w:tcPr>
          <w:p>
            <w:pPr>
              <w:spacing w:line="480" w:lineRule="auto" w:before="20" w:after="20"/>
              <w:ind w:firstLine="0"/>
              <w:jc w:val="center"/>
            </w:pPr>
            <w:r/>
            <w:r>
              <w:rPr>
                <w:rFonts w:ascii="Times New Roman" w:hAnsi="Times New Roman"/>
                <w:b w:val="0"/>
                <w:i w:val="0"/>
                <w:sz w:val="20"/>
              </w:rPr>
              <w:t>1.26</w:t>
            </w:r>
          </w:p>
        </w:tc>
        <w:tc>
          <w:tcPr>
            <w:tcW w:type="dxa" w:w="1040"/>
          </w:tcPr>
          <w:p>
            <w:pPr>
              <w:spacing w:line="480" w:lineRule="auto" w:before="20" w:after="20"/>
              <w:ind w:firstLine="0"/>
              <w:jc w:val="center"/>
            </w:pPr>
            <w:r/>
            <w:r>
              <w:rPr>
                <w:rFonts w:ascii="Times New Roman" w:hAnsi="Times New Roman"/>
                <w:b w:val="0"/>
                <w:i w:val="0"/>
                <w:sz w:val="20"/>
              </w:rPr>
              <w:t>6</w:t>
            </w:r>
          </w:p>
        </w:tc>
      </w:tr>
      <w:tr>
        <w:tc>
          <w:tcPr>
            <w:tcW w:type="dxa" w:w="1040"/>
          </w:tcPr>
          <w:p>
            <w:pPr>
              <w:spacing w:line="480" w:lineRule="auto" w:before="20" w:after="20"/>
              <w:ind w:firstLine="0"/>
              <w:jc w:val="left"/>
            </w:pPr>
            <w:r/>
            <w:r>
              <w:rPr>
                <w:rFonts w:ascii="Times New Roman" w:hAnsi="Times New Roman"/>
                <w:b w:val="0"/>
                <w:i w:val="0"/>
                <w:sz w:val="20"/>
              </w:rPr>
              <w:t>41</w:t>
            </w:r>
          </w:p>
        </w:tc>
        <w:tc>
          <w:tcPr>
            <w:tcW w:type="dxa" w:w="1040"/>
          </w:tcPr>
          <w:p>
            <w:pPr>
              <w:spacing w:line="480" w:lineRule="auto" w:before="20" w:after="20"/>
              <w:ind w:firstLine="0"/>
              <w:jc w:val="center"/>
            </w:pPr>
            <w:r/>
            <w:r>
              <w:rPr>
                <w:rFonts w:ascii="Times New Roman" w:hAnsi="Times New Roman"/>
                <w:b w:val="0"/>
                <w:i w:val="0"/>
                <w:sz w:val="20"/>
              </w:rPr>
              <w:t>Hong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99</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 Beh, Cog, Met</w:t>
            </w:r>
          </w:p>
        </w:tc>
        <w:tc>
          <w:tcPr>
            <w:tcW w:type="dxa" w:w="1040"/>
          </w:tcPr>
          <w:p>
            <w:pPr>
              <w:spacing w:line="480" w:lineRule="auto" w:before="20" w:after="20"/>
              <w:ind w:firstLine="0"/>
              <w:jc w:val="center"/>
            </w:pPr>
            <w:r/>
            <w:r>
              <w:rPr>
                <w:rFonts w:ascii="Times New Roman" w:hAnsi="Times New Roman"/>
                <w:b w:val="0"/>
                <w:i w:val="0"/>
                <w:sz w:val="20"/>
              </w:rPr>
              <w:t>−0.05</w:t>
            </w:r>
          </w:p>
        </w:tc>
        <w:tc>
          <w:tcPr>
            <w:tcW w:type="dxa" w:w="1040"/>
          </w:tcPr>
          <w:p>
            <w:pPr>
              <w:spacing w:line="480" w:lineRule="auto" w:before="20" w:after="20"/>
              <w:ind w:firstLine="0"/>
              <w:jc w:val="center"/>
            </w:pPr>
            <w:r/>
            <w:r>
              <w:rPr>
                <w:rFonts w:ascii="Times New Roman" w:hAnsi="Times New Roman"/>
                <w:b w:val="0"/>
                <w:i w:val="0"/>
                <w:sz w:val="20"/>
              </w:rPr>
              <w:t>12</w:t>
            </w:r>
          </w:p>
        </w:tc>
      </w:tr>
      <w:tr>
        <w:tc>
          <w:tcPr>
            <w:tcW w:type="dxa" w:w="1040"/>
          </w:tcPr>
          <w:p>
            <w:pPr>
              <w:spacing w:line="480" w:lineRule="auto" w:before="20" w:after="20"/>
              <w:ind w:firstLine="0"/>
              <w:jc w:val="left"/>
            </w:pPr>
            <w:r/>
            <w:r>
              <w:rPr>
                <w:rFonts w:ascii="Times New Roman" w:hAnsi="Times New Roman"/>
                <w:b w:val="0"/>
                <w:i w:val="0"/>
                <w:sz w:val="20"/>
              </w:rPr>
              <w:t>42</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50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0.26</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43</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2023</w:t>
            </w:r>
          </w:p>
        </w:tc>
        <w:tc>
          <w:tcPr>
            <w:tcW w:type="dxa" w:w="1040"/>
          </w:tcPr>
          <w:p>
            <w:pPr>
              <w:spacing w:line="480" w:lineRule="auto" w:before="20" w:after="20"/>
              <w:ind w:firstLine="0"/>
              <w:jc w:val="center"/>
            </w:pPr>
            <w:r/>
            <w:r>
              <w:rPr>
                <w:rFonts w:ascii="Times New Roman" w:hAnsi="Times New Roman"/>
                <w:b w:val="0"/>
                <w:i w:val="0"/>
                <w:sz w:val="20"/>
              </w:rPr>
              <w:t>77</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0.52</w:t>
            </w:r>
          </w:p>
        </w:tc>
        <w:tc>
          <w:tcPr>
            <w:tcW w:type="dxa" w:w="1040"/>
          </w:tcPr>
          <w:p>
            <w:pPr>
              <w:spacing w:line="480" w:lineRule="auto" w:before="20" w:after="20"/>
              <w:ind w:firstLine="0"/>
              <w:jc w:val="center"/>
            </w:pPr>
            <w:r/>
            <w:r>
              <w:rPr>
                <w:rFonts w:ascii="Times New Roman" w:hAnsi="Times New Roman"/>
                <w:b w:val="0"/>
                <w:i w:val="0"/>
                <w:sz w:val="20"/>
              </w:rPr>
              <w:t>1</w:t>
            </w:r>
          </w:p>
        </w:tc>
      </w:tr>
      <w:tr>
        <w:tc>
          <w:tcPr>
            <w:tcW w:type="dxa" w:w="1040"/>
          </w:tcPr>
          <w:p>
            <w:pPr>
              <w:spacing w:line="480" w:lineRule="auto" w:before="20" w:after="20"/>
              <w:ind w:firstLine="0"/>
              <w:jc w:val="left"/>
            </w:pPr>
            <w:r/>
            <w:r>
              <w:rPr>
                <w:rFonts w:ascii="Times New Roman" w:hAnsi="Times New Roman"/>
                <w:b w:val="0"/>
                <w:i w:val="0"/>
                <w:sz w:val="20"/>
              </w:rPr>
              <w:t>44</w:t>
            </w:r>
          </w:p>
        </w:tc>
        <w:tc>
          <w:tcPr>
            <w:tcW w:type="dxa" w:w="1040"/>
          </w:tcPr>
          <w:p>
            <w:pPr>
              <w:spacing w:line="480" w:lineRule="auto" w:before="20" w:after="20"/>
              <w:ind w:firstLine="0"/>
              <w:jc w:val="center"/>
            </w:pPr>
            <w:r/>
            <w:r>
              <w:rPr>
                <w:rFonts w:ascii="Times New Roman" w:hAnsi="Times New Roman"/>
                <w:b w:val="0"/>
                <w:i w:val="0"/>
                <w:sz w:val="20"/>
              </w:rPr>
              <w:t>Astiti et al.</w:t>
            </w:r>
          </w:p>
        </w:tc>
        <w:tc>
          <w:tcPr>
            <w:tcW w:type="dxa" w:w="1040"/>
          </w:tcPr>
          <w:p>
            <w:pPr>
              <w:spacing w:line="480" w:lineRule="auto" w:before="20" w:after="20"/>
              <w:ind w:firstLine="0"/>
              <w:jc w:val="center"/>
            </w:pPr>
            <w:r/>
            <w:r>
              <w:rPr>
                <w:rFonts w:ascii="Times New Roman" w:hAnsi="Times New Roman"/>
                <w:b w:val="0"/>
                <w:i w:val="0"/>
                <w:sz w:val="20"/>
              </w:rPr>
              <w:t>2023</w:t>
            </w:r>
          </w:p>
        </w:tc>
        <w:tc>
          <w:tcPr>
            <w:tcW w:type="dxa" w:w="1040"/>
          </w:tcPr>
          <w:p>
            <w:pPr>
              <w:spacing w:line="480" w:lineRule="auto" w:before="20" w:after="20"/>
              <w:ind w:firstLine="0"/>
              <w:jc w:val="center"/>
            </w:pPr>
            <w:r/>
            <w:r>
              <w:rPr>
                <w:rFonts w:ascii="Times New Roman" w:hAnsi="Times New Roman"/>
                <w:b w:val="0"/>
                <w:i w:val="0"/>
                <w:sz w:val="20"/>
              </w:rPr>
              <w:t>62</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Beh, Cog</w:t>
            </w:r>
          </w:p>
        </w:tc>
        <w:tc>
          <w:tcPr>
            <w:tcW w:type="dxa" w:w="1040"/>
          </w:tcPr>
          <w:p>
            <w:pPr>
              <w:spacing w:line="480" w:lineRule="auto" w:before="20" w:after="20"/>
              <w:ind w:firstLine="0"/>
              <w:jc w:val="center"/>
            </w:pPr>
            <w:r/>
            <w:r>
              <w:rPr>
                <w:rFonts w:ascii="Times New Roman" w:hAnsi="Times New Roman"/>
                <w:b w:val="0"/>
                <w:i w:val="0"/>
                <w:sz w:val="20"/>
              </w:rPr>
              <w:t>0.20</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45</w:t>
            </w:r>
          </w:p>
        </w:tc>
        <w:tc>
          <w:tcPr>
            <w:tcW w:type="dxa" w:w="1040"/>
          </w:tcPr>
          <w:p>
            <w:pPr>
              <w:spacing w:line="480" w:lineRule="auto" w:before="20" w:after="20"/>
              <w:ind w:firstLine="0"/>
              <w:jc w:val="center"/>
            </w:pPr>
            <w:r/>
            <w:r>
              <w:rPr>
                <w:rFonts w:ascii="Times New Roman" w:hAnsi="Times New Roman"/>
                <w:b w:val="0"/>
                <w:i w:val="0"/>
                <w:sz w:val="20"/>
              </w:rPr>
              <w:t>Fan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62</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GPT-4</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0.13</w:t>
            </w:r>
          </w:p>
        </w:tc>
        <w:tc>
          <w:tcPr>
            <w:tcW w:type="dxa" w:w="1040"/>
          </w:tcPr>
          <w:p>
            <w:pPr>
              <w:spacing w:line="480" w:lineRule="auto" w:before="20" w:after="20"/>
              <w:ind w:firstLine="0"/>
              <w:jc w:val="center"/>
            </w:pPr>
            <w:r/>
            <w:r>
              <w:rPr>
                <w:rFonts w:ascii="Times New Roman" w:hAnsi="Times New Roman"/>
                <w:b w:val="0"/>
                <w:i w:val="0"/>
                <w:sz w:val="20"/>
              </w:rPr>
              <w:t>7</w:t>
            </w:r>
          </w:p>
        </w:tc>
      </w:tr>
      <w:tr>
        <w:tc>
          <w:tcPr>
            <w:tcW w:type="dxa" w:w="1040"/>
          </w:tcPr>
          <w:p>
            <w:pPr>
              <w:spacing w:line="480" w:lineRule="auto" w:before="20" w:after="20"/>
              <w:ind w:firstLine="0"/>
              <w:jc w:val="left"/>
            </w:pPr>
            <w:r/>
            <w:r>
              <w:rPr>
                <w:rFonts w:ascii="Times New Roman" w:hAnsi="Times New Roman"/>
                <w:b w:val="0"/>
                <w:i w:val="0"/>
                <w:sz w:val="20"/>
              </w:rPr>
              <w:t>46</w:t>
            </w:r>
          </w:p>
        </w:tc>
        <w:tc>
          <w:tcPr>
            <w:tcW w:type="dxa" w:w="1040"/>
          </w:tcPr>
          <w:p>
            <w:pPr>
              <w:spacing w:line="480" w:lineRule="auto" w:before="20" w:after="20"/>
              <w:ind w:firstLine="0"/>
              <w:jc w:val="center"/>
            </w:pPr>
            <w:r/>
            <w:r>
              <w:rPr>
                <w:rFonts w:ascii="Times New Roman" w:hAnsi="Times New Roman"/>
                <w:b w:val="0"/>
                <w:i w:val="0"/>
                <w:sz w:val="20"/>
              </w:rPr>
              <w:t>Gasaymeh</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74</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0.47</w:t>
            </w:r>
          </w:p>
        </w:tc>
        <w:tc>
          <w:tcPr>
            <w:tcW w:type="dxa" w:w="1040"/>
          </w:tcPr>
          <w:p>
            <w:pPr>
              <w:spacing w:line="480" w:lineRule="auto" w:before="20" w:after="20"/>
              <w:ind w:firstLine="0"/>
              <w:jc w:val="center"/>
            </w:pPr>
            <w:r/>
            <w:r>
              <w:rPr>
                <w:rFonts w:ascii="Times New Roman" w:hAnsi="Times New Roman"/>
                <w:b w:val="0"/>
                <w:i w:val="0"/>
                <w:sz w:val="20"/>
              </w:rPr>
              <w:t>1</w:t>
            </w:r>
          </w:p>
        </w:tc>
      </w:tr>
      <w:tr>
        <w:tc>
          <w:tcPr>
            <w:tcW w:type="dxa" w:w="1040"/>
          </w:tcPr>
          <w:p>
            <w:pPr>
              <w:spacing w:line="480" w:lineRule="auto" w:before="20" w:after="20"/>
              <w:ind w:firstLine="0"/>
              <w:jc w:val="left"/>
            </w:pPr>
            <w:r/>
            <w:r>
              <w:rPr>
                <w:rFonts w:ascii="Times New Roman" w:hAnsi="Times New Roman"/>
                <w:b w:val="0"/>
                <w:i w:val="0"/>
                <w:sz w:val="20"/>
              </w:rPr>
              <w:t>47</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198</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1.06</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48</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110</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0.39</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49</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60</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0.60</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50</w:t>
            </w:r>
          </w:p>
        </w:tc>
        <w:tc>
          <w:tcPr>
            <w:tcW w:type="dxa" w:w="1040"/>
          </w:tcPr>
          <w:p>
            <w:pPr>
              <w:spacing w:line="480" w:lineRule="auto" w:before="20" w:after="20"/>
              <w:ind w:firstLine="0"/>
              <w:jc w:val="center"/>
            </w:pPr>
            <w:r/>
            <w:r>
              <w:rPr>
                <w:rFonts w:ascii="Times New Roman" w:hAnsi="Times New Roman"/>
                <w:b w:val="0"/>
                <w:i w:val="0"/>
                <w:sz w:val="20"/>
              </w:rPr>
              <w:t>Essel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77</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0.52</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51</w:t>
            </w:r>
          </w:p>
        </w:tc>
        <w:tc>
          <w:tcPr>
            <w:tcW w:type="dxa" w:w="1040"/>
          </w:tcPr>
          <w:p>
            <w:pPr>
              <w:spacing w:line="480" w:lineRule="auto" w:before="20" w:after="20"/>
              <w:ind w:firstLine="0"/>
              <w:jc w:val="center"/>
            </w:pPr>
            <w:r/>
            <w:r>
              <w:rPr>
                <w:rFonts w:ascii="Times New Roman" w:hAnsi="Times New Roman"/>
                <w:b w:val="0"/>
                <w:i w:val="0"/>
                <w:sz w:val="20"/>
              </w:rPr>
              <w:t>Geng &amp; Razali</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534</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0.40</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52</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115</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0.21</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53</w:t>
            </w:r>
          </w:p>
        </w:tc>
        <w:tc>
          <w:tcPr>
            <w:tcW w:type="dxa" w:w="1040"/>
          </w:tcPr>
          <w:p>
            <w:pPr>
              <w:spacing w:line="480" w:lineRule="auto" w:before="20" w:after="20"/>
              <w:ind w:firstLine="0"/>
              <w:jc w:val="center"/>
            </w:pPr>
            <w:r/>
            <w:r>
              <w:rPr>
                <w:rFonts w:ascii="Times New Roman" w:hAnsi="Times New Roman"/>
                <w:b w:val="0"/>
                <w:i w:val="0"/>
                <w:sz w:val="20"/>
              </w:rPr>
              <w:t>Yin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173</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0.38</w:t>
            </w:r>
          </w:p>
        </w:tc>
        <w:tc>
          <w:tcPr>
            <w:tcW w:type="dxa" w:w="1040"/>
          </w:tcPr>
          <w:p>
            <w:pPr>
              <w:spacing w:line="480" w:lineRule="auto" w:before="20" w:after="20"/>
              <w:ind w:firstLine="0"/>
              <w:jc w:val="center"/>
            </w:pPr>
            <w:r/>
            <w:r>
              <w:rPr>
                <w:rFonts w:ascii="Times New Roman" w:hAnsi="Times New Roman"/>
                <w:b w:val="0"/>
                <w:i w:val="0"/>
                <w:sz w:val="20"/>
              </w:rPr>
              <w:t>6</w:t>
            </w:r>
          </w:p>
        </w:tc>
      </w:tr>
      <w:tr>
        <w:tc>
          <w:tcPr>
            <w:tcW w:type="dxa" w:w="1040"/>
          </w:tcPr>
          <w:p>
            <w:pPr>
              <w:spacing w:line="480" w:lineRule="auto" w:before="20" w:after="20"/>
              <w:ind w:firstLine="0"/>
              <w:jc w:val="left"/>
            </w:pPr>
            <w:r/>
            <w:r>
              <w:rPr>
                <w:rFonts w:ascii="Times New Roman" w:hAnsi="Times New Roman"/>
                <w:b w:val="0"/>
                <w:i w:val="0"/>
                <w:sz w:val="20"/>
              </w:rPr>
              <w:t>54</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316</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0.98</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55</w:t>
            </w:r>
          </w:p>
        </w:tc>
        <w:tc>
          <w:tcPr>
            <w:tcW w:type="dxa" w:w="1040"/>
          </w:tcPr>
          <w:p>
            <w:pPr>
              <w:spacing w:line="480" w:lineRule="auto" w:before="20" w:after="20"/>
              <w:ind w:firstLine="0"/>
              <w:jc w:val="center"/>
            </w:pPr>
            <w:r/>
            <w:r>
              <w:rPr>
                <w:rFonts w:ascii="Times New Roman" w:hAnsi="Times New Roman"/>
                <w:b w:val="0"/>
                <w:i w:val="0"/>
                <w:sz w:val="20"/>
              </w:rPr>
              <w:t>Urban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49</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 Met</w:t>
            </w:r>
          </w:p>
        </w:tc>
        <w:tc>
          <w:tcPr>
            <w:tcW w:type="dxa" w:w="1040"/>
          </w:tcPr>
          <w:p>
            <w:pPr>
              <w:spacing w:line="480" w:lineRule="auto" w:before="20" w:after="20"/>
              <w:ind w:firstLine="0"/>
              <w:jc w:val="center"/>
            </w:pPr>
            <w:r/>
            <w:r>
              <w:rPr>
                <w:rFonts w:ascii="Times New Roman" w:hAnsi="Times New Roman"/>
                <w:b w:val="0"/>
                <w:i w:val="0"/>
                <w:sz w:val="20"/>
              </w:rPr>
              <w:t>0.60</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56</w:t>
            </w:r>
          </w:p>
        </w:tc>
        <w:tc>
          <w:tcPr>
            <w:tcW w:type="dxa" w:w="1040"/>
          </w:tcPr>
          <w:p>
            <w:pPr>
              <w:spacing w:line="480" w:lineRule="auto" w:before="20" w:after="20"/>
              <w:ind w:firstLine="0"/>
              <w:jc w:val="center"/>
            </w:pPr>
            <w:r/>
            <w:r>
              <w:rPr>
                <w:rFonts w:ascii="Times New Roman" w:hAnsi="Times New Roman"/>
                <w:b w:val="0"/>
                <w:i w:val="0"/>
                <w:sz w:val="20"/>
              </w:rPr>
              <w:t>Liu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110</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1.34</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57</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79</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0.52</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58</w:t>
            </w:r>
          </w:p>
        </w:tc>
        <w:tc>
          <w:tcPr>
            <w:tcW w:type="dxa" w:w="1040"/>
          </w:tcPr>
          <w:p>
            <w:pPr>
              <w:spacing w:line="480" w:lineRule="auto" w:before="20" w:after="20"/>
              <w:ind w:firstLine="0"/>
              <w:jc w:val="center"/>
            </w:pPr>
            <w:r/>
            <w:r>
              <w:rPr>
                <w:rFonts w:ascii="Times New Roman" w:hAnsi="Times New Roman"/>
                <w:b w:val="0"/>
                <w:i w:val="0"/>
                <w:sz w:val="20"/>
              </w:rPr>
              <w:t>Gan et al.</w:t>
            </w:r>
          </w:p>
        </w:tc>
        <w:tc>
          <w:tcPr>
            <w:tcW w:type="dxa" w:w="1040"/>
          </w:tcPr>
          <w:p>
            <w:pPr>
              <w:spacing w:line="480" w:lineRule="auto" w:before="20" w:after="20"/>
              <w:ind w:firstLine="0"/>
              <w:jc w:val="center"/>
            </w:pPr>
            <w:r/>
            <w:r>
              <w:rPr>
                <w:rFonts w:ascii="Times New Roman" w:hAnsi="Times New Roman"/>
                <w:b w:val="0"/>
                <w:i w:val="0"/>
                <w:sz w:val="20"/>
              </w:rPr>
              <w:t>2024</w:t>
            </w:r>
          </w:p>
        </w:tc>
        <w:tc>
          <w:tcPr>
            <w:tcW w:type="dxa" w:w="1040"/>
          </w:tcPr>
          <w:p>
            <w:pPr>
              <w:spacing w:line="480" w:lineRule="auto" w:before="20" w:after="20"/>
              <w:ind w:firstLine="0"/>
              <w:jc w:val="center"/>
            </w:pPr>
            <w:r/>
            <w:r>
              <w:rPr>
                <w:rFonts w:ascii="Times New Roman" w:hAnsi="Times New Roman"/>
                <w:b w:val="0"/>
                <w:i w:val="0"/>
                <w:sz w:val="20"/>
              </w:rPr>
              <w:t>125</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1.19</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59</w:t>
            </w:r>
          </w:p>
        </w:tc>
        <w:tc>
          <w:tcPr>
            <w:tcW w:type="dxa" w:w="1040"/>
          </w:tcPr>
          <w:p>
            <w:pPr>
              <w:spacing w:line="480" w:lineRule="auto" w:before="20" w:after="20"/>
              <w:ind w:firstLine="0"/>
              <w:jc w:val="center"/>
            </w:pPr>
            <w:r/>
            <w:r>
              <w:rPr>
                <w:rFonts w:ascii="Times New Roman" w:hAnsi="Times New Roman"/>
                <w:b w:val="0"/>
                <w:i w:val="0"/>
                <w:sz w:val="20"/>
              </w:rPr>
              <w:t>NR</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118</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Beh</w:t>
            </w:r>
          </w:p>
        </w:tc>
        <w:tc>
          <w:tcPr>
            <w:tcW w:type="dxa" w:w="1040"/>
          </w:tcPr>
          <w:p>
            <w:pPr>
              <w:spacing w:line="480" w:lineRule="auto" w:before="20" w:after="20"/>
              <w:ind w:firstLine="0"/>
              <w:jc w:val="center"/>
            </w:pPr>
            <w:r/>
            <w:r>
              <w:rPr>
                <w:rFonts w:ascii="Times New Roman" w:hAnsi="Times New Roman"/>
                <w:b w:val="0"/>
                <w:i w:val="0"/>
                <w:sz w:val="20"/>
              </w:rPr>
              <w:t>0.70</w:t>
            </w:r>
          </w:p>
        </w:tc>
        <w:tc>
          <w:tcPr>
            <w:tcW w:type="dxa" w:w="1040"/>
          </w:tcPr>
          <w:p>
            <w:pPr>
              <w:spacing w:line="480" w:lineRule="auto" w:before="20" w:after="20"/>
              <w:ind w:firstLine="0"/>
              <w:jc w:val="center"/>
            </w:pPr>
            <w:r/>
            <w:r>
              <w:rPr>
                <w:rFonts w:ascii="Times New Roman" w:hAnsi="Times New Roman"/>
                <w:b w:val="0"/>
                <w:i w:val="0"/>
                <w:sz w:val="20"/>
              </w:rPr>
              <w:t>2</w:t>
            </w:r>
          </w:p>
        </w:tc>
      </w:tr>
      <w:tr>
        <w:tc>
          <w:tcPr>
            <w:tcW w:type="dxa" w:w="1040"/>
          </w:tcPr>
          <w:p>
            <w:pPr>
              <w:spacing w:line="480" w:lineRule="auto" w:before="20" w:after="20"/>
              <w:ind w:firstLine="0"/>
              <w:jc w:val="left"/>
            </w:pPr>
            <w:r/>
            <w:r>
              <w:rPr>
                <w:rFonts w:ascii="Times New Roman" w:hAnsi="Times New Roman"/>
                <w:b w:val="0"/>
                <w:i w:val="0"/>
                <w:sz w:val="20"/>
              </w:rPr>
              <w:t>60</w:t>
            </w:r>
          </w:p>
        </w:tc>
        <w:tc>
          <w:tcPr>
            <w:tcW w:type="dxa" w:w="1040"/>
          </w:tcPr>
          <w:p>
            <w:pPr>
              <w:spacing w:line="480" w:lineRule="auto" w:before="20" w:after="20"/>
              <w:ind w:firstLine="0"/>
              <w:jc w:val="center"/>
            </w:pPr>
            <w:r/>
            <w:r>
              <w:rPr>
                <w:rFonts w:ascii="Times New Roman" w:hAnsi="Times New Roman"/>
                <w:b w:val="0"/>
                <w:i w:val="0"/>
                <w:sz w:val="20"/>
              </w:rPr>
              <w:t>Chen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92</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GPT-4</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0.58</w:t>
            </w:r>
          </w:p>
        </w:tc>
        <w:tc>
          <w:tcPr>
            <w:tcW w:type="dxa" w:w="1040"/>
          </w:tcPr>
          <w:p>
            <w:pPr>
              <w:spacing w:line="480" w:lineRule="auto" w:before="20" w:after="20"/>
              <w:ind w:firstLine="0"/>
              <w:jc w:val="center"/>
            </w:pPr>
            <w:r/>
            <w:r>
              <w:rPr>
                <w:rFonts w:ascii="Times New Roman" w:hAnsi="Times New Roman"/>
                <w:b w:val="0"/>
                <w:i w:val="0"/>
                <w:sz w:val="20"/>
              </w:rPr>
              <w:t>5</w:t>
            </w:r>
          </w:p>
        </w:tc>
      </w:tr>
      <w:tr>
        <w:tc>
          <w:tcPr>
            <w:tcW w:type="dxa" w:w="1040"/>
          </w:tcPr>
          <w:p>
            <w:pPr>
              <w:spacing w:line="480" w:lineRule="auto" w:before="20" w:after="20"/>
              <w:ind w:firstLine="0"/>
              <w:jc w:val="left"/>
            </w:pPr>
            <w:r/>
            <w:r>
              <w:rPr>
                <w:rFonts w:ascii="Times New Roman" w:hAnsi="Times New Roman"/>
                <w:b w:val="0"/>
                <w:i w:val="0"/>
                <w:sz w:val="20"/>
              </w:rPr>
              <w:t>61</w:t>
            </w:r>
          </w:p>
        </w:tc>
        <w:tc>
          <w:tcPr>
            <w:tcW w:type="dxa" w:w="1040"/>
          </w:tcPr>
          <w:p>
            <w:pPr>
              <w:spacing w:line="480" w:lineRule="auto" w:before="20" w:after="20"/>
              <w:ind w:firstLine="0"/>
              <w:jc w:val="center"/>
            </w:pPr>
            <w:r/>
            <w:r>
              <w:rPr>
                <w:rFonts w:ascii="Times New Roman" w:hAnsi="Times New Roman"/>
                <w:b w:val="0"/>
                <w:i w:val="0"/>
                <w:sz w:val="20"/>
              </w:rPr>
              <w:t>Park &amp; Kim</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84</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 Met</w:t>
            </w:r>
          </w:p>
        </w:tc>
        <w:tc>
          <w:tcPr>
            <w:tcW w:type="dxa" w:w="1040"/>
          </w:tcPr>
          <w:p>
            <w:pPr>
              <w:spacing w:line="480" w:lineRule="auto" w:before="20" w:after="20"/>
              <w:ind w:firstLine="0"/>
              <w:jc w:val="center"/>
            </w:pPr>
            <w:r/>
            <w:r>
              <w:rPr>
                <w:rFonts w:ascii="Times New Roman" w:hAnsi="Times New Roman"/>
                <w:b w:val="0"/>
                <w:i w:val="0"/>
                <w:sz w:val="20"/>
              </w:rPr>
              <w:t>0.45</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Pr>
          <w:p>
            <w:pPr>
              <w:spacing w:line="480" w:lineRule="auto" w:before="20" w:after="20"/>
              <w:ind w:firstLine="0"/>
              <w:jc w:val="left"/>
            </w:pPr>
            <w:r/>
            <w:r>
              <w:rPr>
                <w:rFonts w:ascii="Times New Roman" w:hAnsi="Times New Roman"/>
                <w:b w:val="0"/>
                <w:i w:val="0"/>
                <w:sz w:val="20"/>
              </w:rPr>
              <w:t>62</w:t>
            </w:r>
          </w:p>
        </w:tc>
        <w:tc>
          <w:tcPr>
            <w:tcW w:type="dxa" w:w="1040"/>
          </w:tcPr>
          <w:p>
            <w:pPr>
              <w:spacing w:line="480" w:lineRule="auto" w:before="20" w:after="20"/>
              <w:ind w:firstLine="0"/>
              <w:jc w:val="center"/>
            </w:pPr>
            <w:r/>
            <w:r>
              <w:rPr>
                <w:rFonts w:ascii="Times New Roman" w:hAnsi="Times New Roman"/>
                <w:b w:val="0"/>
                <w:i w:val="0"/>
                <w:sz w:val="20"/>
              </w:rPr>
              <w:t>Martinez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156</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GenAI</w:t>
            </w:r>
          </w:p>
        </w:tc>
        <w:tc>
          <w:tcPr>
            <w:tcW w:type="dxa" w:w="1040"/>
          </w:tcPr>
          <w:p>
            <w:pPr>
              <w:spacing w:line="480" w:lineRule="auto" w:before="20" w:after="20"/>
              <w:ind w:firstLine="0"/>
              <w:jc w:val="center"/>
            </w:pPr>
            <w:r/>
            <w:r>
              <w:rPr>
                <w:rFonts w:ascii="Times New Roman" w:hAnsi="Times New Roman"/>
                <w:b w:val="0"/>
                <w:i w:val="0"/>
                <w:sz w:val="20"/>
              </w:rPr>
              <w:t>Aff, Beh, Cog</w:t>
            </w:r>
          </w:p>
        </w:tc>
        <w:tc>
          <w:tcPr>
            <w:tcW w:type="dxa" w:w="1040"/>
          </w:tcPr>
          <w:p>
            <w:pPr>
              <w:spacing w:line="480" w:lineRule="auto" w:before="20" w:after="20"/>
              <w:ind w:firstLine="0"/>
              <w:jc w:val="center"/>
            </w:pPr>
            <w:r/>
            <w:r>
              <w:rPr>
                <w:rFonts w:ascii="Times New Roman" w:hAnsi="Times New Roman"/>
                <w:b w:val="0"/>
                <w:i w:val="0"/>
                <w:sz w:val="20"/>
              </w:rPr>
              <w:t>0.72</w:t>
            </w:r>
          </w:p>
        </w:tc>
        <w:tc>
          <w:tcPr>
            <w:tcW w:type="dxa" w:w="1040"/>
          </w:tcPr>
          <w:p>
            <w:pPr>
              <w:spacing w:line="480" w:lineRule="auto" w:before="20" w:after="20"/>
              <w:ind w:firstLine="0"/>
              <w:jc w:val="center"/>
            </w:pPr>
            <w:r/>
            <w:r>
              <w:rPr>
                <w:rFonts w:ascii="Times New Roman" w:hAnsi="Times New Roman"/>
                <w:b w:val="0"/>
                <w:i w:val="0"/>
                <w:sz w:val="20"/>
              </w:rPr>
              <w:t>8</w:t>
            </w:r>
          </w:p>
        </w:tc>
      </w:tr>
      <w:tr>
        <w:tc>
          <w:tcPr>
            <w:tcW w:type="dxa" w:w="1040"/>
          </w:tcPr>
          <w:p>
            <w:pPr>
              <w:spacing w:line="480" w:lineRule="auto" w:before="20" w:after="20"/>
              <w:ind w:firstLine="0"/>
              <w:jc w:val="left"/>
            </w:pPr>
            <w:r/>
            <w:r>
              <w:rPr>
                <w:rFonts w:ascii="Times New Roman" w:hAnsi="Times New Roman"/>
                <w:b w:val="0"/>
                <w:i w:val="0"/>
                <w:sz w:val="20"/>
              </w:rPr>
              <w:t>63</w:t>
            </w:r>
          </w:p>
        </w:tc>
        <w:tc>
          <w:tcPr>
            <w:tcW w:type="dxa" w:w="1040"/>
          </w:tcPr>
          <w:p>
            <w:pPr>
              <w:spacing w:line="480" w:lineRule="auto" w:before="20" w:after="20"/>
              <w:ind w:firstLine="0"/>
              <w:jc w:val="center"/>
            </w:pPr>
            <w:r/>
            <w:r>
              <w:rPr>
                <w:rFonts w:ascii="Times New Roman" w:hAnsi="Times New Roman"/>
                <w:b w:val="0"/>
                <w:i w:val="0"/>
                <w:sz w:val="20"/>
              </w:rPr>
              <w:t>Thompson et al.</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128</w:t>
            </w:r>
          </w:p>
        </w:tc>
        <w:tc>
          <w:tcPr>
            <w:tcW w:type="dxa" w:w="1040"/>
          </w:tcPr>
          <w:p>
            <w:pPr>
              <w:spacing w:line="480" w:lineRule="auto" w:before="20" w:after="20"/>
              <w:ind w:firstLine="0"/>
              <w:jc w:val="center"/>
            </w:pPr>
            <w:r/>
            <w:r>
              <w:rPr>
                <w:rFonts w:ascii="Times New Roman" w:hAnsi="Times New Roman"/>
                <w:b w:val="0"/>
                <w:i w:val="0"/>
                <w:sz w:val="20"/>
              </w:rPr>
              <w:t>RCT</w:t>
            </w:r>
          </w:p>
        </w:tc>
        <w:tc>
          <w:tcPr>
            <w:tcW w:type="dxa" w:w="1040"/>
          </w:tcPr>
          <w:p>
            <w:pPr>
              <w:spacing w:line="480" w:lineRule="auto" w:before="20" w:after="20"/>
              <w:ind w:firstLine="0"/>
              <w:jc w:val="center"/>
            </w:pPr>
            <w:r/>
            <w:r>
              <w:rPr>
                <w:rFonts w:ascii="Times New Roman" w:hAnsi="Times New Roman"/>
                <w:b w:val="0"/>
                <w:i w:val="0"/>
                <w:sz w:val="20"/>
              </w:rPr>
              <w:t>ChatGPT</w:t>
            </w:r>
          </w:p>
        </w:tc>
        <w:tc>
          <w:tcPr>
            <w:tcW w:type="dxa" w:w="1040"/>
          </w:tcPr>
          <w:p>
            <w:pPr>
              <w:spacing w:line="480" w:lineRule="auto" w:before="20" w:after="20"/>
              <w:ind w:firstLine="0"/>
              <w:jc w:val="center"/>
            </w:pPr>
            <w:r/>
            <w:r>
              <w:rPr>
                <w:rFonts w:ascii="Times New Roman" w:hAnsi="Times New Roman"/>
                <w:b w:val="0"/>
                <w:i w:val="0"/>
                <w:sz w:val="20"/>
              </w:rPr>
              <w:t>Cog</w:t>
            </w:r>
          </w:p>
        </w:tc>
        <w:tc>
          <w:tcPr>
            <w:tcW w:type="dxa" w:w="1040"/>
          </w:tcPr>
          <w:p>
            <w:pPr>
              <w:spacing w:line="480" w:lineRule="auto" w:before="20" w:after="20"/>
              <w:ind w:firstLine="0"/>
              <w:jc w:val="center"/>
            </w:pPr>
            <w:r/>
            <w:r>
              <w:rPr>
                <w:rFonts w:ascii="Times New Roman" w:hAnsi="Times New Roman"/>
                <w:b w:val="0"/>
                <w:i w:val="0"/>
                <w:sz w:val="20"/>
              </w:rPr>
              <w:t>0.55</w:t>
            </w:r>
          </w:p>
        </w:tc>
        <w:tc>
          <w:tcPr>
            <w:tcW w:type="dxa" w:w="1040"/>
          </w:tcPr>
          <w:p>
            <w:pPr>
              <w:spacing w:line="480" w:lineRule="auto" w:before="20" w:after="20"/>
              <w:ind w:firstLine="0"/>
              <w:jc w:val="center"/>
            </w:pPr>
            <w:r/>
            <w:r>
              <w:rPr>
                <w:rFonts w:ascii="Times New Roman" w:hAnsi="Times New Roman"/>
                <w:b w:val="0"/>
                <w:i w:val="0"/>
                <w:sz w:val="20"/>
              </w:rPr>
              <w:t>3</w:t>
            </w:r>
          </w:p>
        </w:tc>
      </w:tr>
      <w:tr>
        <w:tc>
          <w:tcPr>
            <w:tcW w:type="dxa" w:w="1040"/>
          </w:tcPr>
          <w:p>
            <w:pPr>
              <w:spacing w:line="480" w:lineRule="auto" w:before="20" w:after="20"/>
              <w:ind w:firstLine="0"/>
              <w:jc w:val="left"/>
            </w:pPr>
            <w:r/>
            <w:r>
              <w:rPr>
                <w:rFonts w:ascii="Times New Roman" w:hAnsi="Times New Roman"/>
                <w:b w:val="0"/>
                <w:i w:val="0"/>
                <w:sz w:val="20"/>
              </w:rPr>
              <w:t>64</w:t>
            </w:r>
          </w:p>
        </w:tc>
        <w:tc>
          <w:tcPr>
            <w:tcW w:type="dxa" w:w="1040"/>
          </w:tcPr>
          <w:p>
            <w:pPr>
              <w:spacing w:line="480" w:lineRule="auto" w:before="20" w:after="20"/>
              <w:ind w:firstLine="0"/>
              <w:jc w:val="center"/>
            </w:pPr>
            <w:r/>
            <w:r>
              <w:rPr>
                <w:rFonts w:ascii="Times New Roman" w:hAnsi="Times New Roman"/>
                <w:b w:val="0"/>
                <w:i w:val="0"/>
                <w:sz w:val="20"/>
              </w:rPr>
              <w:t>Lee &amp; Wang</w:t>
            </w:r>
          </w:p>
        </w:tc>
        <w:tc>
          <w:tcPr>
            <w:tcW w:type="dxa" w:w="1040"/>
          </w:tcPr>
          <w:p>
            <w:pPr>
              <w:spacing w:line="480" w:lineRule="auto" w:before="20" w:after="20"/>
              <w:ind w:firstLine="0"/>
              <w:jc w:val="center"/>
            </w:pPr>
            <w:r/>
            <w:r>
              <w:rPr>
                <w:rFonts w:ascii="Times New Roman" w:hAnsi="Times New Roman"/>
                <w:b w:val="0"/>
                <w:i w:val="0"/>
                <w:sz w:val="20"/>
              </w:rPr>
              <w:t>2025</w:t>
            </w:r>
          </w:p>
        </w:tc>
        <w:tc>
          <w:tcPr>
            <w:tcW w:type="dxa" w:w="1040"/>
          </w:tcPr>
          <w:p>
            <w:pPr>
              <w:spacing w:line="480" w:lineRule="auto" w:before="20" w:after="20"/>
              <w:ind w:firstLine="0"/>
              <w:jc w:val="center"/>
            </w:pPr>
            <w:r/>
            <w:r>
              <w:rPr>
                <w:rFonts w:ascii="Times New Roman" w:hAnsi="Times New Roman"/>
                <w:b w:val="0"/>
                <w:i w:val="0"/>
                <w:sz w:val="20"/>
              </w:rPr>
              <w:t>67</w:t>
            </w:r>
          </w:p>
        </w:tc>
        <w:tc>
          <w:tcPr>
            <w:tcW w:type="dxa" w:w="1040"/>
          </w:tcPr>
          <w:p>
            <w:pPr>
              <w:spacing w:line="480" w:lineRule="auto" w:before="20" w:after="20"/>
              <w:ind w:firstLine="0"/>
              <w:jc w:val="center"/>
            </w:pPr>
            <w:r/>
            <w:r>
              <w:rPr>
                <w:rFonts w:ascii="Times New Roman" w:hAnsi="Times New Roman"/>
                <w:b w:val="0"/>
                <w:i w:val="0"/>
                <w:sz w:val="20"/>
              </w:rPr>
              <w:t>Other</w:t>
            </w:r>
          </w:p>
        </w:tc>
        <w:tc>
          <w:tcPr>
            <w:tcW w:type="dxa" w:w="1040"/>
          </w:tcPr>
          <w:p>
            <w:pPr>
              <w:spacing w:line="480" w:lineRule="auto" w:before="20" w:after="20"/>
              <w:ind w:firstLine="0"/>
              <w:jc w:val="center"/>
            </w:pPr>
            <w:r/>
            <w:r>
              <w:rPr>
                <w:rFonts w:ascii="Times New Roman" w:hAnsi="Times New Roman"/>
                <w:b w:val="0"/>
                <w:i w:val="0"/>
                <w:sz w:val="20"/>
              </w:rPr>
              <w:t>GPT-4</w:t>
            </w:r>
          </w:p>
        </w:tc>
        <w:tc>
          <w:tcPr>
            <w:tcW w:type="dxa" w:w="1040"/>
          </w:tcPr>
          <w:p>
            <w:pPr>
              <w:spacing w:line="480" w:lineRule="auto" w:before="20" w:after="20"/>
              <w:ind w:firstLine="0"/>
              <w:jc w:val="center"/>
            </w:pPr>
            <w:r/>
            <w:r>
              <w:rPr>
                <w:rFonts w:ascii="Times New Roman" w:hAnsi="Times New Roman"/>
                <w:b w:val="0"/>
                <w:i w:val="0"/>
                <w:sz w:val="20"/>
              </w:rPr>
              <w:t>Aff, Cog</w:t>
            </w:r>
          </w:p>
        </w:tc>
        <w:tc>
          <w:tcPr>
            <w:tcW w:type="dxa" w:w="1040"/>
          </w:tcPr>
          <w:p>
            <w:pPr>
              <w:spacing w:line="480" w:lineRule="auto" w:before="20" w:after="20"/>
              <w:ind w:firstLine="0"/>
              <w:jc w:val="center"/>
            </w:pPr>
            <w:r/>
            <w:r>
              <w:rPr>
                <w:rFonts w:ascii="Times New Roman" w:hAnsi="Times New Roman"/>
                <w:b w:val="0"/>
                <w:i w:val="0"/>
                <w:sz w:val="20"/>
              </w:rPr>
              <w:t>0.48</w:t>
            </w:r>
          </w:p>
        </w:tc>
        <w:tc>
          <w:tcPr>
            <w:tcW w:type="dxa" w:w="1040"/>
          </w:tcPr>
          <w:p>
            <w:pPr>
              <w:spacing w:line="480" w:lineRule="auto" w:before="20" w:after="20"/>
              <w:ind w:firstLine="0"/>
              <w:jc w:val="center"/>
            </w:pPr>
            <w:r/>
            <w:r>
              <w:rPr>
                <w:rFonts w:ascii="Times New Roman" w:hAnsi="Times New Roman"/>
                <w:b w:val="0"/>
                <w:i w:val="0"/>
                <w:sz w:val="20"/>
              </w:rPr>
              <w:t>4</w:t>
            </w:r>
          </w:p>
        </w:tc>
      </w:tr>
      <w:tr>
        <w:tc>
          <w:tcPr>
            <w:tcW w:type="dxa" w:w="1040"/>
            <w:tcBorders>
              <w:bottom w:val="single" w:sz="8" w:space="0" w:color="000000"/>
            </w:tcBorders>
          </w:tcPr>
          <w:p>
            <w:pPr>
              <w:spacing w:line="480" w:lineRule="auto" w:before="20" w:after="20"/>
              <w:ind w:firstLine="0"/>
              <w:jc w:val="left"/>
            </w:pPr>
            <w:r/>
            <w:r>
              <w:rPr>
                <w:rFonts w:ascii="Times New Roman" w:hAnsi="Times New Roman"/>
                <w:b w:val="0"/>
                <w:i w:val="0"/>
                <w:sz w:val="20"/>
              </w:rPr>
              <w:t>65</w:t>
            </w:r>
          </w:p>
        </w:tc>
        <w:tc>
          <w:tcPr>
            <w:tcW w:type="dxa" w:w="1040"/>
            <w:tcBorders>
              <w:bottom w:val="single" w:sz="8" w:space="0" w:color="000000"/>
            </w:tcBorders>
          </w:tcPr>
          <w:p>
            <w:pPr>
              <w:spacing w:line="480" w:lineRule="auto" w:before="20" w:after="20"/>
              <w:ind w:firstLine="0"/>
              <w:jc w:val="center"/>
            </w:pPr>
            <w:r/>
            <w:r>
              <w:rPr>
                <w:rFonts w:ascii="Times New Roman" w:hAnsi="Times New Roman"/>
                <w:b w:val="0"/>
                <w:i w:val="0"/>
                <w:sz w:val="20"/>
              </w:rPr>
              <w:t>Rodriguez et al.</w:t>
            </w:r>
          </w:p>
        </w:tc>
        <w:tc>
          <w:tcPr>
            <w:tcW w:type="dxa" w:w="1040"/>
            <w:tcBorders>
              <w:bottom w:val="single" w:sz="8" w:space="0" w:color="000000"/>
            </w:tcBorders>
          </w:tcPr>
          <w:p>
            <w:pPr>
              <w:spacing w:line="480" w:lineRule="auto" w:before="20" w:after="20"/>
              <w:ind w:firstLine="0"/>
              <w:jc w:val="center"/>
            </w:pPr>
            <w:r/>
            <w:r>
              <w:rPr>
                <w:rFonts w:ascii="Times New Roman" w:hAnsi="Times New Roman"/>
                <w:b w:val="0"/>
                <w:i w:val="0"/>
                <w:sz w:val="20"/>
              </w:rPr>
              <w:t>2025</w:t>
            </w:r>
          </w:p>
        </w:tc>
        <w:tc>
          <w:tcPr>
            <w:tcW w:type="dxa" w:w="1040"/>
            <w:tcBorders>
              <w:bottom w:val="single" w:sz="8" w:space="0" w:color="000000"/>
            </w:tcBorders>
          </w:tcPr>
          <w:p>
            <w:pPr>
              <w:spacing w:line="480" w:lineRule="auto" w:before="20" w:after="20"/>
              <w:ind w:firstLine="0"/>
              <w:jc w:val="center"/>
            </w:pPr>
            <w:r/>
            <w:r>
              <w:rPr>
                <w:rFonts w:ascii="Times New Roman" w:hAnsi="Times New Roman"/>
                <w:b w:val="0"/>
                <w:i w:val="0"/>
                <w:sz w:val="20"/>
              </w:rPr>
              <w:t>145</w:t>
            </w:r>
          </w:p>
        </w:tc>
        <w:tc>
          <w:tcPr>
            <w:tcW w:type="dxa" w:w="1040"/>
            <w:tcBorders>
              <w:bottom w:val="single" w:sz="8" w:space="0" w:color="000000"/>
            </w:tcBorders>
          </w:tcPr>
          <w:p>
            <w:pPr>
              <w:spacing w:line="480" w:lineRule="auto" w:before="20" w:after="20"/>
              <w:ind w:firstLine="0"/>
              <w:jc w:val="center"/>
            </w:pPr>
            <w:r/>
            <w:r>
              <w:rPr>
                <w:rFonts w:ascii="Times New Roman" w:hAnsi="Times New Roman"/>
                <w:b w:val="0"/>
                <w:i w:val="0"/>
                <w:sz w:val="20"/>
              </w:rPr>
              <w:t>RCT</w:t>
            </w:r>
          </w:p>
        </w:tc>
        <w:tc>
          <w:tcPr>
            <w:tcW w:type="dxa" w:w="1040"/>
            <w:tcBorders>
              <w:bottom w:val="single" w:sz="8" w:space="0" w:color="000000"/>
            </w:tcBorders>
          </w:tcPr>
          <w:p>
            <w:pPr>
              <w:spacing w:line="480" w:lineRule="auto" w:before="20" w:after="20"/>
              <w:ind w:firstLine="0"/>
              <w:jc w:val="center"/>
            </w:pPr>
            <w:r/>
            <w:r>
              <w:rPr>
                <w:rFonts w:ascii="Times New Roman" w:hAnsi="Times New Roman"/>
                <w:b w:val="0"/>
                <w:i w:val="0"/>
                <w:sz w:val="20"/>
              </w:rPr>
              <w:t>GenAI</w:t>
            </w:r>
          </w:p>
        </w:tc>
        <w:tc>
          <w:tcPr>
            <w:tcW w:type="dxa" w:w="1040"/>
            <w:tcBorders>
              <w:bottom w:val="single" w:sz="8" w:space="0" w:color="000000"/>
            </w:tcBorders>
          </w:tcPr>
          <w:p>
            <w:pPr>
              <w:spacing w:line="480" w:lineRule="auto" w:before="20" w:after="20"/>
              <w:ind w:firstLine="0"/>
              <w:jc w:val="center"/>
            </w:pPr>
            <w:r/>
            <w:r>
              <w:rPr>
                <w:rFonts w:ascii="Times New Roman" w:hAnsi="Times New Roman"/>
                <w:b w:val="0"/>
                <w:i w:val="0"/>
                <w:sz w:val="20"/>
              </w:rPr>
              <w:t>Cog, Met</w:t>
            </w:r>
          </w:p>
        </w:tc>
        <w:tc>
          <w:tcPr>
            <w:tcW w:type="dxa" w:w="1040"/>
            <w:tcBorders>
              <w:bottom w:val="single" w:sz="8" w:space="0" w:color="000000"/>
            </w:tcBorders>
          </w:tcPr>
          <w:p>
            <w:pPr>
              <w:spacing w:line="480" w:lineRule="auto" w:before="20" w:after="20"/>
              <w:ind w:firstLine="0"/>
              <w:jc w:val="center"/>
            </w:pPr>
            <w:r/>
            <w:r>
              <w:rPr>
                <w:rFonts w:ascii="Times New Roman" w:hAnsi="Times New Roman"/>
                <w:b w:val="0"/>
                <w:i w:val="0"/>
                <w:sz w:val="20"/>
              </w:rPr>
              <w:t>0.63</w:t>
            </w:r>
          </w:p>
        </w:tc>
        <w:tc>
          <w:tcPr>
            <w:tcW w:type="dxa" w:w="1040"/>
            <w:tcBorders>
              <w:bottom w:val="single" w:sz="8" w:space="0" w:color="000000"/>
            </w:tcBorders>
          </w:tcPr>
          <w:p>
            <w:pPr>
              <w:spacing w:line="480" w:lineRule="auto" w:before="20" w:after="20"/>
              <w:ind w:firstLine="0"/>
              <w:jc w:val="center"/>
            </w:pPr>
            <w:r/>
            <w:r>
              <w:rPr>
                <w:rFonts w:ascii="Times New Roman" w:hAnsi="Times New Roman"/>
                <w:b w:val="0"/>
                <w:i w:val="0"/>
                <w:sz w:val="20"/>
              </w:rPr>
              <w:t>5</w:t>
            </w:r>
          </w:p>
        </w:tc>
      </w:tr>
    </w:tbl>
    <w:p>
      <w:pPr>
        <w:spacing w:line="480" w:lineRule="auto" w:before="0" w:after="0"/>
        <w:ind w:firstLine="720"/>
        <w:jc w:val="left"/>
      </w:pPr>
      <w:r>
        <w:rPr>
          <w:rFonts w:ascii="Times New Roman" w:hAnsi="Times New Roman"/>
          <w:b w:val="0"/>
          <w:i/>
          <w:sz w:val="24"/>
        </w:rPr>
        <w:t>Note.</w:t>
      </w:r>
      <w:r>
        <w:rPr>
          <w:rFonts w:ascii="Times New Roman" w:hAnsi="Times New Roman"/>
          <w:b w:val="0"/>
          <w:i w:val="0"/>
          <w:sz w:val="24"/>
        </w:rPr>
        <w:t xml:space="preserve"> ID = study identifier; </w:t>
      </w:r>
      <w:r>
        <w:rPr>
          <w:rFonts w:ascii="Times New Roman" w:hAnsi="Times New Roman"/>
          <w:b w:val="0"/>
          <w:i/>
          <w:sz w:val="24"/>
        </w:rPr>
        <w:t>N</w:t>
      </w:r>
      <w:r>
        <w:rPr>
          <w:rFonts w:ascii="Times New Roman" w:hAnsi="Times New Roman"/>
          <w:b w:val="0"/>
          <w:i w:val="0"/>
          <w:sz w:val="24"/>
        </w:rPr>
        <w:t xml:space="preserve"> = total sample size; Design: RCT = randomized controlled trial, Other = quasi-experimental or other controlled design; GenAI Tool: ChatGPT = ChatGPT (version unspecified), GPT-3.5/GPT-4/GPT-4o = specific GPT versions, Gemini = Google Gemini, Qwen = Alibaba Qwen, GenAI = generative AI (unspecified), LLM = large language model (unspecified), Custom = custom-built AI chatbot, NR = not reported, N/A = not applicable; Outcomes: Aff = affective, Beh = behavioral, Cog = cognitive, Met = metacognitive; </w:t>
      </w:r>
      <w:r>
        <w:rPr>
          <w:rFonts w:ascii="Times New Roman" w:hAnsi="Times New Roman"/>
          <w:b w:val="0"/>
          <w:i/>
          <w:sz w:val="24"/>
        </w:rPr>
        <w:t>g</w:t>
      </w:r>
      <w:r>
        <w:rPr>
          <w:rFonts w:ascii="Times New Roman" w:hAnsi="Times New Roman"/>
          <w:b w:val="0"/>
          <w:i w:val="0"/>
          <w:sz w:val="24"/>
        </w:rPr>
        <w:t xml:space="preserve"> = mean Hedges' </w:t>
      </w:r>
      <w:r>
        <w:rPr>
          <w:rFonts w:ascii="Times New Roman" w:hAnsi="Times New Roman"/>
          <w:b w:val="0"/>
          <w:i/>
          <w:sz w:val="24"/>
        </w:rPr>
        <w:t>g</w:t>
      </w:r>
      <w:r>
        <w:rPr>
          <w:rFonts w:ascii="Times New Roman" w:hAnsi="Times New Roman"/>
          <w:b w:val="0"/>
          <w:i w:val="0"/>
          <w:sz w:val="24"/>
        </w:rPr>
        <w:t xml:space="preserve"> across outcomes; </w:t>
      </w:r>
      <w:r>
        <w:rPr>
          <w:rFonts w:ascii="Times New Roman" w:hAnsi="Times New Roman"/>
          <w:b w:val="0"/>
          <w:i/>
          <w:sz w:val="24"/>
        </w:rPr>
        <w:t>k</w:t>
      </w:r>
      <w:r>
        <w:rPr>
          <w:rFonts w:ascii="Times New Roman" w:hAnsi="Times New Roman"/>
          <w:b w:val="0"/>
          <w:i w:val="0"/>
          <w:sz w:val="24"/>
        </w:rPr>
        <w:t xml:space="preserve"> = number of effect sizes. Studies 47–65 represent newly identified studies from the updated systematic search conducted in January 2026.</w:t>
      </w:r>
    </w:p>
    <w:p>
      <w:pPr>
        <w:spacing w:line="480" w:lineRule="auto" w:before="0" w:after="0"/>
        <w:ind w:firstLine="0"/>
        <w:jc w:val="left"/>
      </w:pPr>
      <w:r>
        <w:rPr>
          <w:rFonts w:ascii="Times New Roman" w:hAnsi="Times New Roman"/>
          <w:b/>
          <w:i w:val="0"/>
          <w:sz w:val="24"/>
        </w:rPr>
        <w:t>Overall Effect of GenAI on Learning Outcomes</w:t>
      </w:r>
    </w:p>
    <w:p>
      <w:pPr>
        <w:spacing w:line="480" w:lineRule="auto" w:before="0" w:after="0"/>
        <w:ind w:firstLine="720"/>
        <w:jc w:val="left"/>
      </w:pPr>
      <w:r>
        <w:rPr>
          <w:rFonts w:ascii="Times New Roman" w:hAnsi="Times New Roman"/>
          <w:b w:val="0"/>
          <w:i w:val="0"/>
          <w:sz w:val="24"/>
        </w:rPr>
        <w:t xml:space="preserve">The three-level meta-analysis revealed a statistically significant large effect favoring GenAI interventions, </w:t>
      </w:r>
      <w:r>
        <w:rPr>
          <w:rFonts w:ascii="Times New Roman" w:hAnsi="Times New Roman"/>
          <w:b w:val="0"/>
          <w:i/>
          <w:sz w:val="24"/>
        </w:rPr>
        <w:t>g</w:t>
      </w:r>
      <w:r>
        <w:rPr>
          <w:rFonts w:ascii="Times New Roman" w:hAnsi="Times New Roman"/>
          <w:b w:val="0"/>
          <w:i w:val="0"/>
          <w:sz w:val="24"/>
        </w:rPr>
        <w:t xml:space="preserve"> = 0.736, 95% CI [0.709, 0.764], </w:t>
      </w:r>
      <w:r>
        <w:rPr>
          <w:rFonts w:ascii="Times New Roman" w:hAnsi="Times New Roman"/>
          <w:b w:val="0"/>
          <w:i/>
          <w:sz w:val="24"/>
        </w:rPr>
        <w:t>t</w:t>
      </w:r>
      <w:r>
        <w:rPr>
          <w:rFonts w:ascii="Times New Roman" w:hAnsi="Times New Roman"/>
          <w:b w:val="0"/>
          <w:i w:val="0"/>
          <w:sz w:val="24"/>
        </w:rPr>
        <w:t xml:space="preserve">(59) = 5.47, </w:t>
      </w:r>
      <w:r>
        <w:rPr>
          <w:rFonts w:ascii="Times New Roman" w:hAnsi="Times New Roman"/>
          <w:b w:val="0"/>
          <w:i/>
          <w:sz w:val="24"/>
        </w:rPr>
        <w:t>p</w:t>
      </w:r>
      <w:r>
        <w:rPr>
          <w:rFonts w:ascii="Times New Roman" w:hAnsi="Times New Roman"/>
          <w:b w:val="0"/>
          <w:i w:val="0"/>
          <w:sz w:val="24"/>
        </w:rPr>
        <w:t xml:space="preserve"> &lt; .001 (see Figure 2). This effect indicates students receiving GenAI-supported instruction outperformed control group students by approximately two-thirds of a standard deviation—a practically meaningful difference.</w:t>
      </w:r>
    </w:p>
    <w:p>
      <w:pPr>
        <w:spacing w:line="480" w:lineRule="auto" w:before="240" w:after="240"/>
        <w:ind w:firstLine="0"/>
        <w:jc w:val="center"/>
      </w:pPr>
      <w:r>
        <w:rPr>
          <w:rFonts w:ascii="Times New Roman" w:hAnsi="Times New Roman"/>
          <w:b w:val="0"/>
          <w:i/>
          <w:sz w:val="24"/>
        </w:rPr>
        <w:t>Insert Figure 2 about here] The effect remained significant when using robust variance estimation with CR2 corrections, *g* = 0.736, 95% CI [0.701, 0.771]. These results provide strong support for Hypothesis 1.</w:t>
      </w:r>
    </w:p>
    <w:p>
      <w:pPr>
        <w:spacing w:line="480" w:lineRule="auto" w:before="0" w:after="0"/>
        <w:ind w:firstLine="0"/>
        <w:jc w:val="left"/>
      </w:pPr>
      <w:r>
        <w:rPr>
          <w:rFonts w:ascii="Times New Roman" w:hAnsi="Times New Roman"/>
          <w:b/>
          <w:i w:val="0"/>
          <w:sz w:val="24"/>
        </w:rPr>
        <w:t>Heterogeneity Analysis</w:t>
      </w:r>
    </w:p>
    <w:p>
      <w:pPr>
        <w:spacing w:line="480" w:lineRule="auto" w:before="0" w:after="0"/>
        <w:ind w:firstLine="720"/>
        <w:jc w:val="left"/>
      </w:pPr>
      <w:r>
        <w:rPr>
          <w:rFonts w:ascii="Times New Roman" w:hAnsi="Times New Roman"/>
          <w:b w:val="0"/>
          <w:i w:val="0"/>
          <w:sz w:val="24"/>
        </w:rPr>
        <w:t xml:space="preserve">Substantial heterogeneity was observed, </w:t>
      </w:r>
      <w:r>
        <w:rPr>
          <w:rFonts w:ascii="Times New Roman" w:hAnsi="Times New Roman"/>
          <w:b w:val="0"/>
          <w:i/>
          <w:sz w:val="24"/>
        </w:rPr>
        <w:t>Q</w:t>
      </w:r>
      <w:r>
        <w:rPr>
          <w:rFonts w:ascii="Times New Roman" w:hAnsi="Times New Roman"/>
          <w:b w:val="0"/>
          <w:i w:val="0"/>
          <w:sz w:val="24"/>
        </w:rPr>
        <w:t xml:space="preserve">(380) = 7,284.56, </w:t>
      </w:r>
      <w:r>
        <w:rPr>
          <w:rFonts w:ascii="Times New Roman" w:hAnsi="Times New Roman"/>
          <w:b w:val="0"/>
          <w:i/>
          <w:sz w:val="24"/>
        </w:rPr>
        <w:t>p</w:t>
      </w:r>
      <w:r>
        <w:rPr>
          <w:rFonts w:ascii="Times New Roman" w:hAnsi="Times New Roman"/>
          <w:b w:val="0"/>
          <w:i w:val="0"/>
          <w:sz w:val="24"/>
        </w:rPr>
        <w:t xml:space="preserve"> &lt; .001, I² = 95.8%. Variance was partitioned between within-study heterogeneity (I² Level 2 = 42.3%, τ²₂ = 0.218, </w:t>
      </w:r>
      <w:r>
        <w:rPr>
          <w:rFonts w:ascii="Times New Roman" w:hAnsi="Times New Roman"/>
          <w:b w:val="0"/>
          <w:i/>
          <w:sz w:val="24"/>
        </w:rPr>
        <w:t>SE</w:t>
      </w:r>
      <w:r>
        <w:rPr>
          <w:rFonts w:ascii="Times New Roman" w:hAnsi="Times New Roman"/>
          <w:b w:val="0"/>
          <w:i w:val="0"/>
          <w:sz w:val="24"/>
        </w:rPr>
        <w:t xml:space="preserve"> = 0.038) and between-study heterogeneity (I² Level 3 = 53.5%, τ²₃ = 0.276, </w:t>
      </w:r>
      <w:r>
        <w:rPr>
          <w:rFonts w:ascii="Times New Roman" w:hAnsi="Times New Roman"/>
          <w:b w:val="0"/>
          <w:i/>
          <w:sz w:val="24"/>
        </w:rPr>
        <w:t>SE</w:t>
      </w:r>
      <w:r>
        <w:rPr>
          <w:rFonts w:ascii="Times New Roman" w:hAnsi="Times New Roman"/>
          <w:b w:val="0"/>
          <w:i w:val="0"/>
          <w:sz w:val="24"/>
        </w:rPr>
        <w:t xml:space="preserve"> = 0.052). The predominance of between-study variance suggests study-level characteristics (intervention type, context, population) account for more heterogeneity than within-study factors. A likelihood ratio test confirmed the three-level model fit significantly better than a two-level model, χ²(1) = 112.47, </w:t>
      </w:r>
      <w:r>
        <w:rPr>
          <w:rFonts w:ascii="Times New Roman" w:hAnsi="Times New Roman"/>
          <w:b w:val="0"/>
          <w:i/>
          <w:sz w:val="24"/>
        </w:rPr>
        <w:t>p</w:t>
      </w:r>
      <w:r>
        <w:rPr>
          <w:rFonts w:ascii="Times New Roman" w:hAnsi="Times New Roman"/>
          <w:b w:val="0"/>
          <w:i w:val="0"/>
          <w:sz w:val="24"/>
        </w:rPr>
        <w:t xml:space="preserve"> &lt; .001.</w:t>
      </w:r>
    </w:p>
    <w:p>
      <w:pPr>
        <w:spacing w:line="480" w:lineRule="auto" w:before="240" w:after="0"/>
        <w:ind w:firstLine="0"/>
        <w:jc w:val="left"/>
      </w:pPr>
      <w:r>
        <w:rPr>
          <w:rFonts w:ascii="Times New Roman" w:hAnsi="Times New Roman"/>
          <w:b/>
          <w:i w:val="0"/>
          <w:sz w:val="24"/>
        </w:rPr>
        <w:t>Table 3</w:t>
      </w:r>
    </w:p>
    <w:p>
      <w:pPr>
        <w:spacing w:line="480" w:lineRule="auto" w:before="0" w:after="0"/>
        <w:ind w:firstLine="720"/>
        <w:jc w:val="left"/>
      </w:pPr>
      <w:r>
        <w:rPr>
          <w:rFonts w:ascii="Times New Roman" w:hAnsi="Times New Roman"/>
          <w:b w:val="0"/>
          <w:i/>
          <w:sz w:val="24"/>
        </w:rPr>
        <w:t>Heterogeneity and Variance Components in Three-Level Model</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72"/>
        <w:gridCol w:w="1872"/>
        <w:gridCol w:w="1872"/>
        <w:gridCol w:w="1872"/>
        <w:gridCol w:w="1872"/>
      </w:tblGrid>
      <w:tr>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Component</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τ²</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*SE*</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I²</w:t>
            </w:r>
          </w:p>
        </w:tc>
        <w:tc>
          <w:tcPr>
            <w:tcW w:type="dxa" w:w="1872"/>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LRT χ²</w:t>
            </w:r>
          </w:p>
        </w:tc>
      </w:tr>
      <w:tr>
        <w:tc>
          <w:tcPr>
            <w:tcW w:type="dxa" w:w="1872"/>
          </w:tcPr>
          <w:p>
            <w:pPr>
              <w:spacing w:line="480" w:lineRule="auto" w:before="20" w:after="20"/>
              <w:ind w:firstLine="0"/>
              <w:jc w:val="left"/>
            </w:pPr>
            <w:r/>
            <w:r>
              <w:rPr>
                <w:rFonts w:ascii="Times New Roman" w:hAnsi="Times New Roman"/>
                <w:b w:val="0"/>
                <w:i w:val="0"/>
                <w:sz w:val="20"/>
              </w:rPr>
              <w:t>Total heterogeneity</w:t>
            </w:r>
          </w:p>
        </w:tc>
        <w:tc>
          <w:tcPr>
            <w:tcW w:type="dxa" w:w="1872"/>
          </w:tcPr>
          <w:p>
            <w:pPr>
              <w:spacing w:line="480" w:lineRule="auto" w:before="20" w:after="20"/>
              <w:ind w:firstLine="0"/>
              <w:jc w:val="center"/>
            </w:pPr>
            <w:r/>
            <w:r>
              <w:rPr>
                <w:rFonts w:ascii="Times New Roman" w:hAnsi="Times New Roman"/>
                <w:b w:val="0"/>
                <w:i w:val="0"/>
                <w:sz w:val="20"/>
              </w:rPr>
              <w:t>0.494</w:t>
            </w:r>
          </w:p>
        </w:tc>
        <w:tc>
          <w:tcPr>
            <w:tcW w:type="dxa" w:w="1872"/>
          </w:tcPr>
          <w:p>
            <w:pPr>
              <w:spacing w:line="480" w:lineRule="auto" w:before="20" w:after="20"/>
              <w:ind w:firstLine="0"/>
              <w:jc w:val="center"/>
            </w:pPr>
            <w:r/>
            <w:r>
              <w:rPr>
                <w:rFonts w:ascii="Times New Roman" w:hAnsi="Times New Roman"/>
                <w:b w:val="0"/>
                <w:i w:val="0"/>
                <w:sz w:val="20"/>
              </w:rPr>
              <w:t>—</w:t>
            </w:r>
          </w:p>
        </w:tc>
        <w:tc>
          <w:tcPr>
            <w:tcW w:type="dxa" w:w="1872"/>
          </w:tcPr>
          <w:p>
            <w:pPr>
              <w:spacing w:line="480" w:lineRule="auto" w:before="20" w:after="20"/>
              <w:ind w:firstLine="0"/>
              <w:jc w:val="center"/>
            </w:pPr>
            <w:r/>
            <w:r>
              <w:rPr>
                <w:rFonts w:ascii="Times New Roman" w:hAnsi="Times New Roman"/>
                <w:b/>
                <w:i w:val="0"/>
                <w:sz w:val="20"/>
              </w:rPr>
              <w:t>95.8%</w:t>
            </w:r>
          </w:p>
        </w:tc>
        <w:tc>
          <w:tcPr>
            <w:tcW w:type="dxa" w:w="1872"/>
          </w:tcPr>
          <w:p>
            <w:pPr>
              <w:spacing w:line="480" w:lineRule="auto" w:before="20" w:after="20"/>
              <w:ind w:firstLine="0"/>
              <w:jc w:val="center"/>
            </w:pPr>
            <w:r/>
            <w:r>
              <w:rPr>
                <w:rFonts w:ascii="Times New Roman" w:hAnsi="Times New Roman"/>
                <w:b w:val="0"/>
                <w:i w:val="0"/>
                <w:sz w:val="20"/>
              </w:rPr>
              <w:t>—</w:t>
            </w:r>
          </w:p>
        </w:tc>
      </w:tr>
      <w:tr>
        <w:tc>
          <w:tcPr>
            <w:tcW w:type="dxa" w:w="1872"/>
          </w:tcPr>
          <w:p>
            <w:pPr>
              <w:spacing w:line="480" w:lineRule="auto" w:before="20" w:after="20"/>
              <w:ind w:firstLine="0"/>
              <w:jc w:val="left"/>
            </w:pPr>
            <w:r/>
            <w:r>
              <w:rPr>
                <w:rFonts w:ascii="Times New Roman" w:hAnsi="Times New Roman"/>
                <w:b w:val="0"/>
                <w:i w:val="0"/>
                <w:sz w:val="20"/>
              </w:rPr>
              <w:t>Level 2 (within-study)</w:t>
            </w:r>
          </w:p>
        </w:tc>
        <w:tc>
          <w:tcPr>
            <w:tcW w:type="dxa" w:w="1872"/>
          </w:tcPr>
          <w:p>
            <w:pPr>
              <w:spacing w:line="480" w:lineRule="auto" w:before="20" w:after="20"/>
              <w:ind w:firstLine="0"/>
              <w:jc w:val="center"/>
            </w:pPr>
            <w:r/>
            <w:r>
              <w:rPr>
                <w:rFonts w:ascii="Times New Roman" w:hAnsi="Times New Roman"/>
                <w:b w:val="0"/>
                <w:i w:val="0"/>
                <w:sz w:val="20"/>
              </w:rPr>
              <w:t>0.218</w:t>
            </w:r>
          </w:p>
        </w:tc>
        <w:tc>
          <w:tcPr>
            <w:tcW w:type="dxa" w:w="1872"/>
          </w:tcPr>
          <w:p>
            <w:pPr>
              <w:spacing w:line="480" w:lineRule="auto" w:before="20" w:after="20"/>
              <w:ind w:firstLine="0"/>
              <w:jc w:val="center"/>
            </w:pPr>
            <w:r/>
            <w:r>
              <w:rPr>
                <w:rFonts w:ascii="Times New Roman" w:hAnsi="Times New Roman"/>
                <w:b w:val="0"/>
                <w:i w:val="0"/>
                <w:sz w:val="20"/>
              </w:rPr>
              <w:t>0.038</w:t>
            </w:r>
          </w:p>
        </w:tc>
        <w:tc>
          <w:tcPr>
            <w:tcW w:type="dxa" w:w="1872"/>
          </w:tcPr>
          <w:p>
            <w:pPr>
              <w:spacing w:line="480" w:lineRule="auto" w:before="20" w:after="20"/>
              <w:ind w:firstLine="0"/>
              <w:jc w:val="center"/>
            </w:pPr>
            <w:r/>
            <w:r>
              <w:rPr>
                <w:rFonts w:ascii="Times New Roman" w:hAnsi="Times New Roman"/>
                <w:b w:val="0"/>
                <w:i w:val="0"/>
                <w:sz w:val="20"/>
              </w:rPr>
              <w:t>42.3%</w:t>
            </w:r>
          </w:p>
        </w:tc>
        <w:tc>
          <w:tcPr>
            <w:tcW w:type="dxa" w:w="1872"/>
          </w:tcPr>
          <w:p>
            <w:pPr>
              <w:spacing w:line="480" w:lineRule="auto" w:before="20" w:after="20"/>
              <w:ind w:firstLine="0"/>
              <w:jc w:val="center"/>
            </w:pPr>
            <w:r/>
            <w:r>
              <w:rPr>
                <w:rFonts w:ascii="Times New Roman" w:hAnsi="Times New Roman"/>
                <w:b w:val="0"/>
                <w:i w:val="0"/>
                <w:sz w:val="20"/>
              </w:rPr>
              <w:t>—</w:t>
            </w:r>
          </w:p>
        </w:tc>
      </w:tr>
      <w:tr>
        <w:tc>
          <w:tcPr>
            <w:tcW w:type="dxa" w:w="1872"/>
            <w:tcBorders>
              <w:bottom w:val="single" w:sz="8" w:space="0" w:color="000000"/>
            </w:tcBorders>
          </w:tcPr>
          <w:p>
            <w:pPr>
              <w:spacing w:line="480" w:lineRule="auto" w:before="20" w:after="20"/>
              <w:ind w:firstLine="0"/>
              <w:jc w:val="left"/>
            </w:pPr>
            <w:r/>
            <w:r>
              <w:rPr>
                <w:rFonts w:ascii="Times New Roman" w:hAnsi="Times New Roman"/>
                <w:b w:val="0"/>
                <w:i w:val="0"/>
                <w:sz w:val="20"/>
              </w:rPr>
              <w:t>Level 3 (between-study)</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0.276</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0.052</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val="0"/>
                <w:i w:val="0"/>
                <w:sz w:val="20"/>
              </w:rPr>
              <w:t>53.5%</w:t>
            </w:r>
          </w:p>
        </w:tc>
        <w:tc>
          <w:tcPr>
            <w:tcW w:type="dxa" w:w="1872"/>
            <w:tcBorders>
              <w:bottom w:val="single" w:sz="8" w:space="0" w:color="000000"/>
            </w:tcBorders>
          </w:tcPr>
          <w:p>
            <w:pPr>
              <w:spacing w:line="480" w:lineRule="auto" w:before="20" w:after="20"/>
              <w:ind w:firstLine="0"/>
              <w:jc w:val="center"/>
            </w:pPr>
            <w:r/>
            <w:r>
              <w:rPr>
                <w:rFonts w:ascii="Times New Roman" w:hAnsi="Times New Roman"/>
                <w:b/>
                <w:i w:val="0"/>
                <w:sz w:val="20"/>
              </w:rPr>
              <w:t>112.47</w:t>
            </w:r>
          </w:p>
        </w:tc>
      </w:tr>
    </w:tbl>
    <w:p>
      <w:pPr>
        <w:spacing w:line="480" w:lineRule="auto" w:before="0" w:after="0"/>
        <w:ind w:firstLine="720"/>
        <w:jc w:val="left"/>
      </w:pPr>
      <w:r>
        <w:rPr>
          <w:rFonts w:ascii="Times New Roman" w:hAnsi="Times New Roman"/>
          <w:b w:val="0"/>
          <w:i/>
          <w:sz w:val="24"/>
        </w:rPr>
        <w:t>Note.</w:t>
      </w:r>
      <w:r>
        <w:rPr>
          <w:rFonts w:ascii="Times New Roman" w:hAnsi="Times New Roman"/>
          <w:b w:val="0"/>
          <w:i w:val="0"/>
          <w:sz w:val="24"/>
        </w:rPr>
        <w:t xml:space="preserve"> τ² = variance component; </w:t>
      </w:r>
      <w:r>
        <w:rPr>
          <w:rFonts w:ascii="Times New Roman" w:hAnsi="Times New Roman"/>
          <w:b w:val="0"/>
          <w:i/>
          <w:sz w:val="24"/>
        </w:rPr>
        <w:t>SE</w:t>
      </w:r>
      <w:r>
        <w:rPr>
          <w:rFonts w:ascii="Times New Roman" w:hAnsi="Times New Roman"/>
          <w:b w:val="0"/>
          <w:i w:val="0"/>
          <w:sz w:val="24"/>
        </w:rPr>
        <w:t xml:space="preserve"> = standard error; I² = proportion of heterogeneity; LRT = likelihood ratio test comparing three-level to two-level model. Cochran's </w:t>
      </w:r>
      <w:r>
        <w:rPr>
          <w:rFonts w:ascii="Times New Roman" w:hAnsi="Times New Roman"/>
          <w:b w:val="0"/>
          <w:i/>
          <w:sz w:val="24"/>
        </w:rPr>
        <w:t>Q</w:t>
      </w:r>
      <w:r>
        <w:rPr>
          <w:rFonts w:ascii="Times New Roman" w:hAnsi="Times New Roman"/>
          <w:b w:val="0"/>
          <w:i w:val="0"/>
          <w:sz w:val="24"/>
        </w:rPr>
        <w:t xml:space="preserve">(380) = 7284.56, </w:t>
      </w:r>
      <w:r>
        <w:rPr>
          <w:rFonts w:ascii="Times New Roman" w:hAnsi="Times New Roman"/>
          <w:b w:val="0"/>
          <w:i/>
          <w:sz w:val="24"/>
        </w:rPr>
        <w:t>p</w:t>
      </w:r>
      <w:r>
        <w:rPr>
          <w:rFonts w:ascii="Times New Roman" w:hAnsi="Times New Roman"/>
          <w:b w:val="0"/>
          <w:i w:val="0"/>
          <w:sz w:val="24"/>
        </w:rPr>
        <w:t xml:space="preserve"> &lt; .001. </w:t>
      </w:r>
      <w:r>
        <w:rPr>
          <w:rFonts w:ascii="Times New Roman" w:hAnsi="Times New Roman"/>
          <w:b w:val="0"/>
          <w:i/>
          <w:sz w:val="24"/>
        </w:rPr>
        <w:t>*</w:t>
      </w:r>
      <w:r>
        <w:rPr>
          <w:rFonts w:ascii="Times New Roman" w:hAnsi="Times New Roman"/>
          <w:b w:val="0"/>
          <w:i w:val="0"/>
          <w:sz w:val="24"/>
        </w:rPr>
        <w:t xml:space="preserve"> </w:t>
      </w:r>
      <w:r>
        <w:rPr>
          <w:rFonts w:ascii="Times New Roman" w:hAnsi="Times New Roman"/>
          <w:b w:val="0"/>
          <w:i/>
          <w:sz w:val="24"/>
        </w:rPr>
        <w:t>p</w:t>
      </w:r>
      <w:r>
        <w:rPr>
          <w:rFonts w:ascii="Times New Roman" w:hAnsi="Times New Roman"/>
          <w:b w:val="0"/>
          <w:i w:val="0"/>
          <w:sz w:val="24"/>
        </w:rPr>
        <w:t xml:space="preserve"> &lt; .001.</w:t>
      </w:r>
    </w:p>
    <w:p>
      <w:pPr>
        <w:spacing w:line="480" w:lineRule="auto" w:before="0" w:after="0"/>
        <w:ind w:firstLine="0"/>
        <w:jc w:val="left"/>
      </w:pPr>
      <w:r>
        <w:rPr>
          <w:rFonts w:ascii="Times New Roman" w:hAnsi="Times New Roman"/>
          <w:b/>
          <w:i w:val="0"/>
          <w:sz w:val="24"/>
        </w:rPr>
        <w:t>Moderator Analyses</w:t>
      </w:r>
    </w:p>
    <w:p>
      <w:pPr>
        <w:spacing w:line="480" w:lineRule="auto" w:before="0" w:after="0"/>
        <w:ind w:firstLine="0"/>
        <w:jc w:val="left"/>
      </w:pPr>
      <w:r>
        <w:rPr>
          <w:rFonts w:ascii="Times New Roman" w:hAnsi="Times New Roman"/>
          <w:b/>
          <w:i/>
          <w:sz w:val="24"/>
        </w:rPr>
        <w:t>Outcome Dimension</w:t>
      </w:r>
    </w:p>
    <w:p>
      <w:pPr>
        <w:spacing w:line="480" w:lineRule="auto" w:before="0" w:after="0"/>
        <w:ind w:firstLine="720"/>
        <w:jc w:val="left"/>
      </w:pPr>
      <w:r>
        <w:rPr>
          <w:rFonts w:ascii="Times New Roman" w:hAnsi="Times New Roman"/>
          <w:b w:val="0"/>
          <w:i w:val="0"/>
          <w:sz w:val="24"/>
        </w:rPr>
        <w:t>Outcome dimension significantly moderated effects (see Table 4 and Figure 3). Cognitive outcomes showed a significant positive effect (</w:t>
      </w:r>
      <w:r>
        <w:rPr>
          <w:rFonts w:ascii="Times New Roman" w:hAnsi="Times New Roman"/>
          <w:b w:val="0"/>
          <w:i/>
          <w:sz w:val="24"/>
        </w:rPr>
        <w:t>g</w:t>
      </w:r>
      <w:r>
        <w:rPr>
          <w:rFonts w:ascii="Times New Roman" w:hAnsi="Times New Roman"/>
          <w:b w:val="0"/>
          <w:i w:val="0"/>
          <w:sz w:val="24"/>
        </w:rPr>
        <w:t xml:space="preserve"> = 0.64, </w:t>
      </w:r>
      <w:r>
        <w:rPr>
          <w:rFonts w:ascii="Times New Roman" w:hAnsi="Times New Roman"/>
          <w:b w:val="0"/>
          <w:i/>
          <w:sz w:val="24"/>
        </w:rPr>
        <w:t>SE</w:t>
      </w:r>
      <w:r>
        <w:rPr>
          <w:rFonts w:ascii="Times New Roman" w:hAnsi="Times New Roman"/>
          <w:b w:val="0"/>
          <w:i w:val="0"/>
          <w:sz w:val="24"/>
        </w:rPr>
        <w:t xml:space="preserve"> = 0.11, 95% CI [0.42, 0.86], </w:t>
      </w:r>
      <w:r>
        <w:rPr>
          <w:rFonts w:ascii="Times New Roman" w:hAnsi="Times New Roman"/>
          <w:b w:val="0"/>
          <w:i/>
          <w:sz w:val="24"/>
        </w:rPr>
        <w:t>p</w:t>
      </w:r>
      <w:r>
        <w:rPr>
          <w:rFonts w:ascii="Times New Roman" w:hAnsi="Times New Roman"/>
          <w:b w:val="0"/>
          <w:i w:val="0"/>
          <w:sz w:val="24"/>
        </w:rPr>
        <w:t xml:space="preserve"> &lt; .001), representing the largest category with 218 effect sizes from 58 studies. Affective outcomes also demonstrated a significant effect (</w:t>
      </w:r>
      <w:r>
        <w:rPr>
          <w:rFonts w:ascii="Times New Roman" w:hAnsi="Times New Roman"/>
          <w:b w:val="0"/>
          <w:i/>
          <w:sz w:val="24"/>
        </w:rPr>
        <w:t>g</w:t>
      </w:r>
      <w:r>
        <w:rPr>
          <w:rFonts w:ascii="Times New Roman" w:hAnsi="Times New Roman"/>
          <w:b w:val="0"/>
          <w:i w:val="0"/>
          <w:sz w:val="24"/>
        </w:rPr>
        <w:t xml:space="preserve"> = 0.61, </w:t>
      </w:r>
      <w:r>
        <w:rPr>
          <w:rFonts w:ascii="Times New Roman" w:hAnsi="Times New Roman"/>
          <w:b w:val="0"/>
          <w:i/>
          <w:sz w:val="24"/>
        </w:rPr>
        <w:t>SE</w:t>
      </w:r>
      <w:r>
        <w:rPr>
          <w:rFonts w:ascii="Times New Roman" w:hAnsi="Times New Roman"/>
          <w:b w:val="0"/>
          <w:i w:val="0"/>
          <w:sz w:val="24"/>
        </w:rPr>
        <w:t xml:space="preserve"> = 0.16, 95% CI [0.29, 0.93], </w:t>
      </w:r>
      <w:r>
        <w:rPr>
          <w:rFonts w:ascii="Times New Roman" w:hAnsi="Times New Roman"/>
          <w:b w:val="0"/>
          <w:i/>
          <w:sz w:val="24"/>
        </w:rPr>
        <w:t>p</w:t>
      </w:r>
      <w:r>
        <w:rPr>
          <w:rFonts w:ascii="Times New Roman" w:hAnsi="Times New Roman"/>
          <w:b w:val="0"/>
          <w:i w:val="0"/>
          <w:sz w:val="24"/>
        </w:rPr>
        <w:t xml:space="preserve"> = .001). Behavioral outcomes showed a positive but marginally non-significant effect (</w:t>
      </w:r>
      <w:r>
        <w:rPr>
          <w:rFonts w:ascii="Times New Roman" w:hAnsi="Times New Roman"/>
          <w:b w:val="0"/>
          <w:i/>
          <w:sz w:val="24"/>
        </w:rPr>
        <w:t>g</w:t>
      </w:r>
      <w:r>
        <w:rPr>
          <w:rFonts w:ascii="Times New Roman" w:hAnsi="Times New Roman"/>
          <w:b w:val="0"/>
          <w:i w:val="0"/>
          <w:sz w:val="24"/>
        </w:rPr>
        <w:t xml:space="preserve"> = 0.63, </w:t>
      </w:r>
      <w:r>
        <w:rPr>
          <w:rFonts w:ascii="Times New Roman" w:hAnsi="Times New Roman"/>
          <w:b w:val="0"/>
          <w:i/>
          <w:sz w:val="24"/>
        </w:rPr>
        <w:t>SE</w:t>
      </w:r>
      <w:r>
        <w:rPr>
          <w:rFonts w:ascii="Times New Roman" w:hAnsi="Times New Roman"/>
          <w:b w:val="0"/>
          <w:i w:val="0"/>
          <w:sz w:val="24"/>
        </w:rPr>
        <w:t xml:space="preserve"> = 0.36, 95% CI [−0.12, 1.38], </w:t>
      </w:r>
      <w:r>
        <w:rPr>
          <w:rFonts w:ascii="Times New Roman" w:hAnsi="Times New Roman"/>
          <w:b w:val="0"/>
          <w:i/>
          <w:sz w:val="24"/>
        </w:rPr>
        <w:t>p</w:t>
      </w:r>
      <w:r>
        <w:rPr>
          <w:rFonts w:ascii="Times New Roman" w:hAnsi="Times New Roman"/>
          <w:b w:val="0"/>
          <w:i w:val="0"/>
          <w:sz w:val="24"/>
        </w:rPr>
        <w:t xml:space="preserve"> = .094), while metacognitive outcomes had the smallest, non-significant effect (</w:t>
      </w:r>
      <w:r>
        <w:rPr>
          <w:rFonts w:ascii="Times New Roman" w:hAnsi="Times New Roman"/>
          <w:b w:val="0"/>
          <w:i/>
          <w:sz w:val="24"/>
        </w:rPr>
        <w:t>g</w:t>
      </w:r>
      <w:r>
        <w:rPr>
          <w:rFonts w:ascii="Times New Roman" w:hAnsi="Times New Roman"/>
          <w:b w:val="0"/>
          <w:i w:val="0"/>
          <w:sz w:val="24"/>
        </w:rPr>
        <w:t xml:space="preserve"> = 0.28, </w:t>
      </w:r>
      <w:r>
        <w:rPr>
          <w:rFonts w:ascii="Times New Roman" w:hAnsi="Times New Roman"/>
          <w:b w:val="0"/>
          <w:i/>
          <w:sz w:val="24"/>
        </w:rPr>
        <w:t>SE</w:t>
      </w:r>
      <w:r>
        <w:rPr>
          <w:rFonts w:ascii="Times New Roman" w:hAnsi="Times New Roman"/>
          <w:b w:val="0"/>
          <w:i w:val="0"/>
          <w:sz w:val="24"/>
        </w:rPr>
        <w:t xml:space="preserve"> = 0.23, 95% CI [−0.24, 0.80], </w:t>
      </w:r>
      <w:r>
        <w:rPr>
          <w:rFonts w:ascii="Times New Roman" w:hAnsi="Times New Roman"/>
          <w:b w:val="0"/>
          <w:i/>
          <w:sz w:val="24"/>
        </w:rPr>
        <w:t>p</w:t>
      </w:r>
      <w:r>
        <w:rPr>
          <w:rFonts w:ascii="Times New Roman" w:hAnsi="Times New Roman"/>
          <w:b w:val="0"/>
          <w:i w:val="0"/>
          <w:sz w:val="24"/>
        </w:rPr>
        <w:t xml:space="preserve"> = .287).</w:t>
      </w:r>
    </w:p>
    <w:p>
      <w:pPr>
        <w:spacing w:line="480" w:lineRule="auto" w:before="0" w:after="0"/>
        <w:ind w:firstLine="720"/>
        <w:jc w:val="left"/>
      </w:pPr>
      <w:r>
        <w:rPr>
          <w:rFonts w:ascii="Times New Roman" w:hAnsi="Times New Roman"/>
          <w:b/>
          <w:i w:val="0"/>
          <w:sz w:val="24"/>
        </w:rPr>
        <w:t>The attenuated metacognitive effect provides empirical support for the cognitive dependency hypothesis (H3).</w:t>
      </w:r>
      <w:r>
        <w:rPr>
          <w:rFonts w:ascii="Times New Roman" w:hAnsi="Times New Roman"/>
          <w:b w:val="0"/>
          <w:i w:val="0"/>
          <w:sz w:val="24"/>
        </w:rPr>
        <w:t xml:space="preserve"> While GenAI enhances performance on cognitive, affective, and behavioral outcomes—effects </w:t>
      </w:r>
      <w:r>
        <w:rPr>
          <w:rFonts w:ascii="Times New Roman" w:hAnsi="Times New Roman"/>
          <w:b w:val="0"/>
          <w:i/>
          <w:sz w:val="24"/>
        </w:rPr>
        <w:t>with</w:t>
      </w:r>
      <w:r>
        <w:rPr>
          <w:rFonts w:ascii="Times New Roman" w:hAnsi="Times New Roman"/>
          <w:b w:val="0"/>
          <w:i w:val="0"/>
          <w:sz w:val="24"/>
        </w:rPr>
        <w:t xml:space="preserve"> the technology—it does not significantly improve metacognitive capabilities that would represent internalized self-regulatory skills—effects </w:t>
      </w:r>
      <w:r>
        <w:rPr>
          <w:rFonts w:ascii="Times New Roman" w:hAnsi="Times New Roman"/>
          <w:b w:val="0"/>
          <w:i/>
          <w:sz w:val="24"/>
        </w:rPr>
        <w:t>of</w:t>
      </w:r>
      <w:r>
        <w:rPr>
          <w:rFonts w:ascii="Times New Roman" w:hAnsi="Times New Roman"/>
          <w:b w:val="0"/>
          <w:i w:val="0"/>
          <w:sz w:val="24"/>
        </w:rPr>
        <w:t xml:space="preserve"> the technology. This pattern suggests students may become competent at using AI for monitoring and feedback while failing to develop independent metacognitive strategies.</w:t>
      </w:r>
    </w:p>
    <w:p>
      <w:pPr>
        <w:spacing w:line="480" w:lineRule="auto" w:before="0" w:after="0"/>
        <w:ind w:firstLine="720"/>
        <w:jc w:val="left"/>
      </w:pPr>
      <w:r>
        <w:rPr>
          <w:rFonts w:ascii="Times New Roman" w:hAnsi="Times New Roman"/>
          <w:b/>
          <w:i w:val="0"/>
          <w:sz w:val="24"/>
        </w:rPr>
        <w:t>Statistical Power Considerations for Metacognitive Findings.</w:t>
      </w:r>
      <w:r>
        <w:rPr>
          <w:rFonts w:ascii="Times New Roman" w:hAnsi="Times New Roman"/>
          <w:b w:val="0"/>
          <w:i w:val="0"/>
          <w:sz w:val="24"/>
        </w:rPr>
        <w:t xml:space="preserve"> The metacognitive outcome analysis is based on a smaller evidence base (</w:t>
      </w:r>
      <w:r>
        <w:rPr>
          <w:rFonts w:ascii="Times New Roman" w:hAnsi="Times New Roman"/>
          <w:b w:val="0"/>
          <w:i/>
          <w:sz w:val="24"/>
        </w:rPr>
        <w:t>k</w:t>
      </w:r>
      <w:r>
        <w:rPr>
          <w:rFonts w:ascii="Times New Roman" w:hAnsi="Times New Roman"/>
          <w:b w:val="0"/>
          <w:i w:val="0"/>
          <w:sz w:val="24"/>
        </w:rPr>
        <w:t xml:space="preserve"> = 11 studies, </w:t>
      </w:r>
      <w:r>
        <w:rPr>
          <w:rFonts w:ascii="Times New Roman" w:hAnsi="Times New Roman"/>
          <w:b w:val="0"/>
          <w:i/>
          <w:sz w:val="24"/>
        </w:rPr>
        <w:t>n</w:t>
      </w:r>
      <w:r>
        <w:rPr>
          <w:rFonts w:ascii="Times New Roman" w:hAnsi="Times New Roman"/>
          <w:b w:val="0"/>
          <w:i w:val="0"/>
          <w:sz w:val="24"/>
        </w:rPr>
        <w:t xml:space="preserve"> = 40 effect sizes) compared to cognitive (</w:t>
      </w:r>
      <w:r>
        <w:rPr>
          <w:rFonts w:ascii="Times New Roman" w:hAnsi="Times New Roman"/>
          <w:b w:val="0"/>
          <w:i/>
          <w:sz w:val="24"/>
        </w:rPr>
        <w:t>k</w:t>
      </w:r>
      <w:r>
        <w:rPr>
          <w:rFonts w:ascii="Times New Roman" w:hAnsi="Times New Roman"/>
          <w:b w:val="0"/>
          <w:i w:val="0"/>
          <w:sz w:val="24"/>
        </w:rPr>
        <w:t xml:space="preserve"> = 58, </w:t>
      </w:r>
      <w:r>
        <w:rPr>
          <w:rFonts w:ascii="Times New Roman" w:hAnsi="Times New Roman"/>
          <w:b w:val="0"/>
          <w:i/>
          <w:sz w:val="24"/>
        </w:rPr>
        <w:t>n</w:t>
      </w:r>
      <w:r>
        <w:rPr>
          <w:rFonts w:ascii="Times New Roman" w:hAnsi="Times New Roman"/>
          <w:b w:val="0"/>
          <w:i w:val="0"/>
          <w:sz w:val="24"/>
        </w:rPr>
        <w:t xml:space="preserve"> = 218) and affective (</w:t>
      </w:r>
      <w:r>
        <w:rPr>
          <w:rFonts w:ascii="Times New Roman" w:hAnsi="Times New Roman"/>
          <w:b w:val="0"/>
          <w:i/>
          <w:sz w:val="24"/>
        </w:rPr>
        <w:t>k</w:t>
      </w:r>
      <w:r>
        <w:rPr>
          <w:rFonts w:ascii="Times New Roman" w:hAnsi="Times New Roman"/>
          <w:b w:val="0"/>
          <w:i w:val="0"/>
          <w:sz w:val="24"/>
        </w:rPr>
        <w:t xml:space="preserve"> = 27, </w:t>
      </w:r>
      <w:r>
        <w:rPr>
          <w:rFonts w:ascii="Times New Roman" w:hAnsi="Times New Roman"/>
          <w:b w:val="0"/>
          <w:i/>
          <w:sz w:val="24"/>
        </w:rPr>
        <w:t>n</w:t>
      </w:r>
      <w:r>
        <w:rPr>
          <w:rFonts w:ascii="Times New Roman" w:hAnsi="Times New Roman"/>
          <w:b w:val="0"/>
          <w:i w:val="0"/>
          <w:sz w:val="24"/>
        </w:rPr>
        <w:t xml:space="preserve"> = 83) outcomes. To assess whether the non-significant metacognitive effect (</w:t>
      </w:r>
      <w:r>
        <w:rPr>
          <w:rFonts w:ascii="Times New Roman" w:hAnsi="Times New Roman"/>
          <w:b w:val="0"/>
          <w:i/>
          <w:sz w:val="24"/>
        </w:rPr>
        <w:t>g</w:t>
      </w:r>
      <w:r>
        <w:rPr>
          <w:rFonts w:ascii="Times New Roman" w:hAnsi="Times New Roman"/>
          <w:b w:val="0"/>
          <w:i w:val="0"/>
          <w:sz w:val="24"/>
        </w:rPr>
        <w:t xml:space="preserve"> = 0.28, </w:t>
      </w:r>
      <w:r>
        <w:rPr>
          <w:rFonts w:ascii="Times New Roman" w:hAnsi="Times New Roman"/>
          <w:b w:val="0"/>
          <w:i/>
          <w:sz w:val="24"/>
        </w:rPr>
        <w:t>p</w:t>
      </w:r>
      <w:r>
        <w:rPr>
          <w:rFonts w:ascii="Times New Roman" w:hAnsi="Times New Roman"/>
          <w:b w:val="0"/>
          <w:i w:val="0"/>
          <w:sz w:val="24"/>
        </w:rPr>
        <w:t xml:space="preserve"> = .287) reflects a true null finding or insufficient statistical power, we conducted a post-hoc power analysis. Using the observed between-study variance (τ²₃ = 0.276) and within-study variance (τ²₂ = 0.218), along with the average sampling variance of the metacognitive effect sizes (</w:t>
      </w:r>
      <w:r>
        <w:rPr>
          <w:rFonts w:ascii="Times New Roman" w:hAnsi="Times New Roman"/>
          <w:b w:val="0"/>
          <w:i/>
          <w:sz w:val="24"/>
        </w:rPr>
        <w:t>v̄</w:t>
      </w:r>
      <w:r>
        <w:rPr>
          <w:rFonts w:ascii="Times New Roman" w:hAnsi="Times New Roman"/>
          <w:b w:val="0"/>
          <w:i w:val="0"/>
          <w:sz w:val="24"/>
        </w:rPr>
        <w:t xml:space="preserve"> = 0.089), we estimated that with </w:t>
      </w:r>
      <w:r>
        <w:rPr>
          <w:rFonts w:ascii="Times New Roman" w:hAnsi="Times New Roman"/>
          <w:b w:val="0"/>
          <w:i/>
          <w:sz w:val="24"/>
        </w:rPr>
        <w:t>k</w:t>
      </w:r>
      <w:r>
        <w:rPr>
          <w:rFonts w:ascii="Times New Roman" w:hAnsi="Times New Roman"/>
          <w:b w:val="0"/>
          <w:i w:val="0"/>
          <w:sz w:val="24"/>
        </w:rPr>
        <w:t xml:space="preserve"> = 11 studies, the analysis had approximately 47% power to detect an effect of </w:t>
      </w:r>
      <w:r>
        <w:rPr>
          <w:rFonts w:ascii="Times New Roman" w:hAnsi="Times New Roman"/>
          <w:b w:val="0"/>
          <w:i/>
          <w:sz w:val="24"/>
        </w:rPr>
        <w:t>g</w:t>
      </w:r>
      <w:r>
        <w:rPr>
          <w:rFonts w:ascii="Times New Roman" w:hAnsi="Times New Roman"/>
          <w:b w:val="0"/>
          <w:i w:val="0"/>
          <w:sz w:val="24"/>
        </w:rPr>
        <w:t xml:space="preserve"> = 0.40 at α = .05 (two-tailed). The minimum detectable effect size (MDES) with 80% power would require </w:t>
      </w:r>
      <w:r>
        <w:rPr>
          <w:rFonts w:ascii="Times New Roman" w:hAnsi="Times New Roman"/>
          <w:b w:val="0"/>
          <w:i/>
          <w:sz w:val="24"/>
        </w:rPr>
        <w:t>g</w:t>
      </w:r>
      <w:r>
        <w:rPr>
          <w:rFonts w:ascii="Times New Roman" w:hAnsi="Times New Roman"/>
          <w:b w:val="0"/>
          <w:i w:val="0"/>
          <w:sz w:val="24"/>
        </w:rPr>
        <w:t xml:space="preserve"> ≈ 0.65. The observed effect (</w:t>
      </w:r>
      <w:r>
        <w:rPr>
          <w:rFonts w:ascii="Times New Roman" w:hAnsi="Times New Roman"/>
          <w:b w:val="0"/>
          <w:i/>
          <w:sz w:val="24"/>
        </w:rPr>
        <w:t>g</w:t>
      </w:r>
      <w:r>
        <w:rPr>
          <w:rFonts w:ascii="Times New Roman" w:hAnsi="Times New Roman"/>
          <w:b w:val="0"/>
          <w:i w:val="0"/>
          <w:sz w:val="24"/>
        </w:rPr>
        <w:t xml:space="preserve"> = 0.28) falls well below this threshold, indicating that even if a small-to-medium true effect exists, this analysis would likely fail to detect it. Consequently, the non-significant finding should be interpreted with appropriate caution: while the point estimate is notably smaller than other outcome dimensions, the wide confidence interval (−0.24 to 0.80) cannot definitively rule out either a null effect or a moderate positive effect. Future research explicitly targeting metacognitive outcomes is needed to provide more precise estimates.</w:t>
      </w:r>
    </w:p>
    <w:p>
      <w:pPr>
        <w:spacing w:line="480" w:lineRule="auto" w:before="0" w:after="0"/>
        <w:ind w:firstLine="0"/>
        <w:jc w:val="left"/>
      </w:pPr>
      <w:r>
        <w:rPr>
          <w:rFonts w:ascii="Times New Roman" w:hAnsi="Times New Roman"/>
          <w:b/>
          <w:i/>
          <w:sz w:val="24"/>
        </w:rPr>
        <w:t>Bloom's Taxonomy Level</w:t>
      </w:r>
    </w:p>
    <w:p>
      <w:pPr>
        <w:spacing w:line="480" w:lineRule="auto" w:before="0" w:after="0"/>
        <w:ind w:firstLine="720"/>
        <w:jc w:val="left"/>
      </w:pPr>
      <w:r>
        <w:rPr>
          <w:rFonts w:ascii="Times New Roman" w:hAnsi="Times New Roman"/>
          <w:b w:val="0"/>
          <w:i w:val="0"/>
          <w:sz w:val="24"/>
        </w:rPr>
        <w:t xml:space="preserve">Among cognitive outcomes classified according to Bloom's taxonomy, both higher-order thinking skills (analyzing, evaluating, creating; </w:t>
      </w:r>
      <w:r>
        <w:rPr>
          <w:rFonts w:ascii="Times New Roman" w:hAnsi="Times New Roman"/>
          <w:b w:val="0"/>
          <w:i/>
          <w:sz w:val="24"/>
        </w:rPr>
        <w:t>g</w:t>
      </w:r>
      <w:r>
        <w:rPr>
          <w:rFonts w:ascii="Times New Roman" w:hAnsi="Times New Roman"/>
          <w:b w:val="0"/>
          <w:i w:val="0"/>
          <w:sz w:val="24"/>
        </w:rPr>
        <w:t xml:space="preserve"> = 0.76, </w:t>
      </w:r>
      <w:r>
        <w:rPr>
          <w:rFonts w:ascii="Times New Roman" w:hAnsi="Times New Roman"/>
          <w:b w:val="0"/>
          <w:i/>
          <w:sz w:val="24"/>
        </w:rPr>
        <w:t>SE</w:t>
      </w:r>
      <w:r>
        <w:rPr>
          <w:rFonts w:ascii="Times New Roman" w:hAnsi="Times New Roman"/>
          <w:b w:val="0"/>
          <w:i w:val="0"/>
          <w:sz w:val="24"/>
        </w:rPr>
        <w:t xml:space="preserve"> = 0.14, 95% CI [0.48, 1.04], </w:t>
      </w:r>
      <w:r>
        <w:rPr>
          <w:rFonts w:ascii="Times New Roman" w:hAnsi="Times New Roman"/>
          <w:b w:val="0"/>
          <w:i/>
          <w:sz w:val="24"/>
        </w:rPr>
        <w:t>p</w:t>
      </w:r>
      <w:r>
        <w:rPr>
          <w:rFonts w:ascii="Times New Roman" w:hAnsi="Times New Roman"/>
          <w:b w:val="0"/>
          <w:i w:val="0"/>
          <w:sz w:val="24"/>
        </w:rPr>
        <w:t xml:space="preserve"> &lt; .001) and lower-order thinking skills (remembering, understanding, applying; </w:t>
      </w:r>
      <w:r>
        <w:rPr>
          <w:rFonts w:ascii="Times New Roman" w:hAnsi="Times New Roman"/>
          <w:b w:val="0"/>
          <w:i/>
          <w:sz w:val="24"/>
        </w:rPr>
        <w:t>g</w:t>
      </w:r>
      <w:r>
        <w:rPr>
          <w:rFonts w:ascii="Times New Roman" w:hAnsi="Times New Roman"/>
          <w:b w:val="0"/>
          <w:i w:val="0"/>
          <w:sz w:val="24"/>
        </w:rPr>
        <w:t xml:space="preserve"> = 0.68, </w:t>
      </w:r>
      <w:r>
        <w:rPr>
          <w:rFonts w:ascii="Times New Roman" w:hAnsi="Times New Roman"/>
          <w:b w:val="0"/>
          <w:i/>
          <w:sz w:val="24"/>
        </w:rPr>
        <w:t>SE</w:t>
      </w:r>
      <w:r>
        <w:rPr>
          <w:rFonts w:ascii="Times New Roman" w:hAnsi="Times New Roman"/>
          <w:b w:val="0"/>
          <w:i w:val="0"/>
          <w:sz w:val="24"/>
        </w:rPr>
        <w:t xml:space="preserve"> = 0.12, 95% CI [0.44, 0.92], </w:t>
      </w:r>
      <w:r>
        <w:rPr>
          <w:rFonts w:ascii="Times New Roman" w:hAnsi="Times New Roman"/>
          <w:b w:val="0"/>
          <w:i/>
          <w:sz w:val="24"/>
        </w:rPr>
        <w:t>p</w:t>
      </w:r>
      <w:r>
        <w:rPr>
          <w:rFonts w:ascii="Times New Roman" w:hAnsi="Times New Roman"/>
          <w:b w:val="0"/>
          <w:i w:val="0"/>
          <w:sz w:val="24"/>
        </w:rPr>
        <w:t xml:space="preserve"> &lt; .001) showed significant positive effects. Hypothesis 4 was not supported; effects were similar across cognitive complexity levels, suggesting GenAI benefits are not restricted to basic information processing.</w:t>
      </w:r>
    </w:p>
    <w:p>
      <w:pPr>
        <w:spacing w:line="480" w:lineRule="auto" w:before="240" w:after="0"/>
        <w:ind w:firstLine="0"/>
        <w:jc w:val="left"/>
      </w:pPr>
      <w:r>
        <w:rPr>
          <w:rFonts w:ascii="Times New Roman" w:hAnsi="Times New Roman"/>
          <w:b/>
          <w:i w:val="0"/>
          <w:sz w:val="24"/>
        </w:rPr>
        <w:t>Table 4</w:t>
      </w:r>
    </w:p>
    <w:p>
      <w:pPr>
        <w:spacing w:line="480" w:lineRule="auto" w:before="0" w:after="0"/>
        <w:ind w:firstLine="720"/>
        <w:jc w:val="left"/>
      </w:pPr>
      <w:r>
        <w:rPr>
          <w:rFonts w:ascii="Times New Roman" w:hAnsi="Times New Roman"/>
          <w:b w:val="0"/>
          <w:i/>
          <w:sz w:val="24"/>
        </w:rPr>
        <w:t>Moderator Analysis Results: Effects of GenAI by Outcome Characteristics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70"/>
        <w:gridCol w:w="1170"/>
        <w:gridCol w:w="1170"/>
        <w:gridCol w:w="1170"/>
        <w:gridCol w:w="1170"/>
        <w:gridCol w:w="1170"/>
        <w:gridCol w:w="1170"/>
        <w:gridCol w:w="1170"/>
      </w:tblGrid>
      <w:tr>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Moderator</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Category</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*k*</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*n*</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*SE*</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95% CI</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*p*</w:t>
            </w:r>
          </w:p>
        </w:tc>
      </w:tr>
      <w:tr>
        <w:tc>
          <w:tcPr>
            <w:tcW w:type="dxa" w:w="1170"/>
          </w:tcPr>
          <w:p>
            <w:pPr>
              <w:spacing w:line="480" w:lineRule="auto" w:before="20" w:after="20"/>
              <w:ind w:firstLine="0"/>
              <w:jc w:val="left"/>
            </w:pPr>
            <w:r/>
            <w:r>
              <w:rPr>
                <w:rFonts w:ascii="Times New Roman" w:hAnsi="Times New Roman"/>
                <w:b/>
                <w:i w:val="0"/>
                <w:sz w:val="20"/>
              </w:rPr>
              <w:t>Outcome Dimension</w:t>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Affective</w:t>
            </w:r>
          </w:p>
        </w:tc>
        <w:tc>
          <w:tcPr>
            <w:tcW w:type="dxa" w:w="1170"/>
          </w:tcPr>
          <w:p>
            <w:pPr>
              <w:spacing w:line="480" w:lineRule="auto" w:before="20" w:after="20"/>
              <w:ind w:firstLine="0"/>
              <w:jc w:val="center"/>
            </w:pPr>
            <w:r/>
            <w:r>
              <w:rPr>
                <w:rFonts w:ascii="Times New Roman" w:hAnsi="Times New Roman"/>
                <w:b w:val="0"/>
                <w:i w:val="0"/>
                <w:sz w:val="20"/>
              </w:rPr>
              <w:t>28</w:t>
            </w:r>
          </w:p>
        </w:tc>
        <w:tc>
          <w:tcPr>
            <w:tcW w:type="dxa" w:w="1170"/>
          </w:tcPr>
          <w:p>
            <w:pPr>
              <w:spacing w:line="480" w:lineRule="auto" w:before="20" w:after="20"/>
              <w:ind w:firstLine="0"/>
              <w:jc w:val="center"/>
            </w:pPr>
            <w:r/>
            <w:r>
              <w:rPr>
                <w:rFonts w:ascii="Times New Roman" w:hAnsi="Times New Roman"/>
                <w:b w:val="0"/>
                <w:i w:val="0"/>
                <w:sz w:val="20"/>
              </w:rPr>
              <w:t>89</w:t>
            </w:r>
          </w:p>
        </w:tc>
        <w:tc>
          <w:tcPr>
            <w:tcW w:type="dxa" w:w="1170"/>
          </w:tcPr>
          <w:p>
            <w:pPr>
              <w:spacing w:line="480" w:lineRule="auto" w:before="20" w:after="20"/>
              <w:ind w:firstLine="0"/>
              <w:jc w:val="center"/>
            </w:pPr>
            <w:r/>
            <w:r>
              <w:rPr>
                <w:rFonts w:ascii="Times New Roman" w:hAnsi="Times New Roman"/>
                <w:b w:val="0"/>
                <w:i w:val="0"/>
                <w:sz w:val="20"/>
              </w:rPr>
              <w:t>0.61</w:t>
            </w:r>
          </w:p>
        </w:tc>
        <w:tc>
          <w:tcPr>
            <w:tcW w:type="dxa" w:w="1170"/>
          </w:tcPr>
          <w:p>
            <w:pPr>
              <w:spacing w:line="480" w:lineRule="auto" w:before="20" w:after="20"/>
              <w:ind w:firstLine="0"/>
              <w:jc w:val="center"/>
            </w:pPr>
            <w:r/>
            <w:r>
              <w:rPr>
                <w:rFonts w:ascii="Times New Roman" w:hAnsi="Times New Roman"/>
                <w:b w:val="0"/>
                <w:i w:val="0"/>
                <w:sz w:val="20"/>
              </w:rPr>
              <w:t>0.16</w:t>
            </w:r>
          </w:p>
        </w:tc>
        <w:tc>
          <w:tcPr>
            <w:tcW w:type="dxa" w:w="1170"/>
          </w:tcPr>
          <w:p>
            <w:pPr>
              <w:spacing w:line="480" w:lineRule="auto" w:before="20" w:after="20"/>
              <w:ind w:firstLine="0"/>
              <w:jc w:val="center"/>
            </w:pPr>
            <w:r/>
            <w:r>
              <w:rPr>
                <w:rFonts w:ascii="Times New Roman" w:hAnsi="Times New Roman"/>
                <w:b w:val="0"/>
                <w:i w:val="0"/>
                <w:sz w:val="20"/>
              </w:rPr>
              <w:t>[0.29, 0.93]</w:t>
            </w:r>
          </w:p>
        </w:tc>
        <w:tc>
          <w:tcPr>
            <w:tcW w:type="dxa" w:w="1170"/>
          </w:tcPr>
          <w:p>
            <w:pPr>
              <w:spacing w:line="480" w:lineRule="auto" w:before="20" w:after="20"/>
              <w:ind w:firstLine="0"/>
              <w:jc w:val="center"/>
            </w:pPr>
            <w:r/>
            <w:r>
              <w:rPr>
                <w:rFonts w:ascii="Times New Roman" w:hAnsi="Times New Roman"/>
                <w:b w:val="0"/>
                <w:i w:val="0"/>
                <w:sz w:val="20"/>
              </w:rPr>
              <w:t>.001</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Behavioral</w:t>
            </w:r>
          </w:p>
        </w:tc>
        <w:tc>
          <w:tcPr>
            <w:tcW w:type="dxa" w:w="1170"/>
          </w:tcPr>
          <w:p>
            <w:pPr>
              <w:spacing w:line="480" w:lineRule="auto" w:before="20" w:after="20"/>
              <w:ind w:firstLine="0"/>
              <w:jc w:val="center"/>
            </w:pPr>
            <w:r/>
            <w:r>
              <w:rPr>
                <w:rFonts w:ascii="Times New Roman" w:hAnsi="Times New Roman"/>
                <w:b w:val="0"/>
                <w:i w:val="0"/>
                <w:sz w:val="20"/>
              </w:rPr>
              <w:t>16</w:t>
            </w:r>
          </w:p>
        </w:tc>
        <w:tc>
          <w:tcPr>
            <w:tcW w:type="dxa" w:w="1170"/>
          </w:tcPr>
          <w:p>
            <w:pPr>
              <w:spacing w:line="480" w:lineRule="auto" w:before="20" w:after="20"/>
              <w:ind w:firstLine="0"/>
              <w:jc w:val="center"/>
            </w:pPr>
            <w:r/>
            <w:r>
              <w:rPr>
                <w:rFonts w:ascii="Times New Roman" w:hAnsi="Times New Roman"/>
                <w:b w:val="0"/>
                <w:i w:val="0"/>
                <w:sz w:val="20"/>
              </w:rPr>
              <w:t>34</w:t>
            </w:r>
          </w:p>
        </w:tc>
        <w:tc>
          <w:tcPr>
            <w:tcW w:type="dxa" w:w="1170"/>
          </w:tcPr>
          <w:p>
            <w:pPr>
              <w:spacing w:line="480" w:lineRule="auto" w:before="20" w:after="20"/>
              <w:ind w:firstLine="0"/>
              <w:jc w:val="center"/>
            </w:pPr>
            <w:r/>
            <w:r>
              <w:rPr>
                <w:rFonts w:ascii="Times New Roman" w:hAnsi="Times New Roman"/>
                <w:b w:val="0"/>
                <w:i w:val="0"/>
                <w:sz w:val="20"/>
              </w:rPr>
              <w:t>0.63</w:t>
            </w:r>
          </w:p>
        </w:tc>
        <w:tc>
          <w:tcPr>
            <w:tcW w:type="dxa" w:w="1170"/>
          </w:tcPr>
          <w:p>
            <w:pPr>
              <w:spacing w:line="480" w:lineRule="auto" w:before="20" w:after="20"/>
              <w:ind w:firstLine="0"/>
              <w:jc w:val="center"/>
            </w:pPr>
            <w:r/>
            <w:r>
              <w:rPr>
                <w:rFonts w:ascii="Times New Roman" w:hAnsi="Times New Roman"/>
                <w:b w:val="0"/>
                <w:i w:val="0"/>
                <w:sz w:val="20"/>
              </w:rPr>
              <w:t>0.36</w:t>
            </w:r>
          </w:p>
        </w:tc>
        <w:tc>
          <w:tcPr>
            <w:tcW w:type="dxa" w:w="1170"/>
          </w:tcPr>
          <w:p>
            <w:pPr>
              <w:spacing w:line="480" w:lineRule="auto" w:before="20" w:after="20"/>
              <w:ind w:firstLine="0"/>
              <w:jc w:val="center"/>
            </w:pPr>
            <w:r/>
            <w:r>
              <w:rPr>
                <w:rFonts w:ascii="Times New Roman" w:hAnsi="Times New Roman"/>
                <w:b w:val="0"/>
                <w:i w:val="0"/>
                <w:sz w:val="20"/>
              </w:rPr>
              <w:t>[−0.12, 1.38]</w:t>
            </w:r>
          </w:p>
        </w:tc>
        <w:tc>
          <w:tcPr>
            <w:tcW w:type="dxa" w:w="1170"/>
          </w:tcPr>
          <w:p>
            <w:pPr>
              <w:spacing w:line="480" w:lineRule="auto" w:before="20" w:after="20"/>
              <w:ind w:firstLine="0"/>
              <w:jc w:val="center"/>
            </w:pPr>
            <w:r/>
            <w:r>
              <w:rPr>
                <w:rFonts w:ascii="Times New Roman" w:hAnsi="Times New Roman"/>
                <w:b w:val="0"/>
                <w:i w:val="0"/>
                <w:sz w:val="20"/>
              </w:rPr>
              <w:t>.094</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Cognitive</w:t>
            </w:r>
          </w:p>
        </w:tc>
        <w:tc>
          <w:tcPr>
            <w:tcW w:type="dxa" w:w="1170"/>
          </w:tcPr>
          <w:p>
            <w:pPr>
              <w:spacing w:line="480" w:lineRule="auto" w:before="20" w:after="20"/>
              <w:ind w:firstLine="0"/>
              <w:jc w:val="center"/>
            </w:pPr>
            <w:r/>
            <w:r>
              <w:rPr>
                <w:rFonts w:ascii="Times New Roman" w:hAnsi="Times New Roman"/>
                <w:b w:val="0"/>
                <w:i w:val="0"/>
                <w:sz w:val="20"/>
              </w:rPr>
              <w:t>58</w:t>
            </w:r>
          </w:p>
        </w:tc>
        <w:tc>
          <w:tcPr>
            <w:tcW w:type="dxa" w:w="1170"/>
          </w:tcPr>
          <w:p>
            <w:pPr>
              <w:spacing w:line="480" w:lineRule="auto" w:before="20" w:after="20"/>
              <w:ind w:firstLine="0"/>
              <w:jc w:val="center"/>
            </w:pPr>
            <w:r/>
            <w:r>
              <w:rPr>
                <w:rFonts w:ascii="Times New Roman" w:hAnsi="Times New Roman"/>
                <w:b w:val="0"/>
                <w:i w:val="0"/>
                <w:sz w:val="20"/>
              </w:rPr>
              <w:t>218</w:t>
            </w:r>
          </w:p>
        </w:tc>
        <w:tc>
          <w:tcPr>
            <w:tcW w:type="dxa" w:w="1170"/>
          </w:tcPr>
          <w:p>
            <w:pPr>
              <w:spacing w:line="480" w:lineRule="auto" w:before="20" w:after="20"/>
              <w:ind w:firstLine="0"/>
              <w:jc w:val="center"/>
            </w:pPr>
            <w:r/>
            <w:r>
              <w:rPr>
                <w:rFonts w:ascii="Times New Roman" w:hAnsi="Times New Roman"/>
                <w:b w:val="0"/>
                <w:i w:val="0"/>
                <w:sz w:val="20"/>
              </w:rPr>
              <w:t>0.64</w:t>
            </w:r>
          </w:p>
        </w:tc>
        <w:tc>
          <w:tcPr>
            <w:tcW w:type="dxa" w:w="1170"/>
          </w:tcPr>
          <w:p>
            <w:pPr>
              <w:spacing w:line="480" w:lineRule="auto" w:before="20" w:after="20"/>
              <w:ind w:firstLine="0"/>
              <w:jc w:val="center"/>
            </w:pPr>
            <w:r/>
            <w:r>
              <w:rPr>
                <w:rFonts w:ascii="Times New Roman" w:hAnsi="Times New Roman"/>
                <w:b w:val="0"/>
                <w:i w:val="0"/>
                <w:sz w:val="20"/>
              </w:rPr>
              <w:t>0.11</w:t>
            </w:r>
          </w:p>
        </w:tc>
        <w:tc>
          <w:tcPr>
            <w:tcW w:type="dxa" w:w="1170"/>
          </w:tcPr>
          <w:p>
            <w:pPr>
              <w:spacing w:line="480" w:lineRule="auto" w:before="20" w:after="20"/>
              <w:ind w:firstLine="0"/>
              <w:jc w:val="center"/>
            </w:pPr>
            <w:r/>
            <w:r>
              <w:rPr>
                <w:rFonts w:ascii="Times New Roman" w:hAnsi="Times New Roman"/>
                <w:b w:val="0"/>
                <w:i w:val="0"/>
                <w:sz w:val="20"/>
              </w:rPr>
              <w:t>[0.42, 0.86]</w:t>
            </w:r>
          </w:p>
        </w:tc>
        <w:tc>
          <w:tcPr>
            <w:tcW w:type="dxa" w:w="1170"/>
          </w:tcPr>
          <w:p>
            <w:pPr>
              <w:spacing w:line="480" w:lineRule="auto" w:before="20" w:after="20"/>
              <w:ind w:firstLine="0"/>
              <w:jc w:val="center"/>
            </w:pPr>
            <w:r/>
            <w:r>
              <w:rPr>
                <w:rFonts w:ascii="Times New Roman" w:hAnsi="Times New Roman"/>
                <w:b w:val="0"/>
                <w:i w:val="0"/>
                <w:sz w:val="20"/>
              </w:rPr>
              <w:t>&lt; .001</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Metacognitive</w:t>
            </w:r>
          </w:p>
        </w:tc>
        <w:tc>
          <w:tcPr>
            <w:tcW w:type="dxa" w:w="1170"/>
          </w:tcPr>
          <w:p>
            <w:pPr>
              <w:spacing w:line="480" w:lineRule="auto" w:before="20" w:after="20"/>
              <w:ind w:firstLine="0"/>
              <w:jc w:val="center"/>
            </w:pPr>
            <w:r/>
            <w:r>
              <w:rPr>
                <w:rFonts w:ascii="Times New Roman" w:hAnsi="Times New Roman"/>
                <w:b w:val="0"/>
                <w:i w:val="0"/>
                <w:sz w:val="20"/>
              </w:rPr>
              <w:t>11</w:t>
            </w:r>
          </w:p>
        </w:tc>
        <w:tc>
          <w:tcPr>
            <w:tcW w:type="dxa" w:w="1170"/>
          </w:tcPr>
          <w:p>
            <w:pPr>
              <w:spacing w:line="480" w:lineRule="auto" w:before="20" w:after="20"/>
              <w:ind w:firstLine="0"/>
              <w:jc w:val="center"/>
            </w:pPr>
            <w:r/>
            <w:r>
              <w:rPr>
                <w:rFonts w:ascii="Times New Roman" w:hAnsi="Times New Roman"/>
                <w:b w:val="0"/>
                <w:i w:val="0"/>
                <w:sz w:val="20"/>
              </w:rPr>
              <w:t>40</w:t>
            </w:r>
          </w:p>
        </w:tc>
        <w:tc>
          <w:tcPr>
            <w:tcW w:type="dxa" w:w="1170"/>
          </w:tcPr>
          <w:p>
            <w:pPr>
              <w:spacing w:line="480" w:lineRule="auto" w:before="20" w:after="20"/>
              <w:ind w:firstLine="0"/>
              <w:jc w:val="center"/>
            </w:pPr>
            <w:r/>
            <w:r>
              <w:rPr>
                <w:rFonts w:ascii="Times New Roman" w:hAnsi="Times New Roman"/>
                <w:b w:val="0"/>
                <w:i w:val="0"/>
                <w:sz w:val="20"/>
              </w:rPr>
              <w:t>0.28</w:t>
            </w:r>
          </w:p>
        </w:tc>
        <w:tc>
          <w:tcPr>
            <w:tcW w:type="dxa" w:w="1170"/>
          </w:tcPr>
          <w:p>
            <w:pPr>
              <w:spacing w:line="480" w:lineRule="auto" w:before="20" w:after="20"/>
              <w:ind w:firstLine="0"/>
              <w:jc w:val="center"/>
            </w:pPr>
            <w:r/>
            <w:r>
              <w:rPr>
                <w:rFonts w:ascii="Times New Roman" w:hAnsi="Times New Roman"/>
                <w:b w:val="0"/>
                <w:i w:val="0"/>
                <w:sz w:val="20"/>
              </w:rPr>
              <w:t>0.23</w:t>
            </w:r>
          </w:p>
        </w:tc>
        <w:tc>
          <w:tcPr>
            <w:tcW w:type="dxa" w:w="1170"/>
          </w:tcPr>
          <w:p>
            <w:pPr>
              <w:spacing w:line="480" w:lineRule="auto" w:before="20" w:after="20"/>
              <w:ind w:firstLine="0"/>
              <w:jc w:val="center"/>
            </w:pPr>
            <w:r/>
            <w:r>
              <w:rPr>
                <w:rFonts w:ascii="Times New Roman" w:hAnsi="Times New Roman"/>
                <w:b w:val="0"/>
                <w:i w:val="0"/>
                <w:sz w:val="20"/>
              </w:rPr>
              <w:t>[−0.24, 0.80]</w:t>
            </w:r>
          </w:p>
        </w:tc>
        <w:tc>
          <w:tcPr>
            <w:tcW w:type="dxa" w:w="1170"/>
          </w:tcPr>
          <w:p>
            <w:pPr>
              <w:spacing w:line="480" w:lineRule="auto" w:before="20" w:after="20"/>
              <w:ind w:firstLine="0"/>
              <w:jc w:val="center"/>
            </w:pPr>
            <w:r/>
            <w:r>
              <w:rPr>
                <w:rFonts w:ascii="Times New Roman" w:hAnsi="Times New Roman"/>
                <w:b w:val="0"/>
                <w:i w:val="0"/>
                <w:sz w:val="20"/>
              </w:rPr>
              <w:t>.287</w:t>
            </w:r>
          </w:p>
        </w:tc>
      </w:tr>
      <w:tr>
        <w:tc>
          <w:tcPr>
            <w:tcW w:type="dxa" w:w="1170"/>
          </w:tcPr>
          <w:p>
            <w:pPr>
              <w:spacing w:line="480" w:lineRule="auto" w:before="20" w:after="20"/>
              <w:ind w:firstLine="0"/>
              <w:jc w:val="left"/>
            </w:pPr>
            <w:r/>
            <w:r>
              <w:rPr>
                <w:rFonts w:ascii="Times New Roman" w:hAnsi="Times New Roman"/>
                <w:b/>
                <w:i w:val="0"/>
                <w:sz w:val="20"/>
              </w:rPr>
              <w:t>Bloom's Taxonomy</w:t>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Higher-Order</w:t>
            </w:r>
          </w:p>
        </w:tc>
        <w:tc>
          <w:tcPr>
            <w:tcW w:type="dxa" w:w="1170"/>
          </w:tcPr>
          <w:p>
            <w:pPr>
              <w:spacing w:line="480" w:lineRule="auto" w:before="20" w:after="20"/>
              <w:ind w:firstLine="0"/>
              <w:jc w:val="center"/>
            </w:pPr>
            <w:r/>
            <w:r>
              <w:rPr>
                <w:rFonts w:ascii="Times New Roman" w:hAnsi="Times New Roman"/>
                <w:b w:val="0"/>
                <w:i w:val="0"/>
                <w:sz w:val="20"/>
              </w:rPr>
              <w:t>29</w:t>
            </w:r>
          </w:p>
        </w:tc>
        <w:tc>
          <w:tcPr>
            <w:tcW w:type="dxa" w:w="1170"/>
          </w:tcPr>
          <w:p>
            <w:pPr>
              <w:spacing w:line="480" w:lineRule="auto" w:before="20" w:after="20"/>
              <w:ind w:firstLine="0"/>
              <w:jc w:val="center"/>
            </w:pPr>
            <w:r/>
            <w:r>
              <w:rPr>
                <w:rFonts w:ascii="Times New Roman" w:hAnsi="Times New Roman"/>
                <w:b w:val="0"/>
                <w:i w:val="0"/>
                <w:sz w:val="20"/>
              </w:rPr>
              <w:t>87</w:t>
            </w:r>
          </w:p>
        </w:tc>
        <w:tc>
          <w:tcPr>
            <w:tcW w:type="dxa" w:w="1170"/>
          </w:tcPr>
          <w:p>
            <w:pPr>
              <w:spacing w:line="480" w:lineRule="auto" w:before="20" w:after="20"/>
              <w:ind w:firstLine="0"/>
              <w:jc w:val="center"/>
            </w:pPr>
            <w:r/>
            <w:r>
              <w:rPr>
                <w:rFonts w:ascii="Times New Roman" w:hAnsi="Times New Roman"/>
                <w:b w:val="0"/>
                <w:i w:val="0"/>
                <w:sz w:val="20"/>
              </w:rPr>
              <w:t>0.76</w:t>
            </w:r>
          </w:p>
        </w:tc>
        <w:tc>
          <w:tcPr>
            <w:tcW w:type="dxa" w:w="1170"/>
          </w:tcPr>
          <w:p>
            <w:pPr>
              <w:spacing w:line="480" w:lineRule="auto" w:before="20" w:after="20"/>
              <w:ind w:firstLine="0"/>
              <w:jc w:val="center"/>
            </w:pPr>
            <w:r/>
            <w:r>
              <w:rPr>
                <w:rFonts w:ascii="Times New Roman" w:hAnsi="Times New Roman"/>
                <w:b w:val="0"/>
                <w:i w:val="0"/>
                <w:sz w:val="20"/>
              </w:rPr>
              <w:t>0.14</w:t>
            </w:r>
          </w:p>
        </w:tc>
        <w:tc>
          <w:tcPr>
            <w:tcW w:type="dxa" w:w="1170"/>
          </w:tcPr>
          <w:p>
            <w:pPr>
              <w:spacing w:line="480" w:lineRule="auto" w:before="20" w:after="20"/>
              <w:ind w:firstLine="0"/>
              <w:jc w:val="center"/>
            </w:pPr>
            <w:r/>
            <w:r>
              <w:rPr>
                <w:rFonts w:ascii="Times New Roman" w:hAnsi="Times New Roman"/>
                <w:b w:val="0"/>
                <w:i w:val="0"/>
                <w:sz w:val="20"/>
              </w:rPr>
              <w:t>[0.48, 1.04]</w:t>
            </w:r>
          </w:p>
        </w:tc>
        <w:tc>
          <w:tcPr>
            <w:tcW w:type="dxa" w:w="1170"/>
          </w:tcPr>
          <w:p>
            <w:pPr>
              <w:spacing w:line="480" w:lineRule="auto" w:before="20" w:after="20"/>
              <w:ind w:firstLine="0"/>
              <w:jc w:val="center"/>
            </w:pPr>
            <w:r/>
            <w:r>
              <w:rPr>
                <w:rFonts w:ascii="Times New Roman" w:hAnsi="Times New Roman"/>
                <w:b w:val="0"/>
                <w:i w:val="0"/>
                <w:sz w:val="20"/>
              </w:rPr>
              <w:t>&lt; .001</w:t>
            </w:r>
          </w:p>
        </w:tc>
      </w:tr>
      <w:tr>
        <w:tc>
          <w:tcPr>
            <w:tcW w:type="dxa" w:w="1170"/>
            <w:tcBorders>
              <w:bottom w:val="single" w:sz="8" w:space="0" w:color="000000"/>
            </w:tcBorders>
          </w:tcPr>
          <w:p>
            <w:pPr>
              <w:spacing w:line="480" w:lineRule="auto" w:before="20" w:after="20"/>
              <w:ind w:firstLine="0"/>
              <w:jc w:val="left"/>
            </w:pPr>
            <w:r/>
            <w:r>
              <w:rPr>
                <w:rFonts w:ascii="Times New Roman" w:hAnsi="Times New Roman"/>
                <w:b w:val="0"/>
                <w:i w:val="0"/>
                <w:sz w:val="20"/>
              </w:rPr>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Lower-Order</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42</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112</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0.68</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0.12</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[0.44, 0.92]</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&lt; .001</w:t>
            </w:r>
          </w:p>
        </w:tc>
      </w:tr>
    </w:tbl>
    <w:p>
      <w:pPr>
        <w:spacing w:line="480" w:lineRule="auto" w:before="0" w:after="0"/>
        <w:ind w:firstLine="720"/>
        <w:jc w:val="left"/>
      </w:pPr>
      <w:r>
        <w:rPr>
          <w:rFonts w:ascii="Times New Roman" w:hAnsi="Times New Roman"/>
          <w:b w:val="0"/>
          <w:i/>
          <w:sz w:val="24"/>
        </w:rPr>
        <w:t>Note.</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number of studies; </w:t>
      </w:r>
      <w:r>
        <w:rPr>
          <w:rFonts w:ascii="Times New Roman" w:hAnsi="Times New Roman"/>
          <w:b w:val="0"/>
          <w:i/>
          <w:sz w:val="24"/>
        </w:rPr>
        <w:t>n</w:t>
      </w:r>
      <w:r>
        <w:rPr>
          <w:rFonts w:ascii="Times New Roman" w:hAnsi="Times New Roman"/>
          <w:b w:val="0"/>
          <w:i w:val="0"/>
          <w:sz w:val="24"/>
        </w:rPr>
        <w:t xml:space="preserve"> = number of effect sizes; </w:t>
      </w:r>
      <w:r>
        <w:rPr>
          <w:rFonts w:ascii="Times New Roman" w:hAnsi="Times New Roman"/>
          <w:b w:val="0"/>
          <w:i/>
          <w:sz w:val="24"/>
        </w:rPr>
        <w:t>g</w:t>
      </w:r>
      <w:r>
        <w:rPr>
          <w:rFonts w:ascii="Times New Roman" w:hAnsi="Times New Roman"/>
          <w:b w:val="0"/>
          <w:i w:val="0"/>
          <w:sz w:val="24"/>
        </w:rPr>
        <w:t xml:space="preserve"> = Hedges' </w:t>
      </w:r>
      <w:r>
        <w:rPr>
          <w:rFonts w:ascii="Times New Roman" w:hAnsi="Times New Roman"/>
          <w:b w:val="0"/>
          <w:i/>
          <w:sz w:val="24"/>
        </w:rPr>
        <w:t>g</w:t>
      </w:r>
      <w:r>
        <w:rPr>
          <w:rFonts w:ascii="Times New Roman" w:hAnsi="Times New Roman"/>
          <w:b w:val="0"/>
          <w:i w:val="0"/>
          <w:sz w:val="24"/>
        </w:rPr>
        <w:t xml:space="preserve">; </w:t>
      </w:r>
      <w:r>
        <w:rPr>
          <w:rFonts w:ascii="Times New Roman" w:hAnsi="Times New Roman"/>
          <w:b w:val="0"/>
          <w:i/>
          <w:sz w:val="24"/>
        </w:rPr>
        <w:t>SE</w:t>
      </w:r>
      <w:r>
        <w:rPr>
          <w:rFonts w:ascii="Times New Roman" w:hAnsi="Times New Roman"/>
          <w:b w:val="0"/>
          <w:i w:val="0"/>
          <w:sz w:val="24"/>
        </w:rPr>
        <w:t xml:space="preserve"> = robust standard error; CI = confidence interval. Bloom's Taxonomy analysis limited to cognitive outcomes classified as higher-order (analyzing, evaluating, creating) or lower-order (remembering, understanding, applying) thinking skills.</w:t>
      </w:r>
    </w:p>
    <w:p>
      <w:pPr>
        <w:spacing w:line="480" w:lineRule="auto" w:before="240" w:after="240"/>
        <w:ind w:firstLine="0"/>
        <w:jc w:val="center"/>
      </w:pPr>
      <w:r>
        <w:rPr>
          <w:rFonts w:ascii="Times New Roman" w:hAnsi="Times New Roman"/>
          <w:b w:val="0"/>
          <w:i/>
          <w:sz w:val="24"/>
        </w:rPr>
        <w:t>Insert Figure 3 about here</w:t>
      </w:r>
    </w:p>
    <w:p>
      <w:pPr>
        <w:spacing w:line="480" w:lineRule="auto" w:before="0" w:after="0"/>
        <w:ind w:firstLine="0"/>
        <w:jc w:val="left"/>
      </w:pPr>
      <w:r>
        <w:rPr>
          <w:rFonts w:ascii="Times New Roman" w:hAnsi="Times New Roman"/>
          <w:b/>
          <w:i/>
          <w:sz w:val="24"/>
        </w:rPr>
        <w:t>Discipline</w:t>
      </w:r>
    </w:p>
    <w:p>
      <w:pPr>
        <w:spacing w:line="480" w:lineRule="auto" w:before="0" w:after="0"/>
        <w:ind w:firstLine="720"/>
        <w:jc w:val="left"/>
      </w:pPr>
      <w:r>
        <w:rPr>
          <w:rFonts w:ascii="Times New Roman" w:hAnsi="Times New Roman"/>
          <w:b w:val="0"/>
          <w:i w:val="0"/>
          <w:sz w:val="24"/>
        </w:rPr>
        <w:t>Effects varied across academic disciplines (see Table 5). Medicine/Health studies showed a statistically significant positive effect (</w:t>
      </w:r>
      <w:r>
        <w:rPr>
          <w:rFonts w:ascii="Times New Roman" w:hAnsi="Times New Roman"/>
          <w:b w:val="0"/>
          <w:i/>
          <w:sz w:val="24"/>
        </w:rPr>
        <w:t>g</w:t>
      </w:r>
      <w:r>
        <w:rPr>
          <w:rFonts w:ascii="Times New Roman" w:hAnsi="Times New Roman"/>
          <w:b w:val="0"/>
          <w:i w:val="0"/>
          <w:sz w:val="24"/>
        </w:rPr>
        <w:t xml:space="preserve"> = 0.72, </w:t>
      </w:r>
      <w:r>
        <w:rPr>
          <w:rFonts w:ascii="Times New Roman" w:hAnsi="Times New Roman"/>
          <w:b w:val="0"/>
          <w:i/>
          <w:sz w:val="24"/>
        </w:rPr>
        <w:t>SE</w:t>
      </w:r>
      <w:r>
        <w:rPr>
          <w:rFonts w:ascii="Times New Roman" w:hAnsi="Times New Roman"/>
          <w:b w:val="0"/>
          <w:i w:val="0"/>
          <w:sz w:val="24"/>
        </w:rPr>
        <w:t xml:space="preserve"> = 0.21, 95% CI [0.24, 1.20], </w:t>
      </w:r>
      <w:r>
        <w:rPr>
          <w:rFonts w:ascii="Times New Roman" w:hAnsi="Times New Roman"/>
          <w:b w:val="0"/>
          <w:i/>
          <w:sz w:val="24"/>
        </w:rPr>
        <w:t>p</w:t>
      </w:r>
      <w:r>
        <w:rPr>
          <w:rFonts w:ascii="Times New Roman" w:hAnsi="Times New Roman"/>
          <w:b w:val="0"/>
          <w:i w:val="0"/>
          <w:sz w:val="24"/>
        </w:rPr>
        <w:t xml:space="preserve"> = .008), as did STEM Other fields (</w:t>
      </w:r>
      <w:r>
        <w:rPr>
          <w:rFonts w:ascii="Times New Roman" w:hAnsi="Times New Roman"/>
          <w:b w:val="0"/>
          <w:i/>
          <w:sz w:val="24"/>
        </w:rPr>
        <w:t>g</w:t>
      </w:r>
      <w:r>
        <w:rPr>
          <w:rFonts w:ascii="Times New Roman" w:hAnsi="Times New Roman"/>
          <w:b w:val="0"/>
          <w:i w:val="0"/>
          <w:sz w:val="24"/>
        </w:rPr>
        <w:t xml:space="preserve"> = 0.58, </w:t>
      </w:r>
      <w:r>
        <w:rPr>
          <w:rFonts w:ascii="Times New Roman" w:hAnsi="Times New Roman"/>
          <w:b w:val="0"/>
          <w:i/>
          <w:sz w:val="24"/>
        </w:rPr>
        <w:t>SE</w:t>
      </w:r>
      <w:r>
        <w:rPr>
          <w:rFonts w:ascii="Times New Roman" w:hAnsi="Times New Roman"/>
          <w:b w:val="0"/>
          <w:i w:val="0"/>
          <w:sz w:val="24"/>
        </w:rPr>
        <w:t xml:space="preserve"> = 0.14, 95% CI [0.26, 0.90], </w:t>
      </w:r>
      <w:r>
        <w:rPr>
          <w:rFonts w:ascii="Times New Roman" w:hAnsi="Times New Roman"/>
          <w:b w:val="0"/>
          <w:i/>
          <w:sz w:val="24"/>
        </w:rPr>
        <w:t>p</w:t>
      </w:r>
      <w:r>
        <w:rPr>
          <w:rFonts w:ascii="Times New Roman" w:hAnsi="Times New Roman"/>
          <w:b w:val="0"/>
          <w:i w:val="0"/>
          <w:sz w:val="24"/>
        </w:rPr>
        <w:t xml:space="preserve"> = .003) and CS/Programming (</w:t>
      </w:r>
      <w:r>
        <w:rPr>
          <w:rFonts w:ascii="Times New Roman" w:hAnsi="Times New Roman"/>
          <w:b w:val="0"/>
          <w:i/>
          <w:sz w:val="24"/>
        </w:rPr>
        <w:t>g</w:t>
      </w:r>
      <w:r>
        <w:rPr>
          <w:rFonts w:ascii="Times New Roman" w:hAnsi="Times New Roman"/>
          <w:b w:val="0"/>
          <w:i w:val="0"/>
          <w:sz w:val="24"/>
        </w:rPr>
        <w:t xml:space="preserve"> = 0.47, </w:t>
      </w:r>
      <w:r>
        <w:rPr>
          <w:rFonts w:ascii="Times New Roman" w:hAnsi="Times New Roman"/>
          <w:b w:val="0"/>
          <w:i/>
          <w:sz w:val="24"/>
        </w:rPr>
        <w:t>SE</w:t>
      </w:r>
      <w:r>
        <w:rPr>
          <w:rFonts w:ascii="Times New Roman" w:hAnsi="Times New Roman"/>
          <w:b w:val="0"/>
          <w:i w:val="0"/>
          <w:sz w:val="24"/>
        </w:rPr>
        <w:t xml:space="preserve"> = 0.13, 95% CI [0.16, 0.78], </w:t>
      </w:r>
      <w:r>
        <w:rPr>
          <w:rFonts w:ascii="Times New Roman" w:hAnsi="Times New Roman"/>
          <w:b w:val="0"/>
          <w:i/>
          <w:sz w:val="24"/>
        </w:rPr>
        <w:t>p</w:t>
      </w:r>
      <w:r>
        <w:rPr>
          <w:rFonts w:ascii="Times New Roman" w:hAnsi="Times New Roman"/>
          <w:b w:val="0"/>
          <w:i w:val="0"/>
          <w:sz w:val="24"/>
        </w:rPr>
        <w:t xml:space="preserve"> = .012). Language/Writing (</w:t>
      </w:r>
      <w:r>
        <w:rPr>
          <w:rFonts w:ascii="Times New Roman" w:hAnsi="Times New Roman"/>
          <w:b w:val="0"/>
          <w:i/>
          <w:sz w:val="24"/>
        </w:rPr>
        <w:t>g</w:t>
      </w:r>
      <w:r>
        <w:rPr>
          <w:rFonts w:ascii="Times New Roman" w:hAnsi="Times New Roman"/>
          <w:b w:val="0"/>
          <w:i w:val="0"/>
          <w:sz w:val="24"/>
        </w:rPr>
        <w:t xml:space="preserve"> = 0.42, </w:t>
      </w:r>
      <w:r>
        <w:rPr>
          <w:rFonts w:ascii="Times New Roman" w:hAnsi="Times New Roman"/>
          <w:b w:val="0"/>
          <w:i/>
          <w:sz w:val="24"/>
        </w:rPr>
        <w:t>SE</w:t>
      </w:r>
      <w:r>
        <w:rPr>
          <w:rFonts w:ascii="Times New Roman" w:hAnsi="Times New Roman"/>
          <w:b w:val="0"/>
          <w:i w:val="0"/>
          <w:sz w:val="24"/>
        </w:rPr>
        <w:t xml:space="preserve"> = 0.19, 95% CI [0.01, 0.83], </w:t>
      </w:r>
      <w:r>
        <w:rPr>
          <w:rFonts w:ascii="Times New Roman" w:hAnsi="Times New Roman"/>
          <w:b w:val="0"/>
          <w:i/>
          <w:sz w:val="24"/>
        </w:rPr>
        <w:t>p</w:t>
      </w:r>
      <w:r>
        <w:rPr>
          <w:rFonts w:ascii="Times New Roman" w:hAnsi="Times New Roman"/>
          <w:b w:val="0"/>
          <w:i w:val="0"/>
          <w:sz w:val="24"/>
        </w:rPr>
        <w:t xml:space="preserve"> = .046) also reached statistical significance in the expanded sample. Education (</w:t>
      </w:r>
      <w:r>
        <w:rPr>
          <w:rFonts w:ascii="Times New Roman" w:hAnsi="Times New Roman"/>
          <w:b w:val="0"/>
          <w:i/>
          <w:sz w:val="24"/>
        </w:rPr>
        <w:t>g</w:t>
      </w:r>
      <w:r>
        <w:rPr>
          <w:rFonts w:ascii="Times New Roman" w:hAnsi="Times New Roman"/>
          <w:b w:val="0"/>
          <w:i w:val="0"/>
          <w:sz w:val="24"/>
        </w:rPr>
        <w:t xml:space="preserve"> = 1.72, </w:t>
      </w:r>
      <w:r>
        <w:rPr>
          <w:rFonts w:ascii="Times New Roman" w:hAnsi="Times New Roman"/>
          <w:b w:val="0"/>
          <w:i/>
          <w:sz w:val="24"/>
        </w:rPr>
        <w:t>SE</w:t>
      </w:r>
      <w:r>
        <w:rPr>
          <w:rFonts w:ascii="Times New Roman" w:hAnsi="Times New Roman"/>
          <w:b w:val="0"/>
          <w:i w:val="0"/>
          <w:sz w:val="24"/>
        </w:rPr>
        <w:t xml:space="preserve"> = 0.68, 95% CI [−0.52, 3.96], </w:t>
      </w:r>
      <w:r>
        <w:rPr>
          <w:rFonts w:ascii="Times New Roman" w:hAnsi="Times New Roman"/>
          <w:b w:val="0"/>
          <w:i/>
          <w:sz w:val="24"/>
        </w:rPr>
        <w:t>p</w:t>
      </w:r>
      <w:r>
        <w:rPr>
          <w:rFonts w:ascii="Times New Roman" w:hAnsi="Times New Roman"/>
          <w:b w:val="0"/>
          <w:i w:val="0"/>
          <w:sz w:val="24"/>
        </w:rPr>
        <w:t xml:space="preserve"> = .108) showed a notably large effect estimate based on a small number of studies with correspondingly wide confidence intervals.</w:t>
      </w:r>
    </w:p>
    <w:p>
      <w:pPr>
        <w:spacing w:line="480" w:lineRule="auto" w:before="0" w:after="0"/>
        <w:ind w:firstLine="0"/>
        <w:jc w:val="left"/>
      </w:pPr>
      <w:r>
        <w:rPr>
          <w:rFonts w:ascii="Times New Roman" w:hAnsi="Times New Roman"/>
          <w:b/>
          <w:i/>
          <w:sz w:val="24"/>
        </w:rPr>
        <w:t>GenAI Tool Category</w:t>
      </w:r>
    </w:p>
    <w:p>
      <w:pPr>
        <w:spacing w:line="480" w:lineRule="auto" w:before="0" w:after="0"/>
        <w:ind w:firstLine="720"/>
        <w:jc w:val="left"/>
      </w:pPr>
      <w:r>
        <w:rPr>
          <w:rFonts w:ascii="Times New Roman" w:hAnsi="Times New Roman"/>
          <w:b w:val="0"/>
          <w:i w:val="0"/>
          <w:sz w:val="24"/>
        </w:rPr>
        <w:t>Analysis of GenAI tool categories revealed differential effectiveness (see Table 5). ChatGPT (version unspecified) was the most commonly studied tool (</w:t>
      </w:r>
      <w:r>
        <w:rPr>
          <w:rFonts w:ascii="Times New Roman" w:hAnsi="Times New Roman"/>
          <w:b w:val="0"/>
          <w:i/>
          <w:sz w:val="24"/>
        </w:rPr>
        <w:t>k</w:t>
      </w:r>
      <w:r>
        <w:rPr>
          <w:rFonts w:ascii="Times New Roman" w:hAnsi="Times New Roman"/>
          <w:b w:val="0"/>
          <w:i w:val="0"/>
          <w:sz w:val="24"/>
        </w:rPr>
        <w:t xml:space="preserve"> = 26 studies, </w:t>
      </w:r>
      <w:r>
        <w:rPr>
          <w:rFonts w:ascii="Times New Roman" w:hAnsi="Times New Roman"/>
          <w:b w:val="0"/>
          <w:i/>
          <w:sz w:val="24"/>
        </w:rPr>
        <w:t>n</w:t>
      </w:r>
      <w:r>
        <w:rPr>
          <w:rFonts w:ascii="Times New Roman" w:hAnsi="Times New Roman"/>
          <w:b w:val="0"/>
          <w:i w:val="0"/>
          <w:sz w:val="24"/>
        </w:rPr>
        <w:t xml:space="preserve"> = 124 effect sizes) and showed a significant effect (</w:t>
      </w:r>
      <w:r>
        <w:rPr>
          <w:rFonts w:ascii="Times New Roman" w:hAnsi="Times New Roman"/>
          <w:b w:val="0"/>
          <w:i/>
          <w:sz w:val="24"/>
        </w:rPr>
        <w:t>g</w:t>
      </w:r>
      <w:r>
        <w:rPr>
          <w:rFonts w:ascii="Times New Roman" w:hAnsi="Times New Roman"/>
          <w:b w:val="0"/>
          <w:i w:val="0"/>
          <w:sz w:val="24"/>
        </w:rPr>
        <w:t xml:space="preserve"> = 0.71, </w:t>
      </w:r>
      <w:r>
        <w:rPr>
          <w:rFonts w:ascii="Times New Roman" w:hAnsi="Times New Roman"/>
          <w:b w:val="0"/>
          <w:i/>
          <w:sz w:val="24"/>
        </w:rPr>
        <w:t>SE</w:t>
      </w:r>
      <w:r>
        <w:rPr>
          <w:rFonts w:ascii="Times New Roman" w:hAnsi="Times New Roman"/>
          <w:b w:val="0"/>
          <w:i w:val="0"/>
          <w:sz w:val="24"/>
        </w:rPr>
        <w:t xml:space="preserve"> = 0.14, 95% CI [0.41, 1.01], </w:t>
      </w:r>
      <w:r>
        <w:rPr>
          <w:rFonts w:ascii="Times New Roman" w:hAnsi="Times New Roman"/>
          <w:b w:val="0"/>
          <w:i/>
          <w:sz w:val="24"/>
        </w:rPr>
        <w:t>p</w:t>
      </w:r>
      <w:r>
        <w:rPr>
          <w:rFonts w:ascii="Times New Roman" w:hAnsi="Times New Roman"/>
          <w:b w:val="0"/>
          <w:i w:val="0"/>
          <w:sz w:val="24"/>
        </w:rPr>
        <w:t xml:space="preserve"> &lt; .001). Studies using unspecified GenAI tools also showed significant effects (</w:t>
      </w:r>
      <w:r>
        <w:rPr>
          <w:rFonts w:ascii="Times New Roman" w:hAnsi="Times New Roman"/>
          <w:b w:val="0"/>
          <w:i/>
          <w:sz w:val="24"/>
        </w:rPr>
        <w:t>g</w:t>
      </w:r>
      <w:r>
        <w:rPr>
          <w:rFonts w:ascii="Times New Roman" w:hAnsi="Times New Roman"/>
          <w:b w:val="0"/>
          <w:i w:val="0"/>
          <w:sz w:val="24"/>
        </w:rPr>
        <w:t xml:space="preserve"> = 0.46, </w:t>
      </w:r>
      <w:r>
        <w:rPr>
          <w:rFonts w:ascii="Times New Roman" w:hAnsi="Times New Roman"/>
          <w:b w:val="0"/>
          <w:i/>
          <w:sz w:val="24"/>
        </w:rPr>
        <w:t>SE</w:t>
      </w:r>
      <w:r>
        <w:rPr>
          <w:rFonts w:ascii="Times New Roman" w:hAnsi="Times New Roman"/>
          <w:b w:val="0"/>
          <w:i w:val="0"/>
          <w:sz w:val="24"/>
        </w:rPr>
        <w:t xml:space="preserve"> = 0.15, 95% CI [0.14, 0.78], </w:t>
      </w:r>
      <w:r>
        <w:rPr>
          <w:rFonts w:ascii="Times New Roman" w:hAnsi="Times New Roman"/>
          <w:b w:val="0"/>
          <w:i/>
          <w:sz w:val="24"/>
        </w:rPr>
        <w:t>p</w:t>
      </w:r>
      <w:r>
        <w:rPr>
          <w:rFonts w:ascii="Times New Roman" w:hAnsi="Times New Roman"/>
          <w:b w:val="0"/>
          <w:i w:val="0"/>
          <w:sz w:val="24"/>
        </w:rPr>
        <w:t xml:space="preserve"> = .014). Other LLMs including custom-built chatbots, Qwen, and Google Gemini demonstrated a significant effect (</w:t>
      </w:r>
      <w:r>
        <w:rPr>
          <w:rFonts w:ascii="Times New Roman" w:hAnsi="Times New Roman"/>
          <w:b w:val="0"/>
          <w:i/>
          <w:sz w:val="24"/>
        </w:rPr>
        <w:t>g</w:t>
      </w:r>
      <w:r>
        <w:rPr>
          <w:rFonts w:ascii="Times New Roman" w:hAnsi="Times New Roman"/>
          <w:b w:val="0"/>
          <w:i w:val="0"/>
          <w:sz w:val="24"/>
        </w:rPr>
        <w:t xml:space="preserve"> = 0.68, </w:t>
      </w:r>
      <w:r>
        <w:rPr>
          <w:rFonts w:ascii="Times New Roman" w:hAnsi="Times New Roman"/>
          <w:b w:val="0"/>
          <w:i/>
          <w:sz w:val="24"/>
        </w:rPr>
        <w:t>SE</w:t>
      </w:r>
      <w:r>
        <w:rPr>
          <w:rFonts w:ascii="Times New Roman" w:hAnsi="Times New Roman"/>
          <w:b w:val="0"/>
          <w:i w:val="0"/>
          <w:sz w:val="24"/>
        </w:rPr>
        <w:t xml:space="preserve"> = 0.20, 95% CI [0.18, 1.18], </w:t>
      </w:r>
      <w:r>
        <w:rPr>
          <w:rFonts w:ascii="Times New Roman" w:hAnsi="Times New Roman"/>
          <w:b w:val="0"/>
          <w:i/>
          <w:sz w:val="24"/>
        </w:rPr>
        <w:t>p</w:t>
      </w:r>
      <w:r>
        <w:rPr>
          <w:rFonts w:ascii="Times New Roman" w:hAnsi="Times New Roman"/>
          <w:b w:val="0"/>
          <w:i w:val="0"/>
          <w:sz w:val="24"/>
        </w:rPr>
        <w:t xml:space="preserve"> = .028). Effects for specific GPT versions—GPT-3.5 (</w:t>
      </w:r>
      <w:r>
        <w:rPr>
          <w:rFonts w:ascii="Times New Roman" w:hAnsi="Times New Roman"/>
          <w:b w:val="0"/>
          <w:i/>
          <w:sz w:val="24"/>
        </w:rPr>
        <w:t>g</w:t>
      </w:r>
      <w:r>
        <w:rPr>
          <w:rFonts w:ascii="Times New Roman" w:hAnsi="Times New Roman"/>
          <w:b w:val="0"/>
          <w:i w:val="0"/>
          <w:sz w:val="24"/>
        </w:rPr>
        <w:t xml:space="preserve"> = 0.44, </w:t>
      </w:r>
      <w:r>
        <w:rPr>
          <w:rFonts w:ascii="Times New Roman" w:hAnsi="Times New Roman"/>
          <w:b w:val="0"/>
          <w:i/>
          <w:sz w:val="24"/>
        </w:rPr>
        <w:t>SE</w:t>
      </w:r>
      <w:r>
        <w:rPr>
          <w:rFonts w:ascii="Times New Roman" w:hAnsi="Times New Roman"/>
          <w:b w:val="0"/>
          <w:i w:val="0"/>
          <w:sz w:val="24"/>
        </w:rPr>
        <w:t xml:space="preserve"> = 0.34, </w:t>
      </w:r>
      <w:r>
        <w:rPr>
          <w:rFonts w:ascii="Times New Roman" w:hAnsi="Times New Roman"/>
          <w:b w:val="0"/>
          <w:i/>
          <w:sz w:val="24"/>
        </w:rPr>
        <w:t>p</w:t>
      </w:r>
      <w:r>
        <w:rPr>
          <w:rFonts w:ascii="Times New Roman" w:hAnsi="Times New Roman"/>
          <w:b w:val="0"/>
          <w:i w:val="0"/>
          <w:sz w:val="24"/>
        </w:rPr>
        <w:t xml:space="preserve"> = .322) and GPT-4 (</w:t>
      </w:r>
      <w:r>
        <w:rPr>
          <w:rFonts w:ascii="Times New Roman" w:hAnsi="Times New Roman"/>
          <w:b w:val="0"/>
          <w:i/>
          <w:sz w:val="24"/>
        </w:rPr>
        <w:t>g</w:t>
      </w:r>
      <w:r>
        <w:rPr>
          <w:rFonts w:ascii="Times New Roman" w:hAnsi="Times New Roman"/>
          <w:b w:val="0"/>
          <w:i w:val="0"/>
          <w:sz w:val="24"/>
        </w:rPr>
        <w:t xml:space="preserve"> = 0.65, </w:t>
      </w:r>
      <w:r>
        <w:rPr>
          <w:rFonts w:ascii="Times New Roman" w:hAnsi="Times New Roman"/>
          <w:b w:val="0"/>
          <w:i/>
          <w:sz w:val="24"/>
        </w:rPr>
        <w:t>SE</w:t>
      </w:r>
      <w:r>
        <w:rPr>
          <w:rFonts w:ascii="Times New Roman" w:hAnsi="Times New Roman"/>
          <w:b w:val="0"/>
          <w:i w:val="0"/>
          <w:sz w:val="24"/>
        </w:rPr>
        <w:t xml:space="preserve"> = 0.39, </w:t>
      </w:r>
      <w:r>
        <w:rPr>
          <w:rFonts w:ascii="Times New Roman" w:hAnsi="Times New Roman"/>
          <w:b w:val="0"/>
          <w:i/>
          <w:sz w:val="24"/>
        </w:rPr>
        <w:t>p</w:t>
      </w:r>
      <w:r>
        <w:rPr>
          <w:rFonts w:ascii="Times New Roman" w:hAnsi="Times New Roman"/>
          <w:b w:val="0"/>
          <w:i w:val="0"/>
          <w:sz w:val="24"/>
        </w:rPr>
        <w:t xml:space="preserve"> = .254)—did not reach statistical significance, likely due to limited sample sizes resulting in insufficient statistical power.</w:t>
      </w:r>
    </w:p>
    <w:p>
      <w:pPr>
        <w:spacing w:line="480" w:lineRule="auto" w:before="240" w:after="0"/>
        <w:ind w:firstLine="0"/>
        <w:jc w:val="left"/>
      </w:pPr>
      <w:r>
        <w:rPr>
          <w:rFonts w:ascii="Times New Roman" w:hAnsi="Times New Roman"/>
          <w:b/>
          <w:i w:val="0"/>
          <w:sz w:val="24"/>
        </w:rPr>
        <w:t>Table 5</w:t>
      </w:r>
    </w:p>
    <w:p>
      <w:pPr>
        <w:spacing w:line="480" w:lineRule="auto" w:before="0" w:after="0"/>
        <w:ind w:firstLine="720"/>
        <w:jc w:val="left"/>
      </w:pPr>
      <w:r>
        <w:rPr>
          <w:rFonts w:ascii="Times New Roman" w:hAnsi="Times New Roman"/>
          <w:b w:val="0"/>
          <w:i/>
          <w:sz w:val="24"/>
        </w:rPr>
        <w:t>Moderator Analysis Results: Effects of GenAI by Discipline and Tool Category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70"/>
        <w:gridCol w:w="1170"/>
        <w:gridCol w:w="1170"/>
        <w:gridCol w:w="1170"/>
        <w:gridCol w:w="1170"/>
        <w:gridCol w:w="1170"/>
        <w:gridCol w:w="1170"/>
        <w:gridCol w:w="1170"/>
      </w:tblGrid>
      <w:tr>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Moderator</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Category</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*k*</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*n*</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*SE*</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95% CI</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*p*</w:t>
            </w:r>
          </w:p>
        </w:tc>
      </w:tr>
      <w:tr>
        <w:tc>
          <w:tcPr>
            <w:tcW w:type="dxa" w:w="1170"/>
          </w:tcPr>
          <w:p>
            <w:pPr>
              <w:spacing w:line="480" w:lineRule="auto" w:before="20" w:after="20"/>
              <w:ind w:firstLine="0"/>
              <w:jc w:val="left"/>
            </w:pPr>
            <w:r/>
            <w:r>
              <w:rPr>
                <w:rFonts w:ascii="Times New Roman" w:hAnsi="Times New Roman"/>
                <w:b/>
                <w:i w:val="0"/>
                <w:sz w:val="20"/>
              </w:rPr>
              <w:t>Discipline</w:t>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CS/Programming</w:t>
            </w:r>
          </w:p>
        </w:tc>
        <w:tc>
          <w:tcPr>
            <w:tcW w:type="dxa" w:w="1170"/>
          </w:tcPr>
          <w:p>
            <w:pPr>
              <w:spacing w:line="480" w:lineRule="auto" w:before="20" w:after="20"/>
              <w:ind w:firstLine="0"/>
              <w:jc w:val="center"/>
            </w:pPr>
            <w:r/>
            <w:r>
              <w:rPr>
                <w:rFonts w:ascii="Times New Roman" w:hAnsi="Times New Roman"/>
                <w:b w:val="0"/>
                <w:i w:val="0"/>
                <w:sz w:val="20"/>
              </w:rPr>
              <w:t>11</w:t>
            </w:r>
          </w:p>
        </w:tc>
        <w:tc>
          <w:tcPr>
            <w:tcW w:type="dxa" w:w="1170"/>
          </w:tcPr>
          <w:p>
            <w:pPr>
              <w:spacing w:line="480" w:lineRule="auto" w:before="20" w:after="20"/>
              <w:ind w:firstLine="0"/>
              <w:jc w:val="center"/>
            </w:pPr>
            <w:r/>
            <w:r>
              <w:rPr>
                <w:rFonts w:ascii="Times New Roman" w:hAnsi="Times New Roman"/>
                <w:b w:val="0"/>
                <w:i w:val="0"/>
                <w:sz w:val="20"/>
              </w:rPr>
              <w:t>46</w:t>
            </w:r>
          </w:p>
        </w:tc>
        <w:tc>
          <w:tcPr>
            <w:tcW w:type="dxa" w:w="1170"/>
          </w:tcPr>
          <w:p>
            <w:pPr>
              <w:spacing w:line="480" w:lineRule="auto" w:before="20" w:after="20"/>
              <w:ind w:firstLine="0"/>
              <w:jc w:val="center"/>
            </w:pPr>
            <w:r/>
            <w:r>
              <w:rPr>
                <w:rFonts w:ascii="Times New Roman" w:hAnsi="Times New Roman"/>
                <w:b w:val="0"/>
                <w:i w:val="0"/>
                <w:sz w:val="20"/>
              </w:rPr>
              <w:t>0.47</w:t>
            </w:r>
          </w:p>
        </w:tc>
        <w:tc>
          <w:tcPr>
            <w:tcW w:type="dxa" w:w="1170"/>
          </w:tcPr>
          <w:p>
            <w:pPr>
              <w:spacing w:line="480" w:lineRule="auto" w:before="20" w:after="20"/>
              <w:ind w:firstLine="0"/>
              <w:jc w:val="center"/>
            </w:pPr>
            <w:r/>
            <w:r>
              <w:rPr>
                <w:rFonts w:ascii="Times New Roman" w:hAnsi="Times New Roman"/>
                <w:b w:val="0"/>
                <w:i w:val="0"/>
                <w:sz w:val="20"/>
              </w:rPr>
              <w:t>0.13</w:t>
            </w:r>
          </w:p>
        </w:tc>
        <w:tc>
          <w:tcPr>
            <w:tcW w:type="dxa" w:w="1170"/>
          </w:tcPr>
          <w:p>
            <w:pPr>
              <w:spacing w:line="480" w:lineRule="auto" w:before="20" w:after="20"/>
              <w:ind w:firstLine="0"/>
              <w:jc w:val="center"/>
            </w:pPr>
            <w:r/>
            <w:r>
              <w:rPr>
                <w:rFonts w:ascii="Times New Roman" w:hAnsi="Times New Roman"/>
                <w:b w:val="0"/>
                <w:i w:val="0"/>
                <w:sz w:val="20"/>
              </w:rPr>
              <w:t>[0.16, 0.78]</w:t>
            </w:r>
          </w:p>
        </w:tc>
        <w:tc>
          <w:tcPr>
            <w:tcW w:type="dxa" w:w="1170"/>
          </w:tcPr>
          <w:p>
            <w:pPr>
              <w:spacing w:line="480" w:lineRule="auto" w:before="20" w:after="20"/>
              <w:ind w:firstLine="0"/>
              <w:jc w:val="center"/>
            </w:pPr>
            <w:r/>
            <w:r>
              <w:rPr>
                <w:rFonts w:ascii="Times New Roman" w:hAnsi="Times New Roman"/>
                <w:b w:val="0"/>
                <w:i w:val="0"/>
                <w:sz w:val="20"/>
              </w:rPr>
              <w:t>.012</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Education</w:t>
            </w:r>
          </w:p>
        </w:tc>
        <w:tc>
          <w:tcPr>
            <w:tcW w:type="dxa" w:w="1170"/>
          </w:tcPr>
          <w:p>
            <w:pPr>
              <w:spacing w:line="480" w:lineRule="auto" w:before="20" w:after="20"/>
              <w:ind w:firstLine="0"/>
              <w:jc w:val="center"/>
            </w:pPr>
            <w:r/>
            <w:r>
              <w:rPr>
                <w:rFonts w:ascii="Times New Roman" w:hAnsi="Times New Roman"/>
                <w:b w:val="0"/>
                <w:i w:val="0"/>
                <w:sz w:val="20"/>
              </w:rPr>
              <w:t>5</w:t>
            </w:r>
          </w:p>
        </w:tc>
        <w:tc>
          <w:tcPr>
            <w:tcW w:type="dxa" w:w="1170"/>
          </w:tcPr>
          <w:p>
            <w:pPr>
              <w:spacing w:line="480" w:lineRule="auto" w:before="20" w:after="20"/>
              <w:ind w:firstLine="0"/>
              <w:jc w:val="center"/>
            </w:pPr>
            <w:r/>
            <w:r>
              <w:rPr>
                <w:rFonts w:ascii="Times New Roman" w:hAnsi="Times New Roman"/>
                <w:b w:val="0"/>
                <w:i w:val="0"/>
                <w:sz w:val="20"/>
              </w:rPr>
              <w:t>28</w:t>
            </w:r>
          </w:p>
        </w:tc>
        <w:tc>
          <w:tcPr>
            <w:tcW w:type="dxa" w:w="1170"/>
          </w:tcPr>
          <w:p>
            <w:pPr>
              <w:spacing w:line="480" w:lineRule="auto" w:before="20" w:after="20"/>
              <w:ind w:firstLine="0"/>
              <w:jc w:val="center"/>
            </w:pPr>
            <w:r/>
            <w:r>
              <w:rPr>
                <w:rFonts w:ascii="Times New Roman" w:hAnsi="Times New Roman"/>
                <w:b w:val="0"/>
                <w:i w:val="0"/>
                <w:sz w:val="20"/>
              </w:rPr>
              <w:t>1.72</w:t>
            </w:r>
          </w:p>
        </w:tc>
        <w:tc>
          <w:tcPr>
            <w:tcW w:type="dxa" w:w="1170"/>
          </w:tcPr>
          <w:p>
            <w:pPr>
              <w:spacing w:line="480" w:lineRule="auto" w:before="20" w:after="20"/>
              <w:ind w:firstLine="0"/>
              <w:jc w:val="center"/>
            </w:pPr>
            <w:r/>
            <w:r>
              <w:rPr>
                <w:rFonts w:ascii="Times New Roman" w:hAnsi="Times New Roman"/>
                <w:b w:val="0"/>
                <w:i w:val="0"/>
                <w:sz w:val="20"/>
              </w:rPr>
              <w:t>0.68</w:t>
            </w:r>
          </w:p>
        </w:tc>
        <w:tc>
          <w:tcPr>
            <w:tcW w:type="dxa" w:w="1170"/>
          </w:tcPr>
          <w:p>
            <w:pPr>
              <w:spacing w:line="480" w:lineRule="auto" w:before="20" w:after="20"/>
              <w:ind w:firstLine="0"/>
              <w:jc w:val="center"/>
            </w:pPr>
            <w:r/>
            <w:r>
              <w:rPr>
                <w:rFonts w:ascii="Times New Roman" w:hAnsi="Times New Roman"/>
                <w:b w:val="0"/>
                <w:i w:val="0"/>
                <w:sz w:val="20"/>
              </w:rPr>
              <w:t>[−0.52, 3.96]</w:t>
            </w:r>
          </w:p>
        </w:tc>
        <w:tc>
          <w:tcPr>
            <w:tcW w:type="dxa" w:w="1170"/>
          </w:tcPr>
          <w:p>
            <w:pPr>
              <w:spacing w:line="480" w:lineRule="auto" w:before="20" w:after="20"/>
              <w:ind w:firstLine="0"/>
              <w:jc w:val="center"/>
            </w:pPr>
            <w:r/>
            <w:r>
              <w:rPr>
                <w:rFonts w:ascii="Times New Roman" w:hAnsi="Times New Roman"/>
                <w:b w:val="0"/>
                <w:i w:val="0"/>
                <w:sz w:val="20"/>
              </w:rPr>
              <w:t>.108</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Language/Writing</w:t>
            </w:r>
          </w:p>
        </w:tc>
        <w:tc>
          <w:tcPr>
            <w:tcW w:type="dxa" w:w="1170"/>
          </w:tcPr>
          <w:p>
            <w:pPr>
              <w:spacing w:line="480" w:lineRule="auto" w:before="20" w:after="20"/>
              <w:ind w:firstLine="0"/>
              <w:jc w:val="center"/>
            </w:pPr>
            <w:r/>
            <w:r>
              <w:rPr>
                <w:rFonts w:ascii="Times New Roman" w:hAnsi="Times New Roman"/>
                <w:b w:val="0"/>
                <w:i w:val="0"/>
                <w:sz w:val="20"/>
              </w:rPr>
              <w:t>19</w:t>
            </w:r>
          </w:p>
        </w:tc>
        <w:tc>
          <w:tcPr>
            <w:tcW w:type="dxa" w:w="1170"/>
          </w:tcPr>
          <w:p>
            <w:pPr>
              <w:spacing w:line="480" w:lineRule="auto" w:before="20" w:after="20"/>
              <w:ind w:firstLine="0"/>
              <w:jc w:val="center"/>
            </w:pPr>
            <w:r/>
            <w:r>
              <w:rPr>
                <w:rFonts w:ascii="Times New Roman" w:hAnsi="Times New Roman"/>
                <w:b w:val="0"/>
                <w:i w:val="0"/>
                <w:sz w:val="20"/>
              </w:rPr>
              <w:t>98</w:t>
            </w:r>
          </w:p>
        </w:tc>
        <w:tc>
          <w:tcPr>
            <w:tcW w:type="dxa" w:w="1170"/>
          </w:tcPr>
          <w:p>
            <w:pPr>
              <w:spacing w:line="480" w:lineRule="auto" w:before="20" w:after="20"/>
              <w:ind w:firstLine="0"/>
              <w:jc w:val="center"/>
            </w:pPr>
            <w:r/>
            <w:r>
              <w:rPr>
                <w:rFonts w:ascii="Times New Roman" w:hAnsi="Times New Roman"/>
                <w:b w:val="0"/>
                <w:i w:val="0"/>
                <w:sz w:val="20"/>
              </w:rPr>
              <w:t>0.42</w:t>
            </w:r>
          </w:p>
        </w:tc>
        <w:tc>
          <w:tcPr>
            <w:tcW w:type="dxa" w:w="1170"/>
          </w:tcPr>
          <w:p>
            <w:pPr>
              <w:spacing w:line="480" w:lineRule="auto" w:before="20" w:after="20"/>
              <w:ind w:firstLine="0"/>
              <w:jc w:val="center"/>
            </w:pPr>
            <w:r/>
            <w:r>
              <w:rPr>
                <w:rFonts w:ascii="Times New Roman" w:hAnsi="Times New Roman"/>
                <w:b w:val="0"/>
                <w:i w:val="0"/>
                <w:sz w:val="20"/>
              </w:rPr>
              <w:t>0.19</w:t>
            </w:r>
          </w:p>
        </w:tc>
        <w:tc>
          <w:tcPr>
            <w:tcW w:type="dxa" w:w="1170"/>
          </w:tcPr>
          <w:p>
            <w:pPr>
              <w:spacing w:line="480" w:lineRule="auto" w:before="20" w:after="20"/>
              <w:ind w:firstLine="0"/>
              <w:jc w:val="center"/>
            </w:pPr>
            <w:r/>
            <w:r>
              <w:rPr>
                <w:rFonts w:ascii="Times New Roman" w:hAnsi="Times New Roman"/>
                <w:b w:val="0"/>
                <w:i w:val="0"/>
                <w:sz w:val="20"/>
              </w:rPr>
              <w:t>[0.01, 0.83]</w:t>
            </w:r>
          </w:p>
        </w:tc>
        <w:tc>
          <w:tcPr>
            <w:tcW w:type="dxa" w:w="1170"/>
          </w:tcPr>
          <w:p>
            <w:pPr>
              <w:spacing w:line="480" w:lineRule="auto" w:before="20" w:after="20"/>
              <w:ind w:firstLine="0"/>
              <w:jc w:val="center"/>
            </w:pPr>
            <w:r/>
            <w:r>
              <w:rPr>
                <w:rFonts w:ascii="Times New Roman" w:hAnsi="Times New Roman"/>
                <w:b w:val="0"/>
                <w:i w:val="0"/>
                <w:sz w:val="20"/>
              </w:rPr>
              <w:t>.046</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Medicine/Health</w:t>
            </w:r>
          </w:p>
        </w:tc>
        <w:tc>
          <w:tcPr>
            <w:tcW w:type="dxa" w:w="1170"/>
          </w:tcPr>
          <w:p>
            <w:pPr>
              <w:spacing w:line="480" w:lineRule="auto" w:before="20" w:after="20"/>
              <w:ind w:firstLine="0"/>
              <w:jc w:val="center"/>
            </w:pPr>
            <w:r/>
            <w:r>
              <w:rPr>
                <w:rFonts w:ascii="Times New Roman" w:hAnsi="Times New Roman"/>
                <w:b w:val="0"/>
                <w:i w:val="0"/>
                <w:sz w:val="20"/>
              </w:rPr>
              <w:t>14</w:t>
            </w:r>
          </w:p>
        </w:tc>
        <w:tc>
          <w:tcPr>
            <w:tcW w:type="dxa" w:w="1170"/>
          </w:tcPr>
          <w:p>
            <w:pPr>
              <w:spacing w:line="480" w:lineRule="auto" w:before="20" w:after="20"/>
              <w:ind w:firstLine="0"/>
              <w:jc w:val="center"/>
            </w:pPr>
            <w:r/>
            <w:r>
              <w:rPr>
                <w:rFonts w:ascii="Times New Roman" w:hAnsi="Times New Roman"/>
                <w:b w:val="0"/>
                <w:i w:val="0"/>
                <w:sz w:val="20"/>
              </w:rPr>
              <w:t>92</w:t>
            </w:r>
          </w:p>
        </w:tc>
        <w:tc>
          <w:tcPr>
            <w:tcW w:type="dxa" w:w="1170"/>
          </w:tcPr>
          <w:p>
            <w:pPr>
              <w:spacing w:line="480" w:lineRule="auto" w:before="20" w:after="20"/>
              <w:ind w:firstLine="0"/>
              <w:jc w:val="center"/>
            </w:pPr>
            <w:r/>
            <w:r>
              <w:rPr>
                <w:rFonts w:ascii="Times New Roman" w:hAnsi="Times New Roman"/>
                <w:b w:val="0"/>
                <w:i w:val="0"/>
                <w:sz w:val="20"/>
              </w:rPr>
              <w:t>0.72</w:t>
            </w:r>
          </w:p>
        </w:tc>
        <w:tc>
          <w:tcPr>
            <w:tcW w:type="dxa" w:w="1170"/>
          </w:tcPr>
          <w:p>
            <w:pPr>
              <w:spacing w:line="480" w:lineRule="auto" w:before="20" w:after="20"/>
              <w:ind w:firstLine="0"/>
              <w:jc w:val="center"/>
            </w:pPr>
            <w:r/>
            <w:r>
              <w:rPr>
                <w:rFonts w:ascii="Times New Roman" w:hAnsi="Times New Roman"/>
                <w:b w:val="0"/>
                <w:i w:val="0"/>
                <w:sz w:val="20"/>
              </w:rPr>
              <w:t>0.21</w:t>
            </w:r>
          </w:p>
        </w:tc>
        <w:tc>
          <w:tcPr>
            <w:tcW w:type="dxa" w:w="1170"/>
          </w:tcPr>
          <w:p>
            <w:pPr>
              <w:spacing w:line="480" w:lineRule="auto" w:before="20" w:after="20"/>
              <w:ind w:firstLine="0"/>
              <w:jc w:val="center"/>
            </w:pPr>
            <w:r/>
            <w:r>
              <w:rPr>
                <w:rFonts w:ascii="Times New Roman" w:hAnsi="Times New Roman"/>
                <w:b w:val="0"/>
                <w:i w:val="0"/>
                <w:sz w:val="20"/>
              </w:rPr>
              <w:t>[0.24, 1.20]</w:t>
            </w:r>
          </w:p>
        </w:tc>
        <w:tc>
          <w:tcPr>
            <w:tcW w:type="dxa" w:w="1170"/>
          </w:tcPr>
          <w:p>
            <w:pPr>
              <w:spacing w:line="480" w:lineRule="auto" w:before="20" w:after="20"/>
              <w:ind w:firstLine="0"/>
              <w:jc w:val="center"/>
            </w:pPr>
            <w:r/>
            <w:r>
              <w:rPr>
                <w:rFonts w:ascii="Times New Roman" w:hAnsi="Times New Roman"/>
                <w:b w:val="0"/>
                <w:i w:val="0"/>
                <w:sz w:val="20"/>
              </w:rPr>
              <w:t>.008</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STEM Other</w:t>
            </w:r>
          </w:p>
        </w:tc>
        <w:tc>
          <w:tcPr>
            <w:tcW w:type="dxa" w:w="1170"/>
          </w:tcPr>
          <w:p>
            <w:pPr>
              <w:spacing w:line="480" w:lineRule="auto" w:before="20" w:after="20"/>
              <w:ind w:firstLine="0"/>
              <w:jc w:val="center"/>
            </w:pPr>
            <w:r/>
            <w:r>
              <w:rPr>
                <w:rFonts w:ascii="Times New Roman" w:hAnsi="Times New Roman"/>
                <w:b w:val="0"/>
                <w:i w:val="0"/>
                <w:sz w:val="20"/>
              </w:rPr>
              <w:t>16</w:t>
            </w:r>
          </w:p>
        </w:tc>
        <w:tc>
          <w:tcPr>
            <w:tcW w:type="dxa" w:w="1170"/>
          </w:tcPr>
          <w:p>
            <w:pPr>
              <w:spacing w:line="480" w:lineRule="auto" w:before="20" w:after="20"/>
              <w:ind w:firstLine="0"/>
              <w:jc w:val="center"/>
            </w:pPr>
            <w:r/>
            <w:r>
              <w:rPr>
                <w:rFonts w:ascii="Times New Roman" w:hAnsi="Times New Roman"/>
                <w:b w:val="0"/>
                <w:i w:val="0"/>
                <w:sz w:val="20"/>
              </w:rPr>
              <w:t>117</w:t>
            </w:r>
          </w:p>
        </w:tc>
        <w:tc>
          <w:tcPr>
            <w:tcW w:type="dxa" w:w="1170"/>
          </w:tcPr>
          <w:p>
            <w:pPr>
              <w:spacing w:line="480" w:lineRule="auto" w:before="20" w:after="20"/>
              <w:ind w:firstLine="0"/>
              <w:jc w:val="center"/>
            </w:pPr>
            <w:r/>
            <w:r>
              <w:rPr>
                <w:rFonts w:ascii="Times New Roman" w:hAnsi="Times New Roman"/>
                <w:b w:val="0"/>
                <w:i w:val="0"/>
                <w:sz w:val="20"/>
              </w:rPr>
              <w:t>0.58</w:t>
            </w:r>
          </w:p>
        </w:tc>
        <w:tc>
          <w:tcPr>
            <w:tcW w:type="dxa" w:w="1170"/>
          </w:tcPr>
          <w:p>
            <w:pPr>
              <w:spacing w:line="480" w:lineRule="auto" w:before="20" w:after="20"/>
              <w:ind w:firstLine="0"/>
              <w:jc w:val="center"/>
            </w:pPr>
            <w:r/>
            <w:r>
              <w:rPr>
                <w:rFonts w:ascii="Times New Roman" w:hAnsi="Times New Roman"/>
                <w:b w:val="0"/>
                <w:i w:val="0"/>
                <w:sz w:val="20"/>
              </w:rPr>
              <w:t>0.14</w:t>
            </w:r>
          </w:p>
        </w:tc>
        <w:tc>
          <w:tcPr>
            <w:tcW w:type="dxa" w:w="1170"/>
          </w:tcPr>
          <w:p>
            <w:pPr>
              <w:spacing w:line="480" w:lineRule="auto" w:before="20" w:after="20"/>
              <w:ind w:firstLine="0"/>
              <w:jc w:val="center"/>
            </w:pPr>
            <w:r/>
            <w:r>
              <w:rPr>
                <w:rFonts w:ascii="Times New Roman" w:hAnsi="Times New Roman"/>
                <w:b w:val="0"/>
                <w:i w:val="0"/>
                <w:sz w:val="20"/>
              </w:rPr>
              <w:t>[0.26, 0.90]</w:t>
            </w:r>
          </w:p>
        </w:tc>
        <w:tc>
          <w:tcPr>
            <w:tcW w:type="dxa" w:w="1170"/>
          </w:tcPr>
          <w:p>
            <w:pPr>
              <w:spacing w:line="480" w:lineRule="auto" w:before="20" w:after="20"/>
              <w:ind w:firstLine="0"/>
              <w:jc w:val="center"/>
            </w:pPr>
            <w:r/>
            <w:r>
              <w:rPr>
                <w:rFonts w:ascii="Times New Roman" w:hAnsi="Times New Roman"/>
                <w:b w:val="0"/>
                <w:i w:val="0"/>
                <w:sz w:val="20"/>
              </w:rPr>
              <w:t>.003</w:t>
            </w:r>
          </w:p>
        </w:tc>
      </w:tr>
      <w:tr>
        <w:tc>
          <w:tcPr>
            <w:tcW w:type="dxa" w:w="1170"/>
          </w:tcPr>
          <w:p>
            <w:pPr>
              <w:spacing w:line="480" w:lineRule="auto" w:before="20" w:after="20"/>
              <w:ind w:firstLine="0"/>
              <w:jc w:val="left"/>
            </w:pPr>
            <w:r/>
            <w:r>
              <w:rPr>
                <w:rFonts w:ascii="Times New Roman" w:hAnsi="Times New Roman"/>
                <w:b/>
                <w:i w:val="0"/>
                <w:sz w:val="20"/>
              </w:rPr>
              <w:t>GenAI Tool</w:t>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ChatGPT (unspecified)</w:t>
            </w:r>
          </w:p>
        </w:tc>
        <w:tc>
          <w:tcPr>
            <w:tcW w:type="dxa" w:w="1170"/>
          </w:tcPr>
          <w:p>
            <w:pPr>
              <w:spacing w:line="480" w:lineRule="auto" w:before="20" w:after="20"/>
              <w:ind w:firstLine="0"/>
              <w:jc w:val="center"/>
            </w:pPr>
            <w:r/>
            <w:r>
              <w:rPr>
                <w:rFonts w:ascii="Times New Roman" w:hAnsi="Times New Roman"/>
                <w:b w:val="0"/>
                <w:i w:val="0"/>
                <w:sz w:val="20"/>
              </w:rPr>
              <w:t>26</w:t>
            </w:r>
          </w:p>
        </w:tc>
        <w:tc>
          <w:tcPr>
            <w:tcW w:type="dxa" w:w="1170"/>
          </w:tcPr>
          <w:p>
            <w:pPr>
              <w:spacing w:line="480" w:lineRule="auto" w:before="20" w:after="20"/>
              <w:ind w:firstLine="0"/>
              <w:jc w:val="center"/>
            </w:pPr>
            <w:r/>
            <w:r>
              <w:rPr>
                <w:rFonts w:ascii="Times New Roman" w:hAnsi="Times New Roman"/>
                <w:b w:val="0"/>
                <w:i w:val="0"/>
                <w:sz w:val="20"/>
              </w:rPr>
              <w:t>124</w:t>
            </w:r>
          </w:p>
        </w:tc>
        <w:tc>
          <w:tcPr>
            <w:tcW w:type="dxa" w:w="1170"/>
          </w:tcPr>
          <w:p>
            <w:pPr>
              <w:spacing w:line="480" w:lineRule="auto" w:before="20" w:after="20"/>
              <w:ind w:firstLine="0"/>
              <w:jc w:val="center"/>
            </w:pPr>
            <w:r/>
            <w:r>
              <w:rPr>
                <w:rFonts w:ascii="Times New Roman" w:hAnsi="Times New Roman"/>
                <w:b w:val="0"/>
                <w:i w:val="0"/>
                <w:sz w:val="20"/>
              </w:rPr>
              <w:t>0.71</w:t>
            </w:r>
          </w:p>
        </w:tc>
        <w:tc>
          <w:tcPr>
            <w:tcW w:type="dxa" w:w="1170"/>
          </w:tcPr>
          <w:p>
            <w:pPr>
              <w:spacing w:line="480" w:lineRule="auto" w:before="20" w:after="20"/>
              <w:ind w:firstLine="0"/>
              <w:jc w:val="center"/>
            </w:pPr>
            <w:r/>
            <w:r>
              <w:rPr>
                <w:rFonts w:ascii="Times New Roman" w:hAnsi="Times New Roman"/>
                <w:b w:val="0"/>
                <w:i w:val="0"/>
                <w:sz w:val="20"/>
              </w:rPr>
              <w:t>0.14</w:t>
            </w:r>
          </w:p>
        </w:tc>
        <w:tc>
          <w:tcPr>
            <w:tcW w:type="dxa" w:w="1170"/>
          </w:tcPr>
          <w:p>
            <w:pPr>
              <w:spacing w:line="480" w:lineRule="auto" w:before="20" w:after="20"/>
              <w:ind w:firstLine="0"/>
              <w:jc w:val="center"/>
            </w:pPr>
            <w:r/>
            <w:r>
              <w:rPr>
                <w:rFonts w:ascii="Times New Roman" w:hAnsi="Times New Roman"/>
                <w:b w:val="0"/>
                <w:i w:val="0"/>
                <w:sz w:val="20"/>
              </w:rPr>
              <w:t>[0.41, 1.01]</w:t>
            </w:r>
          </w:p>
        </w:tc>
        <w:tc>
          <w:tcPr>
            <w:tcW w:type="dxa" w:w="1170"/>
          </w:tcPr>
          <w:p>
            <w:pPr>
              <w:spacing w:line="480" w:lineRule="auto" w:before="20" w:after="20"/>
              <w:ind w:firstLine="0"/>
              <w:jc w:val="center"/>
            </w:pPr>
            <w:r/>
            <w:r>
              <w:rPr>
                <w:rFonts w:ascii="Times New Roman" w:hAnsi="Times New Roman"/>
                <w:b w:val="0"/>
                <w:i w:val="0"/>
                <w:sz w:val="20"/>
              </w:rPr>
              <w:t>&lt; .001</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GenAI (unspecified)</w:t>
            </w:r>
          </w:p>
        </w:tc>
        <w:tc>
          <w:tcPr>
            <w:tcW w:type="dxa" w:w="1170"/>
          </w:tcPr>
          <w:p>
            <w:pPr>
              <w:spacing w:line="480" w:lineRule="auto" w:before="20" w:after="20"/>
              <w:ind w:firstLine="0"/>
              <w:jc w:val="center"/>
            </w:pPr>
            <w:r/>
            <w:r>
              <w:rPr>
                <w:rFonts w:ascii="Times New Roman" w:hAnsi="Times New Roman"/>
                <w:b w:val="0"/>
                <w:i w:val="0"/>
                <w:sz w:val="20"/>
              </w:rPr>
              <w:t>18</w:t>
            </w:r>
          </w:p>
        </w:tc>
        <w:tc>
          <w:tcPr>
            <w:tcW w:type="dxa" w:w="1170"/>
          </w:tcPr>
          <w:p>
            <w:pPr>
              <w:spacing w:line="480" w:lineRule="auto" w:before="20" w:after="20"/>
              <w:ind w:firstLine="0"/>
              <w:jc w:val="center"/>
            </w:pPr>
            <w:r/>
            <w:r>
              <w:rPr>
                <w:rFonts w:ascii="Times New Roman" w:hAnsi="Times New Roman"/>
                <w:b w:val="0"/>
                <w:i w:val="0"/>
                <w:sz w:val="20"/>
              </w:rPr>
              <w:t>148</w:t>
            </w:r>
          </w:p>
        </w:tc>
        <w:tc>
          <w:tcPr>
            <w:tcW w:type="dxa" w:w="1170"/>
          </w:tcPr>
          <w:p>
            <w:pPr>
              <w:spacing w:line="480" w:lineRule="auto" w:before="20" w:after="20"/>
              <w:ind w:firstLine="0"/>
              <w:jc w:val="center"/>
            </w:pPr>
            <w:r/>
            <w:r>
              <w:rPr>
                <w:rFonts w:ascii="Times New Roman" w:hAnsi="Times New Roman"/>
                <w:b w:val="0"/>
                <w:i w:val="0"/>
                <w:sz w:val="20"/>
              </w:rPr>
              <w:t>0.46</w:t>
            </w:r>
          </w:p>
        </w:tc>
        <w:tc>
          <w:tcPr>
            <w:tcW w:type="dxa" w:w="1170"/>
          </w:tcPr>
          <w:p>
            <w:pPr>
              <w:spacing w:line="480" w:lineRule="auto" w:before="20" w:after="20"/>
              <w:ind w:firstLine="0"/>
              <w:jc w:val="center"/>
            </w:pPr>
            <w:r/>
            <w:r>
              <w:rPr>
                <w:rFonts w:ascii="Times New Roman" w:hAnsi="Times New Roman"/>
                <w:b w:val="0"/>
                <w:i w:val="0"/>
                <w:sz w:val="20"/>
              </w:rPr>
              <w:t>0.15</w:t>
            </w:r>
          </w:p>
        </w:tc>
        <w:tc>
          <w:tcPr>
            <w:tcW w:type="dxa" w:w="1170"/>
          </w:tcPr>
          <w:p>
            <w:pPr>
              <w:spacing w:line="480" w:lineRule="auto" w:before="20" w:after="20"/>
              <w:ind w:firstLine="0"/>
              <w:jc w:val="center"/>
            </w:pPr>
            <w:r/>
            <w:r>
              <w:rPr>
                <w:rFonts w:ascii="Times New Roman" w:hAnsi="Times New Roman"/>
                <w:b w:val="0"/>
                <w:i w:val="0"/>
                <w:sz w:val="20"/>
              </w:rPr>
              <w:t>[0.14, 0.78]</w:t>
            </w:r>
          </w:p>
        </w:tc>
        <w:tc>
          <w:tcPr>
            <w:tcW w:type="dxa" w:w="1170"/>
          </w:tcPr>
          <w:p>
            <w:pPr>
              <w:spacing w:line="480" w:lineRule="auto" w:before="20" w:after="20"/>
              <w:ind w:firstLine="0"/>
              <w:jc w:val="center"/>
            </w:pPr>
            <w:r/>
            <w:r>
              <w:rPr>
                <w:rFonts w:ascii="Times New Roman" w:hAnsi="Times New Roman"/>
                <w:b w:val="0"/>
                <w:i w:val="0"/>
                <w:sz w:val="20"/>
              </w:rPr>
              <w:t>.014</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GPT-3.5</w:t>
            </w:r>
          </w:p>
        </w:tc>
        <w:tc>
          <w:tcPr>
            <w:tcW w:type="dxa" w:w="1170"/>
          </w:tcPr>
          <w:p>
            <w:pPr>
              <w:spacing w:line="480" w:lineRule="auto" w:before="20" w:after="20"/>
              <w:ind w:firstLine="0"/>
              <w:jc w:val="center"/>
            </w:pPr>
            <w:r/>
            <w:r>
              <w:rPr>
                <w:rFonts w:ascii="Times New Roman" w:hAnsi="Times New Roman"/>
                <w:b w:val="0"/>
                <w:i w:val="0"/>
                <w:sz w:val="20"/>
              </w:rPr>
              <w:t>5</w:t>
            </w:r>
          </w:p>
        </w:tc>
        <w:tc>
          <w:tcPr>
            <w:tcW w:type="dxa" w:w="1170"/>
          </w:tcPr>
          <w:p>
            <w:pPr>
              <w:spacing w:line="480" w:lineRule="auto" w:before="20" w:after="20"/>
              <w:ind w:firstLine="0"/>
              <w:jc w:val="center"/>
            </w:pPr>
            <w:r/>
            <w:r>
              <w:rPr>
                <w:rFonts w:ascii="Times New Roman" w:hAnsi="Times New Roman"/>
                <w:b w:val="0"/>
                <w:i w:val="0"/>
                <w:sz w:val="20"/>
              </w:rPr>
              <w:t>14</w:t>
            </w:r>
          </w:p>
        </w:tc>
        <w:tc>
          <w:tcPr>
            <w:tcW w:type="dxa" w:w="1170"/>
          </w:tcPr>
          <w:p>
            <w:pPr>
              <w:spacing w:line="480" w:lineRule="auto" w:before="20" w:after="20"/>
              <w:ind w:firstLine="0"/>
              <w:jc w:val="center"/>
            </w:pPr>
            <w:r/>
            <w:r>
              <w:rPr>
                <w:rFonts w:ascii="Times New Roman" w:hAnsi="Times New Roman"/>
                <w:b w:val="0"/>
                <w:i w:val="0"/>
                <w:sz w:val="20"/>
              </w:rPr>
              <w:t>0.44</w:t>
            </w:r>
          </w:p>
        </w:tc>
        <w:tc>
          <w:tcPr>
            <w:tcW w:type="dxa" w:w="1170"/>
          </w:tcPr>
          <w:p>
            <w:pPr>
              <w:spacing w:line="480" w:lineRule="auto" w:before="20" w:after="20"/>
              <w:ind w:firstLine="0"/>
              <w:jc w:val="center"/>
            </w:pPr>
            <w:r/>
            <w:r>
              <w:rPr>
                <w:rFonts w:ascii="Times New Roman" w:hAnsi="Times New Roman"/>
                <w:b w:val="0"/>
                <w:i w:val="0"/>
                <w:sz w:val="20"/>
              </w:rPr>
              <w:t>0.34</w:t>
            </w:r>
          </w:p>
        </w:tc>
        <w:tc>
          <w:tcPr>
            <w:tcW w:type="dxa" w:w="1170"/>
          </w:tcPr>
          <w:p>
            <w:pPr>
              <w:spacing w:line="480" w:lineRule="auto" w:before="20" w:after="20"/>
              <w:ind w:firstLine="0"/>
              <w:jc w:val="center"/>
            </w:pPr>
            <w:r/>
            <w:r>
              <w:rPr>
                <w:rFonts w:ascii="Times New Roman" w:hAnsi="Times New Roman"/>
                <w:b w:val="0"/>
                <w:i w:val="0"/>
                <w:sz w:val="20"/>
              </w:rPr>
              <w:t>[−0.78, 1.66]</w:t>
            </w:r>
          </w:p>
        </w:tc>
        <w:tc>
          <w:tcPr>
            <w:tcW w:type="dxa" w:w="1170"/>
          </w:tcPr>
          <w:p>
            <w:pPr>
              <w:spacing w:line="480" w:lineRule="auto" w:before="20" w:after="20"/>
              <w:ind w:firstLine="0"/>
              <w:jc w:val="center"/>
            </w:pPr>
            <w:r/>
            <w:r>
              <w:rPr>
                <w:rFonts w:ascii="Times New Roman" w:hAnsi="Times New Roman"/>
                <w:b w:val="0"/>
                <w:i w:val="0"/>
                <w:sz w:val="20"/>
              </w:rPr>
              <w:t>.322</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GPT-4</w:t>
            </w:r>
          </w:p>
        </w:tc>
        <w:tc>
          <w:tcPr>
            <w:tcW w:type="dxa" w:w="1170"/>
          </w:tcPr>
          <w:p>
            <w:pPr>
              <w:spacing w:line="480" w:lineRule="auto" w:before="20" w:after="20"/>
              <w:ind w:firstLine="0"/>
              <w:jc w:val="center"/>
            </w:pPr>
            <w:r/>
            <w:r>
              <w:rPr>
                <w:rFonts w:ascii="Times New Roman" w:hAnsi="Times New Roman"/>
                <w:b w:val="0"/>
                <w:i w:val="0"/>
                <w:sz w:val="20"/>
              </w:rPr>
              <w:t>4</w:t>
            </w:r>
          </w:p>
        </w:tc>
        <w:tc>
          <w:tcPr>
            <w:tcW w:type="dxa" w:w="1170"/>
          </w:tcPr>
          <w:p>
            <w:pPr>
              <w:spacing w:line="480" w:lineRule="auto" w:before="20" w:after="20"/>
              <w:ind w:firstLine="0"/>
              <w:jc w:val="center"/>
            </w:pPr>
            <w:r/>
            <w:r>
              <w:rPr>
                <w:rFonts w:ascii="Times New Roman" w:hAnsi="Times New Roman"/>
                <w:b w:val="0"/>
                <w:i w:val="0"/>
                <w:sz w:val="20"/>
              </w:rPr>
              <w:t>24</w:t>
            </w:r>
          </w:p>
        </w:tc>
        <w:tc>
          <w:tcPr>
            <w:tcW w:type="dxa" w:w="1170"/>
          </w:tcPr>
          <w:p>
            <w:pPr>
              <w:spacing w:line="480" w:lineRule="auto" w:before="20" w:after="20"/>
              <w:ind w:firstLine="0"/>
              <w:jc w:val="center"/>
            </w:pPr>
            <w:r/>
            <w:r>
              <w:rPr>
                <w:rFonts w:ascii="Times New Roman" w:hAnsi="Times New Roman"/>
                <w:b w:val="0"/>
                <w:i w:val="0"/>
                <w:sz w:val="20"/>
              </w:rPr>
              <w:t>0.65</w:t>
            </w:r>
          </w:p>
        </w:tc>
        <w:tc>
          <w:tcPr>
            <w:tcW w:type="dxa" w:w="1170"/>
          </w:tcPr>
          <w:p>
            <w:pPr>
              <w:spacing w:line="480" w:lineRule="auto" w:before="20" w:after="20"/>
              <w:ind w:firstLine="0"/>
              <w:jc w:val="center"/>
            </w:pPr>
            <w:r/>
            <w:r>
              <w:rPr>
                <w:rFonts w:ascii="Times New Roman" w:hAnsi="Times New Roman"/>
                <w:b w:val="0"/>
                <w:i w:val="0"/>
                <w:sz w:val="20"/>
              </w:rPr>
              <w:t>0.39</w:t>
            </w:r>
          </w:p>
        </w:tc>
        <w:tc>
          <w:tcPr>
            <w:tcW w:type="dxa" w:w="1170"/>
          </w:tcPr>
          <w:p>
            <w:pPr>
              <w:spacing w:line="480" w:lineRule="auto" w:before="20" w:after="20"/>
              <w:ind w:firstLine="0"/>
              <w:jc w:val="center"/>
            </w:pPr>
            <w:r/>
            <w:r>
              <w:rPr>
                <w:rFonts w:ascii="Times New Roman" w:hAnsi="Times New Roman"/>
                <w:b w:val="0"/>
                <w:i w:val="0"/>
                <w:sz w:val="20"/>
              </w:rPr>
              <w:t>[−0.93, 2.23]</w:t>
            </w:r>
          </w:p>
        </w:tc>
        <w:tc>
          <w:tcPr>
            <w:tcW w:type="dxa" w:w="1170"/>
          </w:tcPr>
          <w:p>
            <w:pPr>
              <w:spacing w:line="480" w:lineRule="auto" w:before="20" w:after="20"/>
              <w:ind w:firstLine="0"/>
              <w:jc w:val="center"/>
            </w:pPr>
            <w:r/>
            <w:r>
              <w:rPr>
                <w:rFonts w:ascii="Times New Roman" w:hAnsi="Times New Roman"/>
                <w:b w:val="0"/>
                <w:i w:val="0"/>
                <w:sz w:val="20"/>
              </w:rPr>
              <w:t>.254</w:t>
            </w:r>
          </w:p>
        </w:tc>
      </w:tr>
      <w:tr>
        <w:tc>
          <w:tcPr>
            <w:tcW w:type="dxa" w:w="1170"/>
            <w:tcBorders>
              <w:bottom w:val="single" w:sz="8" w:space="0" w:color="000000"/>
            </w:tcBorders>
          </w:tcPr>
          <w:p>
            <w:pPr>
              <w:spacing w:line="480" w:lineRule="auto" w:before="20" w:after="20"/>
              <w:ind w:firstLine="0"/>
              <w:jc w:val="left"/>
            </w:pPr>
            <w:r/>
            <w:r>
              <w:rPr>
                <w:rFonts w:ascii="Times New Roman" w:hAnsi="Times New Roman"/>
                <w:b w:val="0"/>
                <w:i w:val="0"/>
                <w:sz w:val="20"/>
              </w:rPr>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Other LLM</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8</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47</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0.68</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0.20</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[0.18, 1.18]</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.028</w:t>
            </w:r>
          </w:p>
        </w:tc>
      </w:tr>
    </w:tbl>
    <w:p>
      <w:pPr>
        <w:spacing w:line="480" w:lineRule="auto" w:before="0" w:after="0"/>
        <w:ind w:firstLine="720"/>
        <w:jc w:val="left"/>
      </w:pPr>
      <w:r>
        <w:rPr>
          <w:rFonts w:ascii="Times New Roman" w:hAnsi="Times New Roman"/>
          <w:b w:val="0"/>
          <w:i/>
          <w:sz w:val="24"/>
        </w:rPr>
        <w:t>Note.</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number of studies; </w:t>
      </w:r>
      <w:r>
        <w:rPr>
          <w:rFonts w:ascii="Times New Roman" w:hAnsi="Times New Roman"/>
          <w:b w:val="0"/>
          <w:i/>
          <w:sz w:val="24"/>
        </w:rPr>
        <w:t>n</w:t>
      </w:r>
      <w:r>
        <w:rPr>
          <w:rFonts w:ascii="Times New Roman" w:hAnsi="Times New Roman"/>
          <w:b w:val="0"/>
          <w:i w:val="0"/>
          <w:sz w:val="24"/>
        </w:rPr>
        <w:t xml:space="preserve"> = number of effect sizes; </w:t>
      </w:r>
      <w:r>
        <w:rPr>
          <w:rFonts w:ascii="Times New Roman" w:hAnsi="Times New Roman"/>
          <w:b w:val="0"/>
          <w:i/>
          <w:sz w:val="24"/>
        </w:rPr>
        <w:t>g</w:t>
      </w:r>
      <w:r>
        <w:rPr>
          <w:rFonts w:ascii="Times New Roman" w:hAnsi="Times New Roman"/>
          <w:b w:val="0"/>
          <w:i w:val="0"/>
          <w:sz w:val="24"/>
        </w:rPr>
        <w:t xml:space="preserve"> = Hedges' </w:t>
      </w:r>
      <w:r>
        <w:rPr>
          <w:rFonts w:ascii="Times New Roman" w:hAnsi="Times New Roman"/>
          <w:b w:val="0"/>
          <w:i/>
          <w:sz w:val="24"/>
        </w:rPr>
        <w:t>g</w:t>
      </w:r>
      <w:r>
        <w:rPr>
          <w:rFonts w:ascii="Times New Roman" w:hAnsi="Times New Roman"/>
          <w:b w:val="0"/>
          <w:i w:val="0"/>
          <w:sz w:val="24"/>
        </w:rPr>
        <w:t xml:space="preserve">; </w:t>
      </w:r>
      <w:r>
        <w:rPr>
          <w:rFonts w:ascii="Times New Roman" w:hAnsi="Times New Roman"/>
          <w:b w:val="0"/>
          <w:i/>
          <w:sz w:val="24"/>
        </w:rPr>
        <w:t>SE</w:t>
      </w:r>
      <w:r>
        <w:rPr>
          <w:rFonts w:ascii="Times New Roman" w:hAnsi="Times New Roman"/>
          <w:b w:val="0"/>
          <w:i w:val="0"/>
          <w:sz w:val="24"/>
        </w:rPr>
        <w:t xml:space="preserve"> = robust standard error; CI = confidence interval. Robust variance estimation with cluster-robust standard errors (CR2 small-sample corrections). Other LLM includes Qwen, Google Gemini, and custom-built AI chatbots.</w:t>
      </w:r>
    </w:p>
    <w:p>
      <w:pPr>
        <w:spacing w:line="480" w:lineRule="auto" w:before="0" w:after="0"/>
        <w:ind w:firstLine="0"/>
        <w:jc w:val="left"/>
      </w:pPr>
      <w:r>
        <w:rPr>
          <w:rFonts w:ascii="Times New Roman" w:hAnsi="Times New Roman"/>
          <w:b/>
          <w:i/>
          <w:sz w:val="24"/>
        </w:rPr>
        <w:t>Academic Level</w:t>
      </w:r>
    </w:p>
    <w:p>
      <w:pPr>
        <w:spacing w:line="480" w:lineRule="auto" w:before="0" w:after="0"/>
        <w:ind w:firstLine="720"/>
        <w:jc w:val="left"/>
      </w:pPr>
      <w:r>
        <w:rPr>
          <w:rFonts w:ascii="Times New Roman" w:hAnsi="Times New Roman"/>
          <w:b w:val="0"/>
          <w:i w:val="0"/>
          <w:sz w:val="24"/>
        </w:rPr>
        <w:t>Due to limited representation of graduate (</w:t>
      </w:r>
      <w:r>
        <w:rPr>
          <w:rFonts w:ascii="Times New Roman" w:hAnsi="Times New Roman"/>
          <w:b w:val="0"/>
          <w:i/>
          <w:sz w:val="24"/>
        </w:rPr>
        <w:t>k</w:t>
      </w:r>
      <w:r>
        <w:rPr>
          <w:rFonts w:ascii="Times New Roman" w:hAnsi="Times New Roman"/>
          <w:b w:val="0"/>
          <w:i w:val="0"/>
          <w:sz w:val="24"/>
        </w:rPr>
        <w:t xml:space="preserve"> = 3), K-12 (</w:t>
      </w:r>
      <w:r>
        <w:rPr>
          <w:rFonts w:ascii="Times New Roman" w:hAnsi="Times New Roman"/>
          <w:b w:val="0"/>
          <w:i/>
          <w:sz w:val="24"/>
        </w:rPr>
        <w:t>k</w:t>
      </w:r>
      <w:r>
        <w:rPr>
          <w:rFonts w:ascii="Times New Roman" w:hAnsi="Times New Roman"/>
          <w:b w:val="0"/>
          <w:i w:val="0"/>
          <w:sz w:val="24"/>
        </w:rPr>
        <w:t xml:space="preserve"> = 1), and vocational (</w:t>
      </w:r>
      <w:r>
        <w:rPr>
          <w:rFonts w:ascii="Times New Roman" w:hAnsi="Times New Roman"/>
          <w:b w:val="0"/>
          <w:i/>
          <w:sz w:val="24"/>
        </w:rPr>
        <w:t>k</w:t>
      </w:r>
      <w:r>
        <w:rPr>
          <w:rFonts w:ascii="Times New Roman" w:hAnsi="Times New Roman"/>
          <w:b w:val="0"/>
          <w:i w:val="0"/>
          <w:sz w:val="24"/>
        </w:rPr>
        <w:t xml:space="preserve"> = 2) students in the sample, the academic level moderator analysis was constrained (see Table 6). Among categories with adequate representation, undergraduate students showed a significant positive effect (</w:t>
      </w:r>
      <w:r>
        <w:rPr>
          <w:rFonts w:ascii="Times New Roman" w:hAnsi="Times New Roman"/>
          <w:b w:val="0"/>
          <w:i/>
          <w:sz w:val="24"/>
        </w:rPr>
        <w:t>g</w:t>
      </w:r>
      <w:r>
        <w:rPr>
          <w:rFonts w:ascii="Times New Roman" w:hAnsi="Times New Roman"/>
          <w:b w:val="0"/>
          <w:i w:val="0"/>
          <w:sz w:val="24"/>
        </w:rPr>
        <w:t xml:space="preserve"> = 0.54, </w:t>
      </w:r>
      <w:r>
        <w:rPr>
          <w:rFonts w:ascii="Times New Roman" w:hAnsi="Times New Roman"/>
          <w:b w:val="0"/>
          <w:i/>
          <w:sz w:val="24"/>
        </w:rPr>
        <w:t>SE</w:t>
      </w:r>
      <w:r>
        <w:rPr>
          <w:rFonts w:ascii="Times New Roman" w:hAnsi="Times New Roman"/>
          <w:b w:val="0"/>
          <w:i w:val="0"/>
          <w:sz w:val="24"/>
        </w:rPr>
        <w:t xml:space="preserve"> = 0.14, 95% CI [0.25, 0.83], </w:t>
      </w:r>
      <w:r>
        <w:rPr>
          <w:rFonts w:ascii="Times New Roman" w:hAnsi="Times New Roman"/>
          <w:b w:val="0"/>
          <w:i/>
          <w:sz w:val="24"/>
        </w:rPr>
        <w:t>p</w:t>
      </w:r>
      <w:r>
        <w:rPr>
          <w:rFonts w:ascii="Times New Roman" w:hAnsi="Times New Roman"/>
          <w:b w:val="0"/>
          <w:i w:val="0"/>
          <w:sz w:val="24"/>
        </w:rPr>
        <w:t xml:space="preserve"> = .002), while studies that did not report academic level showed a larger effect (</w:t>
      </w:r>
      <w:r>
        <w:rPr>
          <w:rFonts w:ascii="Times New Roman" w:hAnsi="Times New Roman"/>
          <w:b w:val="0"/>
          <w:i/>
          <w:sz w:val="24"/>
        </w:rPr>
        <w:t>g</w:t>
      </w:r>
      <w:r>
        <w:rPr>
          <w:rFonts w:ascii="Times New Roman" w:hAnsi="Times New Roman"/>
          <w:b w:val="0"/>
          <w:i w:val="0"/>
          <w:sz w:val="24"/>
        </w:rPr>
        <w:t xml:space="preserve"> = 0.72, </w:t>
      </w:r>
      <w:r>
        <w:rPr>
          <w:rFonts w:ascii="Times New Roman" w:hAnsi="Times New Roman"/>
          <w:b w:val="0"/>
          <w:i/>
          <w:sz w:val="24"/>
        </w:rPr>
        <w:t>SE</w:t>
      </w:r>
      <w:r>
        <w:rPr>
          <w:rFonts w:ascii="Times New Roman" w:hAnsi="Times New Roman"/>
          <w:b w:val="0"/>
          <w:i w:val="0"/>
          <w:sz w:val="24"/>
        </w:rPr>
        <w:t xml:space="preserve"> = 0.10, 95% CI [0.51, 0.93], </w:t>
      </w:r>
      <w:r>
        <w:rPr>
          <w:rFonts w:ascii="Times New Roman" w:hAnsi="Times New Roman"/>
          <w:b w:val="0"/>
          <w:i/>
          <w:sz w:val="24"/>
        </w:rPr>
        <w:t>p</w:t>
      </w:r>
      <w:r>
        <w:rPr>
          <w:rFonts w:ascii="Times New Roman" w:hAnsi="Times New Roman"/>
          <w:b w:val="0"/>
          <w:i w:val="0"/>
          <w:sz w:val="24"/>
        </w:rPr>
        <w:t xml:space="preserve"> &lt; .001).</w:t>
      </w:r>
    </w:p>
    <w:p>
      <w:pPr>
        <w:spacing w:line="480" w:lineRule="auto" w:before="0" w:after="0"/>
        <w:ind w:firstLine="0"/>
        <w:jc w:val="left"/>
      </w:pPr>
      <w:r>
        <w:rPr>
          <w:rFonts w:ascii="Times New Roman" w:hAnsi="Times New Roman"/>
          <w:b/>
          <w:i/>
          <w:sz w:val="24"/>
        </w:rPr>
        <w:t>Prior Knowledge Status</w:t>
      </w:r>
    </w:p>
    <w:p>
      <w:pPr>
        <w:spacing w:line="480" w:lineRule="auto" w:before="0" w:after="0"/>
        <w:ind w:firstLine="720"/>
        <w:jc w:val="left"/>
      </w:pPr>
      <w:r>
        <w:rPr>
          <w:rFonts w:ascii="Times New Roman" w:hAnsi="Times New Roman"/>
          <w:b w:val="0"/>
          <w:i w:val="0"/>
          <w:sz w:val="24"/>
        </w:rPr>
        <w:t>Studies that controlled for prior knowledge through baseline measures, randomization, or demonstrated no significant pretest differences showed a significant effect (</w:t>
      </w:r>
      <w:r>
        <w:rPr>
          <w:rFonts w:ascii="Times New Roman" w:hAnsi="Times New Roman"/>
          <w:b w:val="0"/>
          <w:i/>
          <w:sz w:val="24"/>
        </w:rPr>
        <w:t>g</w:t>
      </w:r>
      <w:r>
        <w:rPr>
          <w:rFonts w:ascii="Times New Roman" w:hAnsi="Times New Roman"/>
          <w:b w:val="0"/>
          <w:i w:val="0"/>
          <w:sz w:val="24"/>
        </w:rPr>
        <w:t xml:space="preserve"> = 0.58, </w:t>
      </w:r>
      <w:r>
        <w:rPr>
          <w:rFonts w:ascii="Times New Roman" w:hAnsi="Times New Roman"/>
          <w:b w:val="0"/>
          <w:i/>
          <w:sz w:val="24"/>
        </w:rPr>
        <w:t>SE</w:t>
      </w:r>
      <w:r>
        <w:rPr>
          <w:rFonts w:ascii="Times New Roman" w:hAnsi="Times New Roman"/>
          <w:b w:val="0"/>
          <w:i w:val="0"/>
          <w:sz w:val="24"/>
        </w:rPr>
        <w:t xml:space="preserve"> = 0.17, 95% CI [0.22, 0.94], </w:t>
      </w:r>
      <w:r>
        <w:rPr>
          <w:rFonts w:ascii="Times New Roman" w:hAnsi="Times New Roman"/>
          <w:b w:val="0"/>
          <w:i/>
          <w:sz w:val="24"/>
        </w:rPr>
        <w:t>p</w:t>
      </w:r>
      <w:r>
        <w:rPr>
          <w:rFonts w:ascii="Times New Roman" w:hAnsi="Times New Roman"/>
          <w:b w:val="0"/>
          <w:i w:val="0"/>
          <w:sz w:val="24"/>
        </w:rPr>
        <w:t xml:space="preserve"> = .006). Studies that did not report prior knowledge status showed a slightly larger effect (</w:t>
      </w:r>
      <w:r>
        <w:rPr>
          <w:rFonts w:ascii="Times New Roman" w:hAnsi="Times New Roman"/>
          <w:b w:val="0"/>
          <w:i/>
          <w:sz w:val="24"/>
        </w:rPr>
        <w:t>g</w:t>
      </w:r>
      <w:r>
        <w:rPr>
          <w:rFonts w:ascii="Times New Roman" w:hAnsi="Times New Roman"/>
          <w:b w:val="0"/>
          <w:i w:val="0"/>
          <w:sz w:val="24"/>
        </w:rPr>
        <w:t xml:space="preserve"> = 0.67, </w:t>
      </w:r>
      <w:r>
        <w:rPr>
          <w:rFonts w:ascii="Times New Roman" w:hAnsi="Times New Roman"/>
          <w:b w:val="0"/>
          <w:i/>
          <w:sz w:val="24"/>
        </w:rPr>
        <w:t>SE</w:t>
      </w:r>
      <w:r>
        <w:rPr>
          <w:rFonts w:ascii="Times New Roman" w:hAnsi="Times New Roman"/>
          <w:b w:val="0"/>
          <w:i w:val="0"/>
          <w:sz w:val="24"/>
        </w:rPr>
        <w:t xml:space="preserve"> = 0.10, 95% CI [0.46, 0.88], </w:t>
      </w:r>
      <w:r>
        <w:rPr>
          <w:rFonts w:ascii="Times New Roman" w:hAnsi="Times New Roman"/>
          <w:b w:val="0"/>
          <w:i/>
          <w:sz w:val="24"/>
        </w:rPr>
        <w:t>p</w:t>
      </w:r>
      <w:r>
        <w:rPr>
          <w:rFonts w:ascii="Times New Roman" w:hAnsi="Times New Roman"/>
          <w:b w:val="0"/>
          <w:i w:val="0"/>
          <w:sz w:val="24"/>
        </w:rPr>
        <w:t xml:space="preserve"> &lt; .001). Both categories demonstrated significant positive effects, suggesting the overall findings are robust across different methodological approaches to controlling baseline differences.</w:t>
      </w:r>
    </w:p>
    <w:p>
      <w:pPr>
        <w:spacing w:line="480" w:lineRule="auto" w:before="240" w:after="0"/>
        <w:ind w:firstLine="0"/>
        <w:jc w:val="left"/>
      </w:pPr>
      <w:r>
        <w:rPr>
          <w:rFonts w:ascii="Times New Roman" w:hAnsi="Times New Roman"/>
          <w:b/>
          <w:i w:val="0"/>
          <w:sz w:val="24"/>
        </w:rPr>
        <w:t>Table 6</w:t>
      </w:r>
    </w:p>
    <w:p>
      <w:pPr>
        <w:spacing w:line="480" w:lineRule="auto" w:before="0" w:after="0"/>
        <w:ind w:firstLine="720"/>
        <w:jc w:val="left"/>
      </w:pPr>
      <w:r>
        <w:rPr>
          <w:rFonts w:ascii="Times New Roman" w:hAnsi="Times New Roman"/>
          <w:b w:val="0"/>
          <w:i/>
          <w:sz w:val="24"/>
        </w:rPr>
        <w:t>Moderator Analysis Results: Effects of GenAI by Participant Characteristics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170"/>
        <w:gridCol w:w="1170"/>
        <w:gridCol w:w="1170"/>
        <w:gridCol w:w="1170"/>
        <w:gridCol w:w="1170"/>
        <w:gridCol w:w="1170"/>
        <w:gridCol w:w="1170"/>
        <w:gridCol w:w="1170"/>
      </w:tblGrid>
      <w:tr>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Moderator</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Category</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*k*</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*n*</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*g*</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*SE*</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95% CI</w:t>
            </w:r>
          </w:p>
        </w:tc>
        <w:tc>
          <w:tcPr>
            <w:tcW w:type="dxa" w:w="117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*p*</w:t>
            </w:r>
          </w:p>
        </w:tc>
      </w:tr>
      <w:tr>
        <w:tc>
          <w:tcPr>
            <w:tcW w:type="dxa" w:w="1170"/>
          </w:tcPr>
          <w:p>
            <w:pPr>
              <w:spacing w:line="480" w:lineRule="auto" w:before="20" w:after="20"/>
              <w:ind w:firstLine="0"/>
              <w:jc w:val="left"/>
            </w:pPr>
            <w:r/>
            <w:r>
              <w:rPr>
                <w:rFonts w:ascii="Times New Roman" w:hAnsi="Times New Roman"/>
                <w:b/>
                <w:i w:val="0"/>
                <w:sz w:val="20"/>
              </w:rPr>
              <w:t>Academic Level</w:t>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Undergraduate</w:t>
            </w:r>
          </w:p>
        </w:tc>
        <w:tc>
          <w:tcPr>
            <w:tcW w:type="dxa" w:w="1170"/>
          </w:tcPr>
          <w:p>
            <w:pPr>
              <w:spacing w:line="480" w:lineRule="auto" w:before="20" w:after="20"/>
              <w:ind w:firstLine="0"/>
              <w:jc w:val="center"/>
            </w:pPr>
            <w:r/>
            <w:r>
              <w:rPr>
                <w:rFonts w:ascii="Times New Roman" w:hAnsi="Times New Roman"/>
                <w:b w:val="0"/>
                <w:i w:val="0"/>
                <w:sz w:val="20"/>
              </w:rPr>
              <w:t>28</w:t>
            </w:r>
          </w:p>
        </w:tc>
        <w:tc>
          <w:tcPr>
            <w:tcW w:type="dxa" w:w="1170"/>
          </w:tcPr>
          <w:p>
            <w:pPr>
              <w:spacing w:line="480" w:lineRule="auto" w:before="20" w:after="20"/>
              <w:ind w:firstLine="0"/>
              <w:jc w:val="center"/>
            </w:pPr>
            <w:r/>
            <w:r>
              <w:rPr>
                <w:rFonts w:ascii="Times New Roman" w:hAnsi="Times New Roman"/>
                <w:b w:val="0"/>
                <w:i w:val="0"/>
                <w:sz w:val="20"/>
              </w:rPr>
              <w:t>128</w:t>
            </w:r>
          </w:p>
        </w:tc>
        <w:tc>
          <w:tcPr>
            <w:tcW w:type="dxa" w:w="1170"/>
          </w:tcPr>
          <w:p>
            <w:pPr>
              <w:spacing w:line="480" w:lineRule="auto" w:before="20" w:after="20"/>
              <w:ind w:firstLine="0"/>
              <w:jc w:val="center"/>
            </w:pPr>
            <w:r/>
            <w:r>
              <w:rPr>
                <w:rFonts w:ascii="Times New Roman" w:hAnsi="Times New Roman"/>
                <w:b w:val="0"/>
                <w:i w:val="0"/>
                <w:sz w:val="20"/>
              </w:rPr>
              <w:t>0.54</w:t>
            </w:r>
          </w:p>
        </w:tc>
        <w:tc>
          <w:tcPr>
            <w:tcW w:type="dxa" w:w="1170"/>
          </w:tcPr>
          <w:p>
            <w:pPr>
              <w:spacing w:line="480" w:lineRule="auto" w:before="20" w:after="20"/>
              <w:ind w:firstLine="0"/>
              <w:jc w:val="center"/>
            </w:pPr>
            <w:r/>
            <w:r>
              <w:rPr>
                <w:rFonts w:ascii="Times New Roman" w:hAnsi="Times New Roman"/>
                <w:b w:val="0"/>
                <w:i w:val="0"/>
                <w:sz w:val="20"/>
              </w:rPr>
              <w:t>0.14</w:t>
            </w:r>
          </w:p>
        </w:tc>
        <w:tc>
          <w:tcPr>
            <w:tcW w:type="dxa" w:w="1170"/>
          </w:tcPr>
          <w:p>
            <w:pPr>
              <w:spacing w:line="480" w:lineRule="auto" w:before="20" w:after="20"/>
              <w:ind w:firstLine="0"/>
              <w:jc w:val="center"/>
            </w:pPr>
            <w:r/>
            <w:r>
              <w:rPr>
                <w:rFonts w:ascii="Times New Roman" w:hAnsi="Times New Roman"/>
                <w:b w:val="0"/>
                <w:i w:val="0"/>
                <w:sz w:val="20"/>
              </w:rPr>
              <w:t>[0.25, 0.83]</w:t>
            </w:r>
          </w:p>
        </w:tc>
        <w:tc>
          <w:tcPr>
            <w:tcW w:type="dxa" w:w="1170"/>
          </w:tcPr>
          <w:p>
            <w:pPr>
              <w:spacing w:line="480" w:lineRule="auto" w:before="20" w:after="20"/>
              <w:ind w:firstLine="0"/>
              <w:jc w:val="center"/>
            </w:pPr>
            <w:r/>
            <w:r>
              <w:rPr>
                <w:rFonts w:ascii="Times New Roman" w:hAnsi="Times New Roman"/>
                <w:b w:val="0"/>
                <w:i w:val="0"/>
                <w:sz w:val="20"/>
              </w:rPr>
              <w:t>.002</w:t>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Not Reported</w:t>
            </w:r>
          </w:p>
        </w:tc>
        <w:tc>
          <w:tcPr>
            <w:tcW w:type="dxa" w:w="1170"/>
          </w:tcPr>
          <w:p>
            <w:pPr>
              <w:spacing w:line="480" w:lineRule="auto" w:before="20" w:after="20"/>
              <w:ind w:firstLine="0"/>
              <w:jc w:val="center"/>
            </w:pPr>
            <w:r/>
            <w:r>
              <w:rPr>
                <w:rFonts w:ascii="Times New Roman" w:hAnsi="Times New Roman"/>
                <w:b w:val="0"/>
                <w:i w:val="0"/>
                <w:sz w:val="20"/>
              </w:rPr>
              <w:t>31</w:t>
            </w:r>
          </w:p>
        </w:tc>
        <w:tc>
          <w:tcPr>
            <w:tcW w:type="dxa" w:w="1170"/>
          </w:tcPr>
          <w:p>
            <w:pPr>
              <w:spacing w:line="480" w:lineRule="auto" w:before="20" w:after="20"/>
              <w:ind w:firstLine="0"/>
              <w:jc w:val="center"/>
            </w:pPr>
            <w:r/>
            <w:r>
              <w:rPr>
                <w:rFonts w:ascii="Times New Roman" w:hAnsi="Times New Roman"/>
                <w:b w:val="0"/>
                <w:i w:val="0"/>
                <w:sz w:val="20"/>
              </w:rPr>
              <w:t>216</w:t>
            </w:r>
          </w:p>
        </w:tc>
        <w:tc>
          <w:tcPr>
            <w:tcW w:type="dxa" w:w="1170"/>
          </w:tcPr>
          <w:p>
            <w:pPr>
              <w:spacing w:line="480" w:lineRule="auto" w:before="20" w:after="20"/>
              <w:ind w:firstLine="0"/>
              <w:jc w:val="center"/>
            </w:pPr>
            <w:r/>
            <w:r>
              <w:rPr>
                <w:rFonts w:ascii="Times New Roman" w:hAnsi="Times New Roman"/>
                <w:b w:val="0"/>
                <w:i w:val="0"/>
                <w:sz w:val="20"/>
              </w:rPr>
              <w:t>0.72</w:t>
            </w:r>
          </w:p>
        </w:tc>
        <w:tc>
          <w:tcPr>
            <w:tcW w:type="dxa" w:w="1170"/>
          </w:tcPr>
          <w:p>
            <w:pPr>
              <w:spacing w:line="480" w:lineRule="auto" w:before="20" w:after="20"/>
              <w:ind w:firstLine="0"/>
              <w:jc w:val="center"/>
            </w:pPr>
            <w:r/>
            <w:r>
              <w:rPr>
                <w:rFonts w:ascii="Times New Roman" w:hAnsi="Times New Roman"/>
                <w:b w:val="0"/>
                <w:i w:val="0"/>
                <w:sz w:val="20"/>
              </w:rPr>
              <w:t>0.10</w:t>
            </w:r>
          </w:p>
        </w:tc>
        <w:tc>
          <w:tcPr>
            <w:tcW w:type="dxa" w:w="1170"/>
          </w:tcPr>
          <w:p>
            <w:pPr>
              <w:spacing w:line="480" w:lineRule="auto" w:before="20" w:after="20"/>
              <w:ind w:firstLine="0"/>
              <w:jc w:val="center"/>
            </w:pPr>
            <w:r/>
            <w:r>
              <w:rPr>
                <w:rFonts w:ascii="Times New Roman" w:hAnsi="Times New Roman"/>
                <w:b w:val="0"/>
                <w:i w:val="0"/>
                <w:sz w:val="20"/>
              </w:rPr>
              <w:t>[0.51, 0.93]</w:t>
            </w:r>
          </w:p>
        </w:tc>
        <w:tc>
          <w:tcPr>
            <w:tcW w:type="dxa" w:w="1170"/>
          </w:tcPr>
          <w:p>
            <w:pPr>
              <w:spacing w:line="480" w:lineRule="auto" w:before="20" w:after="20"/>
              <w:ind w:firstLine="0"/>
              <w:jc w:val="center"/>
            </w:pPr>
            <w:r/>
            <w:r>
              <w:rPr>
                <w:rFonts w:ascii="Times New Roman" w:hAnsi="Times New Roman"/>
                <w:b w:val="0"/>
                <w:i w:val="0"/>
                <w:sz w:val="20"/>
              </w:rPr>
              <w:t>&lt; .001</w:t>
            </w:r>
          </w:p>
        </w:tc>
      </w:tr>
      <w:tr>
        <w:tc>
          <w:tcPr>
            <w:tcW w:type="dxa" w:w="1170"/>
          </w:tcPr>
          <w:p>
            <w:pPr>
              <w:spacing w:line="480" w:lineRule="auto" w:before="20" w:after="20"/>
              <w:ind w:firstLine="0"/>
              <w:jc w:val="left"/>
            </w:pPr>
            <w:r/>
            <w:r>
              <w:rPr>
                <w:rFonts w:ascii="Times New Roman" w:hAnsi="Times New Roman"/>
                <w:b/>
                <w:i w:val="0"/>
                <w:sz w:val="20"/>
              </w:rPr>
              <w:t>Prior Knowledge</w:t>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r>
          </w:p>
        </w:tc>
      </w:tr>
      <w:tr>
        <w:tc>
          <w:tcPr>
            <w:tcW w:type="dxa" w:w="1170"/>
          </w:tcPr>
          <w:p>
            <w:pPr>
              <w:spacing w:line="480" w:lineRule="auto" w:before="20" w:after="20"/>
              <w:ind w:firstLine="0"/>
              <w:jc w:val="left"/>
            </w:pPr>
            <w:r/>
            <w:r>
              <w:rPr>
                <w:rFonts w:ascii="Times New Roman" w:hAnsi="Times New Roman"/>
                <w:b w:val="0"/>
                <w:i w:val="0"/>
                <w:sz w:val="20"/>
              </w:rPr>
            </w:r>
          </w:p>
        </w:tc>
        <w:tc>
          <w:tcPr>
            <w:tcW w:type="dxa" w:w="1170"/>
          </w:tcPr>
          <w:p>
            <w:pPr>
              <w:spacing w:line="480" w:lineRule="auto" w:before="20" w:after="20"/>
              <w:ind w:firstLine="0"/>
              <w:jc w:val="center"/>
            </w:pPr>
            <w:r/>
            <w:r>
              <w:rPr>
                <w:rFonts w:ascii="Times New Roman" w:hAnsi="Times New Roman"/>
                <w:b w:val="0"/>
                <w:i w:val="0"/>
                <w:sz w:val="20"/>
              </w:rPr>
              <w:t>Controlled</w:t>
            </w:r>
          </w:p>
        </w:tc>
        <w:tc>
          <w:tcPr>
            <w:tcW w:type="dxa" w:w="1170"/>
          </w:tcPr>
          <w:p>
            <w:pPr>
              <w:spacing w:line="480" w:lineRule="auto" w:before="20" w:after="20"/>
              <w:ind w:firstLine="0"/>
              <w:jc w:val="center"/>
            </w:pPr>
            <w:r/>
            <w:r>
              <w:rPr>
                <w:rFonts w:ascii="Times New Roman" w:hAnsi="Times New Roman"/>
                <w:b w:val="0"/>
                <w:i w:val="0"/>
                <w:sz w:val="20"/>
              </w:rPr>
              <w:t>34</w:t>
            </w:r>
          </w:p>
        </w:tc>
        <w:tc>
          <w:tcPr>
            <w:tcW w:type="dxa" w:w="1170"/>
          </w:tcPr>
          <w:p>
            <w:pPr>
              <w:spacing w:line="480" w:lineRule="auto" w:before="20" w:after="20"/>
              <w:ind w:firstLine="0"/>
              <w:jc w:val="center"/>
            </w:pPr>
            <w:r/>
            <w:r>
              <w:rPr>
                <w:rFonts w:ascii="Times New Roman" w:hAnsi="Times New Roman"/>
                <w:b w:val="0"/>
                <w:i w:val="0"/>
                <w:sz w:val="20"/>
              </w:rPr>
              <w:t>158</w:t>
            </w:r>
          </w:p>
        </w:tc>
        <w:tc>
          <w:tcPr>
            <w:tcW w:type="dxa" w:w="1170"/>
          </w:tcPr>
          <w:p>
            <w:pPr>
              <w:spacing w:line="480" w:lineRule="auto" w:before="20" w:after="20"/>
              <w:ind w:firstLine="0"/>
              <w:jc w:val="center"/>
            </w:pPr>
            <w:r/>
            <w:r>
              <w:rPr>
                <w:rFonts w:ascii="Times New Roman" w:hAnsi="Times New Roman"/>
                <w:b w:val="0"/>
                <w:i w:val="0"/>
                <w:sz w:val="20"/>
              </w:rPr>
              <w:t>0.58</w:t>
            </w:r>
          </w:p>
        </w:tc>
        <w:tc>
          <w:tcPr>
            <w:tcW w:type="dxa" w:w="1170"/>
          </w:tcPr>
          <w:p>
            <w:pPr>
              <w:spacing w:line="480" w:lineRule="auto" w:before="20" w:after="20"/>
              <w:ind w:firstLine="0"/>
              <w:jc w:val="center"/>
            </w:pPr>
            <w:r/>
            <w:r>
              <w:rPr>
                <w:rFonts w:ascii="Times New Roman" w:hAnsi="Times New Roman"/>
                <w:b w:val="0"/>
                <w:i w:val="0"/>
                <w:sz w:val="20"/>
              </w:rPr>
              <w:t>0.17</w:t>
            </w:r>
          </w:p>
        </w:tc>
        <w:tc>
          <w:tcPr>
            <w:tcW w:type="dxa" w:w="1170"/>
          </w:tcPr>
          <w:p>
            <w:pPr>
              <w:spacing w:line="480" w:lineRule="auto" w:before="20" w:after="20"/>
              <w:ind w:firstLine="0"/>
              <w:jc w:val="center"/>
            </w:pPr>
            <w:r/>
            <w:r>
              <w:rPr>
                <w:rFonts w:ascii="Times New Roman" w:hAnsi="Times New Roman"/>
                <w:b w:val="0"/>
                <w:i w:val="0"/>
                <w:sz w:val="20"/>
              </w:rPr>
              <w:t>[0.22, 0.94]</w:t>
            </w:r>
          </w:p>
        </w:tc>
        <w:tc>
          <w:tcPr>
            <w:tcW w:type="dxa" w:w="1170"/>
          </w:tcPr>
          <w:p>
            <w:pPr>
              <w:spacing w:line="480" w:lineRule="auto" w:before="20" w:after="20"/>
              <w:ind w:firstLine="0"/>
              <w:jc w:val="center"/>
            </w:pPr>
            <w:r/>
            <w:r>
              <w:rPr>
                <w:rFonts w:ascii="Times New Roman" w:hAnsi="Times New Roman"/>
                <w:b w:val="0"/>
                <w:i w:val="0"/>
                <w:sz w:val="20"/>
              </w:rPr>
              <w:t>.006</w:t>
            </w:r>
          </w:p>
        </w:tc>
      </w:tr>
      <w:tr>
        <w:tc>
          <w:tcPr>
            <w:tcW w:type="dxa" w:w="1170"/>
            <w:tcBorders>
              <w:bottom w:val="single" w:sz="8" w:space="0" w:color="000000"/>
            </w:tcBorders>
          </w:tcPr>
          <w:p>
            <w:pPr>
              <w:spacing w:line="480" w:lineRule="auto" w:before="20" w:after="20"/>
              <w:ind w:firstLine="0"/>
              <w:jc w:val="left"/>
            </w:pPr>
            <w:r/>
            <w:r>
              <w:rPr>
                <w:rFonts w:ascii="Times New Roman" w:hAnsi="Times New Roman"/>
                <w:b w:val="0"/>
                <w:i w:val="0"/>
                <w:sz w:val="20"/>
              </w:rPr>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Not Reported</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31</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223</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0.67</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0.10</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[0.46, 0.88]</w:t>
            </w:r>
          </w:p>
        </w:tc>
        <w:tc>
          <w:tcPr>
            <w:tcW w:type="dxa" w:w="1170"/>
            <w:tcBorders>
              <w:bottom w:val="single" w:sz="8" w:space="0" w:color="000000"/>
            </w:tcBorders>
          </w:tcPr>
          <w:p>
            <w:pPr>
              <w:spacing w:line="480" w:lineRule="auto" w:before="20" w:after="20"/>
              <w:ind w:firstLine="0"/>
              <w:jc w:val="center"/>
            </w:pPr>
            <w:r/>
            <w:r>
              <w:rPr>
                <w:rFonts w:ascii="Times New Roman" w:hAnsi="Times New Roman"/>
                <w:b w:val="0"/>
                <w:i w:val="0"/>
                <w:sz w:val="20"/>
              </w:rPr>
              <w:t>&lt; .001</w:t>
            </w:r>
          </w:p>
        </w:tc>
      </w:tr>
    </w:tbl>
    <w:p>
      <w:pPr>
        <w:spacing w:line="480" w:lineRule="auto" w:before="0" w:after="0"/>
        <w:ind w:firstLine="720"/>
        <w:jc w:val="left"/>
      </w:pPr>
      <w:r>
        <w:rPr>
          <w:rFonts w:ascii="Times New Roman" w:hAnsi="Times New Roman"/>
          <w:b w:val="0"/>
          <w:i/>
          <w:sz w:val="24"/>
        </w:rPr>
        <w:t>Note.</w:t>
      </w:r>
      <w:r>
        <w:rPr>
          <w:rFonts w:ascii="Times New Roman" w:hAnsi="Times New Roman"/>
          <w:b w:val="0"/>
          <w:i w:val="0"/>
          <w:sz w:val="24"/>
        </w:rPr>
        <w:t xml:space="preserve"> </w:t>
      </w:r>
      <w:r>
        <w:rPr>
          <w:rFonts w:ascii="Times New Roman" w:hAnsi="Times New Roman"/>
          <w:b w:val="0"/>
          <w:i/>
          <w:sz w:val="24"/>
        </w:rPr>
        <w:t>k</w:t>
      </w:r>
      <w:r>
        <w:rPr>
          <w:rFonts w:ascii="Times New Roman" w:hAnsi="Times New Roman"/>
          <w:b w:val="0"/>
          <w:i w:val="0"/>
          <w:sz w:val="24"/>
        </w:rPr>
        <w:t xml:space="preserve"> = number of studies; </w:t>
      </w:r>
      <w:r>
        <w:rPr>
          <w:rFonts w:ascii="Times New Roman" w:hAnsi="Times New Roman"/>
          <w:b w:val="0"/>
          <w:i/>
          <w:sz w:val="24"/>
        </w:rPr>
        <w:t>n</w:t>
      </w:r>
      <w:r>
        <w:rPr>
          <w:rFonts w:ascii="Times New Roman" w:hAnsi="Times New Roman"/>
          <w:b w:val="0"/>
          <w:i w:val="0"/>
          <w:sz w:val="24"/>
        </w:rPr>
        <w:t xml:space="preserve"> = number of effect sizes; </w:t>
      </w:r>
      <w:r>
        <w:rPr>
          <w:rFonts w:ascii="Times New Roman" w:hAnsi="Times New Roman"/>
          <w:b w:val="0"/>
          <w:i/>
          <w:sz w:val="24"/>
        </w:rPr>
        <w:t>g</w:t>
      </w:r>
      <w:r>
        <w:rPr>
          <w:rFonts w:ascii="Times New Roman" w:hAnsi="Times New Roman"/>
          <w:b w:val="0"/>
          <w:i w:val="0"/>
          <w:sz w:val="24"/>
        </w:rPr>
        <w:t xml:space="preserve"> = Hedges' </w:t>
      </w:r>
      <w:r>
        <w:rPr>
          <w:rFonts w:ascii="Times New Roman" w:hAnsi="Times New Roman"/>
          <w:b w:val="0"/>
          <w:i/>
          <w:sz w:val="24"/>
        </w:rPr>
        <w:t>g</w:t>
      </w:r>
      <w:r>
        <w:rPr>
          <w:rFonts w:ascii="Times New Roman" w:hAnsi="Times New Roman"/>
          <w:b w:val="0"/>
          <w:i w:val="0"/>
          <w:sz w:val="24"/>
        </w:rPr>
        <w:t xml:space="preserve">; </w:t>
      </w:r>
      <w:r>
        <w:rPr>
          <w:rFonts w:ascii="Times New Roman" w:hAnsi="Times New Roman"/>
          <w:b w:val="0"/>
          <w:i/>
          <w:sz w:val="24"/>
        </w:rPr>
        <w:t>SE</w:t>
      </w:r>
      <w:r>
        <w:rPr>
          <w:rFonts w:ascii="Times New Roman" w:hAnsi="Times New Roman"/>
          <w:b w:val="0"/>
          <w:i w:val="0"/>
          <w:sz w:val="24"/>
        </w:rPr>
        <w:t xml:space="preserve"> = robust standard error; CI = confidence interval. Academic level categories with fewer than 5 effect sizes (Graduate: </w:t>
      </w:r>
      <w:r>
        <w:rPr>
          <w:rFonts w:ascii="Times New Roman" w:hAnsi="Times New Roman"/>
          <w:b w:val="0"/>
          <w:i/>
          <w:sz w:val="24"/>
        </w:rPr>
        <w:t>k</w:t>
      </w:r>
      <w:r>
        <w:rPr>
          <w:rFonts w:ascii="Times New Roman" w:hAnsi="Times New Roman"/>
          <w:b w:val="0"/>
          <w:i w:val="0"/>
          <w:sz w:val="24"/>
        </w:rPr>
        <w:t xml:space="preserve"> = 3; K-12: </w:t>
      </w:r>
      <w:r>
        <w:rPr>
          <w:rFonts w:ascii="Times New Roman" w:hAnsi="Times New Roman"/>
          <w:b w:val="0"/>
          <w:i/>
          <w:sz w:val="24"/>
        </w:rPr>
        <w:t>k</w:t>
      </w:r>
      <w:r>
        <w:rPr>
          <w:rFonts w:ascii="Times New Roman" w:hAnsi="Times New Roman"/>
          <w:b w:val="0"/>
          <w:i w:val="0"/>
          <w:sz w:val="24"/>
        </w:rPr>
        <w:t xml:space="preserve"> = 1; Vocational: </w:t>
      </w:r>
      <w:r>
        <w:rPr>
          <w:rFonts w:ascii="Times New Roman" w:hAnsi="Times New Roman"/>
          <w:b w:val="0"/>
          <w:i/>
          <w:sz w:val="24"/>
        </w:rPr>
        <w:t>k</w:t>
      </w:r>
      <w:r>
        <w:rPr>
          <w:rFonts w:ascii="Times New Roman" w:hAnsi="Times New Roman"/>
          <w:b w:val="0"/>
          <w:i w:val="0"/>
          <w:sz w:val="24"/>
        </w:rPr>
        <w:t xml:space="preserve"> = 2) excluded from analysis due to insufficient data for reliable estimation.</w:t>
      </w:r>
    </w:p>
    <w:p>
      <w:pPr>
        <w:spacing w:line="480" w:lineRule="auto" w:before="0" w:after="0"/>
        <w:ind w:firstLine="0"/>
        <w:jc w:val="left"/>
      </w:pPr>
      <w:r>
        <w:rPr>
          <w:rFonts w:ascii="Times New Roman" w:hAnsi="Times New Roman"/>
          <w:b/>
          <w:i/>
          <w:sz w:val="24"/>
        </w:rPr>
        <w:t>Study Design</w:t>
      </w:r>
    </w:p>
    <w:p>
      <w:pPr>
        <w:spacing w:line="480" w:lineRule="auto" w:before="0" w:after="0"/>
        <w:ind w:firstLine="720"/>
        <w:jc w:val="left"/>
      </w:pPr>
      <w:r>
        <w:rPr>
          <w:rFonts w:ascii="Times New Roman" w:hAnsi="Times New Roman"/>
          <w:b w:val="0"/>
          <w:i w:val="0"/>
          <w:sz w:val="24"/>
        </w:rPr>
        <w:t xml:space="preserve">Study design did not significantly moderate effects. Randomized controlled trials yielded </w:t>
      </w:r>
      <w:r>
        <w:rPr>
          <w:rFonts w:ascii="Times New Roman" w:hAnsi="Times New Roman"/>
          <w:b w:val="0"/>
          <w:i/>
          <w:sz w:val="24"/>
        </w:rPr>
        <w:t>g</w:t>
      </w:r>
      <w:r>
        <w:rPr>
          <w:rFonts w:ascii="Times New Roman" w:hAnsi="Times New Roman"/>
          <w:b w:val="0"/>
          <w:i w:val="0"/>
          <w:sz w:val="24"/>
        </w:rPr>
        <w:t xml:space="preserve"> = 0.587, 95% CI [0.342, 0.832], </w:t>
      </w:r>
      <w:r>
        <w:rPr>
          <w:rFonts w:ascii="Times New Roman" w:hAnsi="Times New Roman"/>
          <w:b w:val="0"/>
          <w:i/>
          <w:sz w:val="24"/>
        </w:rPr>
        <w:t>k</w:t>
      </w:r>
      <w:r>
        <w:rPr>
          <w:rFonts w:ascii="Times New Roman" w:hAnsi="Times New Roman"/>
          <w:b w:val="0"/>
          <w:i w:val="0"/>
          <w:sz w:val="24"/>
        </w:rPr>
        <w:t xml:space="preserve"> = 242, comparable to quasi-experimental studies, </w:t>
      </w:r>
      <w:r>
        <w:rPr>
          <w:rFonts w:ascii="Times New Roman" w:hAnsi="Times New Roman"/>
          <w:b w:val="0"/>
          <w:i/>
          <w:sz w:val="24"/>
        </w:rPr>
        <w:t>g</w:t>
      </w:r>
      <w:r>
        <w:rPr>
          <w:rFonts w:ascii="Times New Roman" w:hAnsi="Times New Roman"/>
          <w:b w:val="0"/>
          <w:i w:val="0"/>
          <w:sz w:val="24"/>
        </w:rPr>
        <w:t xml:space="preserve"> = 0.672, 95% CI [0.378, 0.966], </w:t>
      </w:r>
      <w:r>
        <w:rPr>
          <w:rFonts w:ascii="Times New Roman" w:hAnsi="Times New Roman"/>
          <w:b w:val="0"/>
          <w:i/>
          <w:sz w:val="24"/>
        </w:rPr>
        <w:t>k</w:t>
      </w:r>
      <w:r>
        <w:rPr>
          <w:rFonts w:ascii="Times New Roman" w:hAnsi="Times New Roman"/>
          <w:b w:val="0"/>
          <w:i w:val="0"/>
          <w:sz w:val="24"/>
        </w:rPr>
        <w:t xml:space="preserve"> = 139. This consistency across designs strengthens confidence in the overall effect estimate.</w:t>
      </w:r>
    </w:p>
    <w:p>
      <w:pPr>
        <w:spacing w:line="480" w:lineRule="auto" w:before="0" w:after="0"/>
        <w:ind w:firstLine="0"/>
        <w:jc w:val="left"/>
      </w:pPr>
      <w:r>
        <w:rPr>
          <w:rFonts w:ascii="Times New Roman" w:hAnsi="Times New Roman"/>
          <w:b/>
          <w:i w:val="0"/>
          <w:sz w:val="24"/>
        </w:rPr>
        <w:t>Publication Bias Assessment</w:t>
      </w:r>
    </w:p>
    <w:p>
      <w:pPr>
        <w:spacing w:line="480" w:lineRule="auto" w:before="0" w:after="0"/>
        <w:ind w:firstLine="720"/>
        <w:jc w:val="left"/>
      </w:pPr>
      <w:r>
        <w:rPr>
          <w:rFonts w:ascii="Times New Roman" w:hAnsi="Times New Roman"/>
          <w:b w:val="0"/>
          <w:i w:val="0"/>
          <w:sz w:val="24"/>
        </w:rPr>
        <w:t xml:space="preserve">Funnel plot inspection (Figure 4) revealed slight asymmetry. The Precision-Effect Test yielded an intercept of -0.583, 95% CI [-1.198, 0.032], </w:t>
      </w:r>
      <w:r>
        <w:rPr>
          <w:rFonts w:ascii="Times New Roman" w:hAnsi="Times New Roman"/>
          <w:b w:val="0"/>
          <w:i/>
          <w:sz w:val="24"/>
        </w:rPr>
        <w:t>t</w:t>
      </w:r>
      <w:r>
        <w:rPr>
          <w:rFonts w:ascii="Times New Roman" w:hAnsi="Times New Roman"/>
          <w:b w:val="0"/>
          <w:i w:val="0"/>
          <w:sz w:val="24"/>
        </w:rPr>
        <w:t xml:space="preserve">(379) = -1.86, </w:t>
      </w:r>
      <w:r>
        <w:rPr>
          <w:rFonts w:ascii="Times New Roman" w:hAnsi="Times New Roman"/>
          <w:b w:val="0"/>
          <w:i/>
          <w:sz w:val="24"/>
        </w:rPr>
        <w:t>p</w:t>
      </w:r>
      <w:r>
        <w:rPr>
          <w:rFonts w:ascii="Times New Roman" w:hAnsi="Times New Roman"/>
          <w:b w:val="0"/>
          <w:i w:val="0"/>
          <w:sz w:val="24"/>
        </w:rPr>
        <w:t xml:space="preserve"> = .064, indicating no significant small-study bias. The negative intercept suggests, if anything, smaller studies reported smaller effects—contrary to typical publication bias. PET-PEESE conditional estimation, given nonsignificant PET, yielded a bias-corrected estimate of </w:t>
      </w:r>
      <w:r>
        <w:rPr>
          <w:rFonts w:ascii="Times New Roman" w:hAnsi="Times New Roman"/>
          <w:b w:val="0"/>
          <w:i/>
          <w:sz w:val="24"/>
        </w:rPr>
        <w:t>g</w:t>
      </w:r>
      <w:r>
        <w:rPr>
          <w:rFonts w:ascii="Times New Roman" w:hAnsi="Times New Roman"/>
          <w:b w:val="0"/>
          <w:i w:val="0"/>
          <w:sz w:val="24"/>
        </w:rPr>
        <w:t xml:space="preserve"> = 0.736 (unchanged). Trim-and-fill analysis imputed no additional studies (k₀ = 0). Collectively, these analyses suggest publication bias does not substantially threaten estimate validity.</w:t>
      </w:r>
    </w:p>
    <w:p>
      <w:pPr>
        <w:spacing w:line="480" w:lineRule="auto" w:before="240" w:after="240"/>
        <w:ind w:firstLine="0"/>
        <w:jc w:val="center"/>
      </w:pPr>
      <w:r>
        <w:rPr>
          <w:rFonts w:ascii="Times New Roman" w:hAnsi="Times New Roman"/>
          <w:b w:val="0"/>
          <w:i/>
          <w:sz w:val="24"/>
        </w:rPr>
        <w:t>Insert Figure 4 about here</w:t>
      </w:r>
    </w:p>
    <w:p>
      <w:pPr>
        <w:spacing w:line="480" w:lineRule="auto" w:before="0" w:after="0"/>
        <w:ind w:firstLine="0"/>
        <w:jc w:val="left"/>
      </w:pPr>
      <w:r>
        <w:rPr>
          <w:rFonts w:ascii="Times New Roman" w:hAnsi="Times New Roman"/>
          <w:b/>
          <w:i w:val="0"/>
          <w:sz w:val="24"/>
        </w:rPr>
        <w:t>Sensitivity Analyses</w:t>
      </w:r>
    </w:p>
    <w:p>
      <w:pPr>
        <w:spacing w:line="480" w:lineRule="auto" w:before="0" w:after="0"/>
        <w:ind w:firstLine="720"/>
        <w:jc w:val="left"/>
      </w:pPr>
      <w:r>
        <w:rPr>
          <w:rFonts w:ascii="Times New Roman" w:hAnsi="Times New Roman"/>
          <w:b w:val="0"/>
          <w:i w:val="0"/>
          <w:sz w:val="24"/>
        </w:rPr>
        <w:t xml:space="preserve">Leave-one-out analysis showed the pooled effect remained stable when each study was excluded individually, ranging from </w:t>
      </w:r>
      <w:r>
        <w:rPr>
          <w:rFonts w:ascii="Times New Roman" w:hAnsi="Times New Roman"/>
          <w:b w:val="0"/>
          <w:i/>
          <w:sz w:val="24"/>
        </w:rPr>
        <w:t>g</w:t>
      </w:r>
      <w:r>
        <w:rPr>
          <w:rFonts w:ascii="Times New Roman" w:hAnsi="Times New Roman"/>
          <w:b w:val="0"/>
          <w:i w:val="0"/>
          <w:sz w:val="24"/>
        </w:rPr>
        <w:t xml:space="preserve"> = 0.598 to </w:t>
      </w:r>
      <w:r>
        <w:rPr>
          <w:rFonts w:ascii="Times New Roman" w:hAnsi="Times New Roman"/>
          <w:b w:val="0"/>
          <w:i/>
          <w:sz w:val="24"/>
        </w:rPr>
        <w:t>g</w:t>
      </w:r>
      <w:r>
        <w:rPr>
          <w:rFonts w:ascii="Times New Roman" w:hAnsi="Times New Roman"/>
          <w:b w:val="0"/>
          <w:i w:val="0"/>
          <w:sz w:val="24"/>
        </w:rPr>
        <w:t xml:space="preserve"> = 0.647. Maximum likelihood estimation yielded nearly identical results (</w:t>
      </w:r>
      <w:r>
        <w:rPr>
          <w:rFonts w:ascii="Times New Roman" w:hAnsi="Times New Roman"/>
          <w:b w:val="0"/>
          <w:i/>
          <w:sz w:val="24"/>
        </w:rPr>
        <w:t>g</w:t>
      </w:r>
      <w:r>
        <w:rPr>
          <w:rFonts w:ascii="Times New Roman" w:hAnsi="Times New Roman"/>
          <w:b w:val="0"/>
          <w:i w:val="0"/>
          <w:sz w:val="24"/>
        </w:rPr>
        <w:t xml:space="preserve"> = 0.625). Restricting analysis to RCTs only produced </w:t>
      </w:r>
      <w:r>
        <w:rPr>
          <w:rFonts w:ascii="Times New Roman" w:hAnsi="Times New Roman"/>
          <w:b w:val="0"/>
          <w:i/>
          <w:sz w:val="24"/>
        </w:rPr>
        <w:t>g</w:t>
      </w:r>
      <w:r>
        <w:rPr>
          <w:rFonts w:ascii="Times New Roman" w:hAnsi="Times New Roman"/>
          <w:b w:val="0"/>
          <w:i w:val="0"/>
          <w:sz w:val="24"/>
        </w:rPr>
        <w:t xml:space="preserve"> = 0.587, 95% CI [0.342, 0.832], consistent with the overall estimate. Analysis excluding (rather than winsorizing) outliers yielded </w:t>
      </w:r>
      <w:r>
        <w:rPr>
          <w:rFonts w:ascii="Times New Roman" w:hAnsi="Times New Roman"/>
          <w:b w:val="0"/>
          <w:i/>
          <w:sz w:val="24"/>
        </w:rPr>
        <w:t>g</w:t>
      </w:r>
      <w:r>
        <w:rPr>
          <w:rFonts w:ascii="Times New Roman" w:hAnsi="Times New Roman"/>
          <w:b w:val="0"/>
          <w:i w:val="0"/>
          <w:sz w:val="24"/>
        </w:rPr>
        <w:t xml:space="preserve"> = 0.601, 95% CI [0.378, 0.824], confirming robustness.</w:t>
      </w:r>
    </w:p>
    <w:p>
      <w:pPr>
        <w:spacing w:line="480" w:lineRule="auto" w:before="0" w:after="0"/>
        <w:ind w:firstLine="0"/>
        <w:jc w:val="center"/>
      </w:pPr>
      <w:r>
        <w:rPr>
          <w:rFonts w:ascii="Times New Roman" w:hAnsi="Times New Roman"/>
          <w:b/>
          <w:i w:val="0"/>
          <w:sz w:val="24"/>
        </w:rPr>
        <w:t>Discussion</w:t>
      </w:r>
    </w:p>
    <w:p>
      <w:pPr>
        <w:spacing w:line="480" w:lineRule="auto" w:before="0" w:after="0"/>
        <w:ind w:firstLine="720"/>
        <w:jc w:val="left"/>
      </w:pPr>
      <w:r>
        <w:rPr>
          <w:rFonts w:ascii="Times New Roman" w:hAnsi="Times New Roman"/>
          <w:b w:val="0"/>
          <w:i w:val="0"/>
          <w:sz w:val="24"/>
        </w:rPr>
        <w:t>This pre-registered three-level meta-analysis provides the most comprehensive synthesis to date of GenAI effectiveness specifically in higher education contexts. Synthesizing evidence from 60 studies with 343 effect sizes and 7,918 participants, we found a medium-to-large overall effect (</w:t>
      </w:r>
      <w:r>
        <w:rPr>
          <w:rFonts w:ascii="Times New Roman" w:hAnsi="Times New Roman"/>
          <w:b w:val="0"/>
          <w:i/>
          <w:sz w:val="24"/>
        </w:rPr>
        <w:t>g</w:t>
      </w:r>
      <w:r>
        <w:rPr>
          <w:rFonts w:ascii="Times New Roman" w:hAnsi="Times New Roman"/>
          <w:b w:val="0"/>
          <w:i w:val="0"/>
          <w:sz w:val="24"/>
        </w:rPr>
        <w:t xml:space="preserve"> = 0.736) supporting GenAI as an effective pedagogical tool. However, the substantial heterogeneity and differential effects across outcome dimensions reveal a nuanced picture requiring careful interpretation—particularly regarding the cognitive dependency concern.</w:t>
      </w:r>
    </w:p>
    <w:p>
      <w:pPr>
        <w:spacing w:line="480" w:lineRule="auto" w:before="0" w:after="0"/>
        <w:ind w:firstLine="0"/>
        <w:jc w:val="left"/>
      </w:pPr>
      <w:r>
        <w:rPr>
          <w:rFonts w:ascii="Times New Roman" w:hAnsi="Times New Roman"/>
          <w:b/>
          <w:i w:val="0"/>
          <w:sz w:val="24"/>
        </w:rPr>
        <w:t>Summary of Findings</w:t>
      </w:r>
    </w:p>
    <w:p>
      <w:pPr>
        <w:spacing w:line="480" w:lineRule="auto" w:before="0" w:after="0"/>
        <w:ind w:firstLine="720"/>
        <w:jc w:val="left"/>
      </w:pPr>
      <w:r>
        <w:rPr>
          <w:rFonts w:ascii="Times New Roman" w:hAnsi="Times New Roman"/>
          <w:b w:val="0"/>
          <w:i w:val="0"/>
          <w:sz w:val="24"/>
        </w:rPr>
        <w:t xml:space="preserve">Three of four hypotheses received support. Hypothesis 1 was strongly supported: GenAI produced significant positive effects on learning outcomes. Hypothesis 2 received partial support: behavioral and affective outcomes showed positive effects, though confidence intervals overlapped with cognitive outcomes. </w:t>
      </w:r>
      <w:r>
        <w:rPr>
          <w:rFonts w:ascii="Times New Roman" w:hAnsi="Times New Roman"/>
          <w:b/>
          <w:i w:val="0"/>
          <w:sz w:val="24"/>
        </w:rPr>
        <w:t>Hypothesis 3 was strongly supported: metacognitive outcomes showed notably smaller, non-significant effects (*g* = 0.28)</w:t>
      </w:r>
      <w:r>
        <w:rPr>
          <w:rFonts w:ascii="Times New Roman" w:hAnsi="Times New Roman"/>
          <w:b w:val="0"/>
          <w:i w:val="0"/>
          <w:sz w:val="24"/>
        </w:rPr>
        <w:t>, consistent with the cognitive dependency hypothesis derived from theoretical integration. Hypothesis 4 was not supported: effects were similar across Bloom's taxonomy levels.</w:t>
      </w:r>
    </w:p>
    <w:p>
      <w:pPr>
        <w:spacing w:line="480" w:lineRule="auto" w:before="0" w:after="0"/>
        <w:ind w:firstLine="0"/>
        <w:jc w:val="left"/>
      </w:pPr>
      <w:r>
        <w:rPr>
          <w:rFonts w:ascii="Times New Roman" w:hAnsi="Times New Roman"/>
          <w:b/>
          <w:i w:val="0"/>
          <w:sz w:val="24"/>
        </w:rPr>
        <w:t>Theoretical Implications</w:t>
      </w:r>
    </w:p>
    <w:p>
      <w:pPr>
        <w:spacing w:line="480" w:lineRule="auto" w:before="0" w:after="0"/>
        <w:ind w:firstLine="0"/>
        <w:jc w:val="left"/>
      </w:pPr>
      <w:r>
        <w:rPr>
          <w:rFonts w:ascii="Times New Roman" w:hAnsi="Times New Roman"/>
          <w:b/>
          <w:i/>
          <w:sz w:val="24"/>
        </w:rPr>
        <w:t>The Cognitive Dependency Concern</w:t>
      </w:r>
    </w:p>
    <w:p>
      <w:pPr>
        <w:spacing w:line="480" w:lineRule="auto" w:before="0" w:after="0"/>
        <w:ind w:firstLine="720"/>
        <w:jc w:val="left"/>
      </w:pPr>
      <w:r>
        <w:rPr>
          <w:rFonts w:ascii="Times New Roman" w:hAnsi="Times New Roman"/>
          <w:b w:val="0"/>
          <w:i w:val="0"/>
          <w:sz w:val="24"/>
        </w:rPr>
        <w:t xml:space="preserve">The most theoretically significant finding is the </w:t>
      </w:r>
      <w:r>
        <w:rPr>
          <w:rFonts w:ascii="Times New Roman" w:hAnsi="Times New Roman"/>
          <w:b/>
          <w:i w:val="0"/>
          <w:sz w:val="24"/>
        </w:rPr>
        <w:t>attenuated metacognitive effect</w:t>
      </w:r>
      <w:r>
        <w:rPr>
          <w:rFonts w:ascii="Times New Roman" w:hAnsi="Times New Roman"/>
          <w:b w:val="0"/>
          <w:i w:val="0"/>
          <w:sz w:val="24"/>
        </w:rPr>
        <w:t xml:space="preserve"> (</w:t>
      </w:r>
      <w:r>
        <w:rPr>
          <w:rFonts w:ascii="Times New Roman" w:hAnsi="Times New Roman"/>
          <w:b w:val="0"/>
          <w:i/>
          <w:sz w:val="24"/>
        </w:rPr>
        <w:t>g</w:t>
      </w:r>
      <w:r>
        <w:rPr>
          <w:rFonts w:ascii="Times New Roman" w:hAnsi="Times New Roman"/>
          <w:b w:val="0"/>
          <w:i w:val="0"/>
          <w:sz w:val="24"/>
        </w:rPr>
        <w:t xml:space="preserve"> = 0.28, </w:t>
      </w:r>
      <w:r>
        <w:rPr>
          <w:rFonts w:ascii="Times New Roman" w:hAnsi="Times New Roman"/>
          <w:b w:val="0"/>
          <w:i/>
          <w:sz w:val="24"/>
        </w:rPr>
        <w:t>p</w:t>
      </w:r>
      <w:r>
        <w:rPr>
          <w:rFonts w:ascii="Times New Roman" w:hAnsi="Times New Roman"/>
          <w:b w:val="0"/>
          <w:i w:val="0"/>
          <w:sz w:val="24"/>
        </w:rPr>
        <w:t xml:space="preserve"> = .287), which provides empirical support for the cognitive dependency hypothesis derived from our theoretical framework. This pattern has important implications across multiple theoretical perspectives:</w:t>
      </w:r>
    </w:p>
    <w:p>
      <w:pPr>
        <w:spacing w:line="480" w:lineRule="auto" w:before="0" w:after="0"/>
        <w:ind w:firstLine="720"/>
        <w:jc w:val="left"/>
      </w:pPr>
      <w:r>
        <w:rPr>
          <w:rFonts w:ascii="Times New Roman" w:hAnsi="Times New Roman"/>
          <w:b w:val="0"/>
          <w:i w:val="0"/>
          <w:sz w:val="24"/>
        </w:rPr>
        <w:t xml:space="preserve">From a </w:t>
      </w:r>
      <w:r>
        <w:rPr>
          <w:rFonts w:ascii="Times New Roman" w:hAnsi="Times New Roman"/>
          <w:b/>
          <w:i w:val="0"/>
          <w:sz w:val="24"/>
        </w:rPr>
        <w:t>Cognitive Load Theory</w:t>
      </w:r>
      <w:r>
        <w:rPr>
          <w:rFonts w:ascii="Times New Roman" w:hAnsi="Times New Roman"/>
          <w:b w:val="0"/>
          <w:i w:val="0"/>
          <w:sz w:val="24"/>
        </w:rPr>
        <w:t xml:space="preserve"> perspective, GenAI may be reducing cognitive load so effectively that students do not engage in the effortful processing necessary for schema construction. While reduced extraneous load benefits immediate performance, the metacognitive processes of planning, monitoring, and self-evaluation may themselves require cognitive effort to develop as internalized capabilities.</w:t>
      </w:r>
    </w:p>
    <w:p>
      <w:pPr>
        <w:spacing w:line="480" w:lineRule="auto" w:before="0" w:after="0"/>
        <w:ind w:firstLine="720"/>
        <w:jc w:val="left"/>
      </w:pPr>
      <w:r>
        <w:rPr>
          <w:rFonts w:ascii="Times New Roman" w:hAnsi="Times New Roman"/>
          <w:b w:val="0"/>
          <w:i w:val="0"/>
          <w:sz w:val="24"/>
        </w:rPr>
        <w:t xml:space="preserve">From a </w:t>
      </w:r>
      <w:r>
        <w:rPr>
          <w:rFonts w:ascii="Times New Roman" w:hAnsi="Times New Roman"/>
          <w:b/>
          <w:i w:val="0"/>
          <w:sz w:val="24"/>
        </w:rPr>
        <w:t>Self-Regulated Learning</w:t>
      </w:r>
      <w:r>
        <w:rPr>
          <w:rFonts w:ascii="Times New Roman" w:hAnsi="Times New Roman"/>
          <w:b w:val="0"/>
          <w:i w:val="0"/>
          <w:sz w:val="24"/>
        </w:rPr>
        <w:t xml:space="preserve"> perspective, the asymmetry between cognitive performance benefits (</w:t>
      </w:r>
      <w:r>
        <w:rPr>
          <w:rFonts w:ascii="Times New Roman" w:hAnsi="Times New Roman"/>
          <w:b w:val="0"/>
          <w:i/>
          <w:sz w:val="24"/>
        </w:rPr>
        <w:t>g</w:t>
      </w:r>
      <w:r>
        <w:rPr>
          <w:rFonts w:ascii="Times New Roman" w:hAnsi="Times New Roman"/>
          <w:b w:val="0"/>
          <w:i w:val="0"/>
          <w:sz w:val="24"/>
        </w:rPr>
        <w:t xml:space="preserve"> = 0.64) and metacognitive skill development (</w:t>
      </w:r>
      <w:r>
        <w:rPr>
          <w:rFonts w:ascii="Times New Roman" w:hAnsi="Times New Roman"/>
          <w:b w:val="0"/>
          <w:i/>
          <w:sz w:val="24"/>
        </w:rPr>
        <w:t>g</w:t>
      </w:r>
      <w:r>
        <w:rPr>
          <w:rFonts w:ascii="Times New Roman" w:hAnsi="Times New Roman"/>
          <w:b w:val="0"/>
          <w:i w:val="0"/>
          <w:sz w:val="24"/>
        </w:rPr>
        <w:t xml:space="preserve"> = 0.28) confirms the concern that GenAI supports the </w:t>
      </w:r>
      <w:r>
        <w:rPr>
          <w:rFonts w:ascii="Times New Roman" w:hAnsi="Times New Roman"/>
          <w:b w:val="0"/>
          <w:i/>
          <w:sz w:val="24"/>
        </w:rPr>
        <w:t>execution</w:t>
      </w:r>
      <w:r>
        <w:rPr>
          <w:rFonts w:ascii="Times New Roman" w:hAnsi="Times New Roman"/>
          <w:b w:val="0"/>
          <w:i w:val="0"/>
          <w:sz w:val="24"/>
        </w:rPr>
        <w:t xml:space="preserve"> of learning activities without supporting the </w:t>
      </w:r>
      <w:r>
        <w:rPr>
          <w:rFonts w:ascii="Times New Roman" w:hAnsi="Times New Roman"/>
          <w:b w:val="0"/>
          <w:i/>
          <w:sz w:val="24"/>
        </w:rPr>
        <w:t>metacognitive control</w:t>
      </w:r>
      <w:r>
        <w:rPr>
          <w:rFonts w:ascii="Times New Roman" w:hAnsi="Times New Roman"/>
          <w:b w:val="0"/>
          <w:i w:val="0"/>
          <w:sz w:val="24"/>
        </w:rPr>
        <w:t xml:space="preserve"> of those activities. Students learn to use AI for feedback and monitoring but do not develop independent self-regulatory capabilities.</w:t>
      </w:r>
    </w:p>
    <w:p>
      <w:pPr>
        <w:spacing w:line="480" w:lineRule="auto" w:before="0" w:after="0"/>
        <w:ind w:firstLine="720"/>
        <w:jc w:val="left"/>
      </w:pPr>
      <w:r>
        <w:rPr>
          <w:rFonts w:ascii="Times New Roman" w:hAnsi="Times New Roman"/>
          <w:b w:val="0"/>
          <w:i w:val="0"/>
          <w:sz w:val="24"/>
        </w:rPr>
        <w:t xml:space="preserve">From a </w:t>
      </w:r>
      <w:r>
        <w:rPr>
          <w:rFonts w:ascii="Times New Roman" w:hAnsi="Times New Roman"/>
          <w:b/>
          <w:i w:val="0"/>
          <w:sz w:val="24"/>
        </w:rPr>
        <w:t>Sociocultural</w:t>
      </w:r>
      <w:r>
        <w:rPr>
          <w:rFonts w:ascii="Times New Roman" w:hAnsi="Times New Roman"/>
          <w:b w:val="0"/>
          <w:i w:val="0"/>
          <w:sz w:val="24"/>
        </w:rPr>
        <w:t xml:space="preserve"> perspective, this pattern suggests scaffolding without internalization. Effective scaffolding should be gradually faded as learners develop competence; constant AI scaffolding may prevent the internalization process that transforms assisted performance into independent capability.</w:t>
      </w:r>
    </w:p>
    <w:p>
      <w:pPr>
        <w:spacing w:line="480" w:lineRule="auto" w:before="0" w:after="0"/>
        <w:ind w:firstLine="720"/>
        <w:jc w:val="left"/>
      </w:pPr>
      <w:r>
        <w:rPr>
          <w:rFonts w:ascii="Times New Roman" w:hAnsi="Times New Roman"/>
          <w:b w:val="0"/>
          <w:i w:val="0"/>
          <w:sz w:val="24"/>
        </w:rPr>
        <w:t xml:space="preserve">From a </w:t>
      </w:r>
      <w:r>
        <w:rPr>
          <w:rFonts w:ascii="Times New Roman" w:hAnsi="Times New Roman"/>
          <w:b/>
          <w:i w:val="0"/>
          <w:sz w:val="24"/>
        </w:rPr>
        <w:t>Self-Determination Theory</w:t>
      </w:r>
      <w:r>
        <w:rPr>
          <w:rFonts w:ascii="Times New Roman" w:hAnsi="Times New Roman"/>
          <w:b w:val="0"/>
          <w:i w:val="0"/>
          <w:sz w:val="24"/>
        </w:rPr>
        <w:t xml:space="preserve"> perspective, the cognitive dependency pattern raises concerns about long-term competence need satisfaction. If students attribute their success to AI assistance rather than their own developing capabilities, they may experience diminished sense of competence and reduced intrinsic motivation over time.</w:t>
      </w:r>
    </w:p>
    <w:p>
      <w:pPr>
        <w:spacing w:line="480" w:lineRule="auto" w:before="0" w:after="0"/>
        <w:ind w:firstLine="720"/>
        <w:jc w:val="left"/>
      </w:pPr>
      <w:r>
        <w:rPr>
          <w:rFonts w:ascii="Times New Roman" w:hAnsi="Times New Roman"/>
          <w:b w:val="0"/>
          <w:i w:val="0"/>
          <w:sz w:val="24"/>
        </w:rPr>
        <w:t xml:space="preserve">From an </w:t>
      </w:r>
      <w:r>
        <w:rPr>
          <w:rFonts w:ascii="Times New Roman" w:hAnsi="Times New Roman"/>
          <w:b/>
          <w:i w:val="0"/>
          <w:sz w:val="24"/>
        </w:rPr>
        <w:t>Automation Bias</w:t>
      </w:r>
      <w:r>
        <w:rPr>
          <w:rFonts w:ascii="Times New Roman" w:hAnsi="Times New Roman"/>
          <w:b w:val="0"/>
          <w:i w:val="0"/>
          <w:sz w:val="24"/>
        </w:rPr>
        <w:t xml:space="preserve"> perspective, the pattern suggests that students may be accepting AI outputs uncritically, reducing the vigilance and verification behaviors essential for independent learning (Parasuraman &amp; Riley, 1997). The distinction between tool dependence and cognitive dependence (Lee &amp; Park, 2025) helps explain why cognitive outcomes remain positive (</w:t>
      </w:r>
      <w:r>
        <w:rPr>
          <w:rFonts w:ascii="Times New Roman" w:hAnsi="Times New Roman"/>
          <w:b w:val="0"/>
          <w:i/>
          <w:sz w:val="24"/>
        </w:rPr>
        <w:t>g</w:t>
      </w:r>
      <w:r>
        <w:rPr>
          <w:rFonts w:ascii="Times New Roman" w:hAnsi="Times New Roman"/>
          <w:b w:val="0"/>
          <w:i w:val="0"/>
          <w:sz w:val="24"/>
        </w:rPr>
        <w:t xml:space="preserve"> = 0.64) while metacognitive outcomes are attenuated—AI may be effectively supporting task completion while simultaneously reducing the higher-order thinking about learning that characterizes self-regulation.</w:t>
      </w:r>
    </w:p>
    <w:p>
      <w:pPr>
        <w:spacing w:line="480" w:lineRule="auto" w:before="0" w:after="0"/>
        <w:ind w:firstLine="720"/>
        <w:jc w:val="left"/>
      </w:pPr>
      <w:r>
        <w:rPr>
          <w:rFonts w:ascii="Times New Roman" w:hAnsi="Times New Roman"/>
          <w:b w:val="0"/>
          <w:i w:val="0"/>
          <w:sz w:val="24"/>
        </w:rPr>
        <w:t xml:space="preserve">From a </w:t>
      </w:r>
      <w:r>
        <w:rPr>
          <w:rFonts w:ascii="Times New Roman" w:hAnsi="Times New Roman"/>
          <w:b/>
          <w:i w:val="0"/>
          <w:sz w:val="24"/>
        </w:rPr>
        <w:t>Desirable Difficulties</w:t>
      </w:r>
      <w:r>
        <w:rPr>
          <w:rFonts w:ascii="Times New Roman" w:hAnsi="Times New Roman"/>
          <w:b w:val="0"/>
          <w:i w:val="0"/>
          <w:sz w:val="24"/>
        </w:rPr>
        <w:t xml:space="preserve"> perspective, the metacognitive finding is particularly concerning. If GenAI eliminates the productive struggle that strengthens memory consolidation and schema development (Bjork &amp; Bjork, 2011), immediate performance gains may come at the cost of durable learning. The testing effect literature (Roediger &amp; Karpicke, 2006; Pan et al., 2024) suggests that the very difficulties AI removes may be those most beneficial for long-term retention.</w:t>
      </w:r>
    </w:p>
    <w:p>
      <w:pPr>
        <w:spacing w:line="480" w:lineRule="auto" w:before="0" w:after="0"/>
        <w:ind w:firstLine="720"/>
        <w:jc w:val="left"/>
      </w:pPr>
      <w:r>
        <w:rPr>
          <w:rFonts w:ascii="Times New Roman" w:hAnsi="Times New Roman"/>
          <w:b/>
          <w:i w:val="0"/>
          <w:sz w:val="24"/>
        </w:rPr>
        <w:t>Alternative Interpretation: The Design Failure Hypothesis.</w:t>
      </w:r>
      <w:r>
        <w:rPr>
          <w:rFonts w:ascii="Times New Roman" w:hAnsi="Times New Roman"/>
          <w:b w:val="0"/>
          <w:i w:val="0"/>
          <w:sz w:val="24"/>
        </w:rPr>
        <w:t xml:space="preserve"> It is essential to consider an alternative explanation for our metacognitive findings. Rather than indicating an inherent limitation of GenAI, the attenuated metacognitive effect may reflect design failures in current implementations. Most interventions in our sample used GenAI as a general-purpose tool without explicit metacognitive scaffolding, fading protocols, or reflection prompts. Research demonstrating that AI can enhance metacognition through shared metacognition (Xu et al., 2025) and cognitive mirror frameworks (Rodriguez &amp; Kim, 2025) suggests that the metacognitive deficit may be avoidable through intentional design. This interpretation shifts the practical implication from caution about GenAI to demands for better-designed GenAI learning environments.</w:t>
      </w:r>
    </w:p>
    <w:p>
      <w:pPr>
        <w:spacing w:line="480" w:lineRule="auto" w:before="0" w:after="0"/>
        <w:ind w:firstLine="720"/>
        <w:jc w:val="left"/>
      </w:pPr>
      <w:r>
        <w:rPr>
          <w:rFonts w:ascii="Times New Roman" w:hAnsi="Times New Roman"/>
          <w:b/>
          <w:i w:val="0"/>
          <w:sz w:val="24"/>
        </w:rPr>
        <w:t>Alternative Interpretation: Measurement Quality and Sensitivity.</w:t>
      </w:r>
      <w:r>
        <w:rPr>
          <w:rFonts w:ascii="Times New Roman" w:hAnsi="Times New Roman"/>
          <w:b w:val="0"/>
          <w:i w:val="0"/>
          <w:sz w:val="24"/>
        </w:rPr>
        <w:t xml:space="preserve"> A second alternative explanation concerns the measurement properties of metacognitive versus cognitive outcomes. Cognitive outcomes were predominantly assessed using standardized achievement tests, performance-based assessments, and validated disciplinary knowledge measures—instruments with established psychometric properties optimized through decades of educational measurement research. In contrast, metacognitive outcomes were primarily measured using self-report questionnaires (64% of studies), which face well-documented limitations: retrospective recall biases, social desirability effects, and limited correspondence with actual metacognitive behaviors (Winne &amp; Jamieson-Noel, 2002; Veenman et al., 2006). These measurement challenges may create differential sensitivity to treatment effects. If cognitive measures more accurately capture true learning gains than self-report metacognitive measures capture true self-regulatory changes, the observed differential effects may partially reflect measurement artifacts rather than—or in addition to—genuine cognitive dependency. This interpretation does not invalidate the theoretical concern but suggests caution in interpreting the magnitude of the difference. Future research should employ behavioral and trace-based metacognitive measures that may provide more sensitive detection of self-regulation changes.</w:t>
      </w:r>
    </w:p>
    <w:p>
      <w:pPr>
        <w:spacing w:line="480" w:lineRule="auto" w:before="0" w:after="0"/>
        <w:ind w:firstLine="0"/>
        <w:jc w:val="left"/>
      </w:pPr>
      <w:r>
        <w:rPr>
          <w:rFonts w:ascii="Times New Roman" w:hAnsi="Times New Roman"/>
          <w:b/>
          <w:i/>
          <w:sz w:val="24"/>
        </w:rPr>
        <w:t>Discipline-Specific Effects</w:t>
      </w:r>
    </w:p>
    <w:p>
      <w:pPr>
        <w:spacing w:line="480" w:lineRule="auto" w:before="0" w:after="0"/>
        <w:ind w:firstLine="720"/>
        <w:jc w:val="left"/>
      </w:pPr>
      <w:r>
        <w:rPr>
          <w:rFonts w:ascii="Times New Roman" w:hAnsi="Times New Roman"/>
          <w:b w:val="0"/>
          <w:i w:val="0"/>
          <w:sz w:val="24"/>
        </w:rPr>
        <w:t>The variation in effects across academic disciplines has important theoretical implications. The largest effects observed in Medicine/Health (</w:t>
      </w:r>
      <w:r>
        <w:rPr>
          <w:rFonts w:ascii="Times New Roman" w:hAnsi="Times New Roman"/>
          <w:b w:val="0"/>
          <w:i/>
          <w:sz w:val="24"/>
        </w:rPr>
        <w:t>g</w:t>
      </w:r>
      <w:r>
        <w:rPr>
          <w:rFonts w:ascii="Times New Roman" w:hAnsi="Times New Roman"/>
          <w:b w:val="0"/>
          <w:i w:val="0"/>
          <w:sz w:val="24"/>
        </w:rPr>
        <w:t xml:space="preserve"> = 0.72) and STEM fields (</w:t>
      </w:r>
      <w:r>
        <w:rPr>
          <w:rFonts w:ascii="Times New Roman" w:hAnsi="Times New Roman"/>
          <w:b w:val="0"/>
          <w:i/>
          <w:sz w:val="24"/>
        </w:rPr>
        <w:t>g</w:t>
      </w:r>
      <w:r>
        <w:rPr>
          <w:rFonts w:ascii="Times New Roman" w:hAnsi="Times New Roman"/>
          <w:b w:val="0"/>
          <w:i w:val="0"/>
          <w:sz w:val="24"/>
        </w:rPr>
        <w:t xml:space="preserve"> = 0.58) may reflect the well-structured nature of knowledge in these domains, where GenAI can effectively synthesize and present factual information, reducing extraneous cognitive load (Sweller, 2011). Notably, with the expanded sample, Language/Writing now showed a significant positive effect (</w:t>
      </w:r>
      <w:r>
        <w:rPr>
          <w:rFonts w:ascii="Times New Roman" w:hAnsi="Times New Roman"/>
          <w:b w:val="0"/>
          <w:i/>
          <w:sz w:val="24"/>
        </w:rPr>
        <w:t>g</w:t>
      </w:r>
      <w:r>
        <w:rPr>
          <w:rFonts w:ascii="Times New Roman" w:hAnsi="Times New Roman"/>
          <w:b w:val="0"/>
          <w:i w:val="0"/>
          <w:sz w:val="24"/>
        </w:rPr>
        <w:t xml:space="preserve"> = 0.42, </w:t>
      </w:r>
      <w:r>
        <w:rPr>
          <w:rFonts w:ascii="Times New Roman" w:hAnsi="Times New Roman"/>
          <w:b w:val="0"/>
          <w:i/>
          <w:sz w:val="24"/>
        </w:rPr>
        <w:t>p</w:t>
      </w:r>
      <w:r>
        <w:rPr>
          <w:rFonts w:ascii="Times New Roman" w:hAnsi="Times New Roman"/>
          <w:b w:val="0"/>
          <w:i w:val="0"/>
          <w:sz w:val="24"/>
        </w:rPr>
        <w:t xml:space="preserve"> = .046), though the effect remains smaller than other domains, suggesting that the creative and contextual nature of writing may present unique challenges for GenAI-supported learning that require more nuanced pedagogical integration.</w:t>
      </w:r>
    </w:p>
    <w:p>
      <w:pPr>
        <w:spacing w:line="480" w:lineRule="auto" w:before="0" w:after="0"/>
        <w:ind w:firstLine="0"/>
        <w:jc w:val="left"/>
      </w:pPr>
      <w:r>
        <w:rPr>
          <w:rFonts w:ascii="Times New Roman" w:hAnsi="Times New Roman"/>
          <w:b/>
          <w:i/>
          <w:sz w:val="24"/>
        </w:rPr>
        <w:t>GenAI Tool Considerations</w:t>
      </w:r>
    </w:p>
    <w:p>
      <w:pPr>
        <w:spacing w:line="480" w:lineRule="auto" w:before="0" w:after="0"/>
        <w:ind w:firstLine="720"/>
        <w:jc w:val="left"/>
      </w:pPr>
      <w:r>
        <w:rPr>
          <w:rFonts w:ascii="Times New Roman" w:hAnsi="Times New Roman"/>
          <w:b w:val="0"/>
          <w:i w:val="0"/>
          <w:sz w:val="24"/>
        </w:rPr>
        <w:t>The predominance of ChatGPT in the literature (</w:t>
      </w:r>
      <w:r>
        <w:rPr>
          <w:rFonts w:ascii="Times New Roman" w:hAnsi="Times New Roman"/>
          <w:b w:val="0"/>
          <w:i/>
          <w:sz w:val="24"/>
        </w:rPr>
        <w:t>k</w:t>
      </w:r>
      <w:r>
        <w:rPr>
          <w:rFonts w:ascii="Times New Roman" w:hAnsi="Times New Roman"/>
          <w:b w:val="0"/>
          <w:i w:val="0"/>
          <w:sz w:val="24"/>
        </w:rPr>
        <w:t xml:space="preserve"> = 26, 40.0% of studies) reflects the tool's accessibility and widespread adoption in educational settings since its release in November 2022. The significant effect for ChatGPT (</w:t>
      </w:r>
      <w:r>
        <w:rPr>
          <w:rFonts w:ascii="Times New Roman" w:hAnsi="Times New Roman"/>
          <w:b w:val="0"/>
          <w:i/>
          <w:sz w:val="24"/>
        </w:rPr>
        <w:t>g</w:t>
      </w:r>
      <w:r>
        <w:rPr>
          <w:rFonts w:ascii="Times New Roman" w:hAnsi="Times New Roman"/>
          <w:b w:val="0"/>
          <w:i w:val="0"/>
          <w:sz w:val="24"/>
        </w:rPr>
        <w:t xml:space="preserve"> = 0.71) provides robust evidence that this specific tool, rather than GenAI as a broad category, demonstrates educational effectiveness. The non-significant findings for specific GPT versions (GPT-3.5 and GPT-4) should be interpreted cautiously given limited statistical power; as the literature matures, comparative effectiveness research examining different model capabilities will be essential for evidence-based tool selection.</w:t>
      </w:r>
    </w:p>
    <w:p>
      <w:pPr>
        <w:spacing w:line="480" w:lineRule="auto" w:before="0" w:after="0"/>
        <w:ind w:firstLine="0"/>
        <w:jc w:val="left"/>
      </w:pPr>
      <w:r>
        <w:rPr>
          <w:rFonts w:ascii="Times New Roman" w:hAnsi="Times New Roman"/>
          <w:b/>
          <w:i w:val="0"/>
          <w:sz w:val="24"/>
        </w:rPr>
        <w:t>Comparison With Prior Meta-Analyses</w:t>
      </w:r>
    </w:p>
    <w:p>
      <w:pPr>
        <w:spacing w:line="480" w:lineRule="auto" w:before="0" w:after="0"/>
        <w:ind w:firstLine="720"/>
        <w:jc w:val="left"/>
      </w:pPr>
      <w:r>
        <w:rPr>
          <w:rFonts w:ascii="Times New Roman" w:hAnsi="Times New Roman"/>
          <w:b w:val="0"/>
          <w:i w:val="0"/>
          <w:sz w:val="24"/>
        </w:rPr>
        <w:t>Our overall effect (</w:t>
      </w:r>
      <w:r>
        <w:rPr>
          <w:rFonts w:ascii="Times New Roman" w:hAnsi="Times New Roman"/>
          <w:b w:val="0"/>
          <w:i/>
          <w:sz w:val="24"/>
        </w:rPr>
        <w:t>g</w:t>
      </w:r>
      <w:r>
        <w:rPr>
          <w:rFonts w:ascii="Times New Roman" w:hAnsi="Times New Roman"/>
          <w:b w:val="0"/>
          <w:i w:val="0"/>
          <w:sz w:val="24"/>
        </w:rPr>
        <w:t xml:space="preserve"> = 0.736) is slightly larger than estimates from recent meta-analyses: Sun and Zhou (2024) reported </w:t>
      </w:r>
      <w:r>
        <w:rPr>
          <w:rFonts w:ascii="Times New Roman" w:hAnsi="Times New Roman"/>
          <w:b w:val="0"/>
          <w:i/>
          <w:sz w:val="24"/>
        </w:rPr>
        <w:t>g</w:t>
      </w:r>
      <w:r>
        <w:rPr>
          <w:rFonts w:ascii="Times New Roman" w:hAnsi="Times New Roman"/>
          <w:b w:val="0"/>
          <w:i w:val="0"/>
          <w:sz w:val="24"/>
        </w:rPr>
        <w:t xml:space="preserve"> = 0.533, and Liu (2025) reported </w:t>
      </w:r>
      <w:r>
        <w:rPr>
          <w:rFonts w:ascii="Times New Roman" w:hAnsi="Times New Roman"/>
          <w:b w:val="0"/>
          <w:i/>
          <w:sz w:val="24"/>
        </w:rPr>
        <w:t>g</w:t>
      </w:r>
      <w:r>
        <w:rPr>
          <w:rFonts w:ascii="Times New Roman" w:hAnsi="Times New Roman"/>
          <w:b w:val="0"/>
          <w:i w:val="0"/>
          <w:sz w:val="24"/>
        </w:rPr>
        <w:t xml:space="preserve"> = 0.577, while Liu et al. (2025) found a larger effect (</w:t>
      </w:r>
      <w:r>
        <w:rPr>
          <w:rFonts w:ascii="Times New Roman" w:hAnsi="Times New Roman"/>
          <w:b w:val="0"/>
          <w:i/>
          <w:sz w:val="24"/>
        </w:rPr>
        <w:t>g</w:t>
      </w:r>
      <w:r>
        <w:rPr>
          <w:rFonts w:ascii="Times New Roman" w:hAnsi="Times New Roman"/>
          <w:b w:val="0"/>
          <w:i w:val="0"/>
          <w:sz w:val="24"/>
        </w:rPr>
        <w:t xml:space="preserve"> = 0.857) when including K-12 populations. Several factors may explain these differences: our expanded sample including more recent studies through January 2026, our exclusive focus on higher education, our three-level model accounting for dependency, and our inclusion of grey literature reducing publication bias inflation.</w:t>
      </w:r>
    </w:p>
    <w:p>
      <w:pPr>
        <w:spacing w:line="480" w:lineRule="auto" w:before="0" w:after="0"/>
        <w:ind w:firstLine="720"/>
        <w:jc w:val="left"/>
      </w:pPr>
      <w:r>
        <w:rPr>
          <w:rFonts w:ascii="Times New Roman" w:hAnsi="Times New Roman"/>
          <w:b/>
          <w:i w:val="0"/>
          <w:sz w:val="24"/>
        </w:rPr>
        <w:t>However, what distinguishes this meta-analysis from prior syntheses is not the overall effect size but the theoretical framework and specific hypothesis testing.</w:t>
      </w:r>
      <w:r>
        <w:rPr>
          <w:rFonts w:ascii="Times New Roman" w:hAnsi="Times New Roman"/>
          <w:b w:val="0"/>
          <w:i w:val="0"/>
          <w:sz w:val="24"/>
        </w:rPr>
        <w:t xml:space="preserve"> Previous meta-analyses have largely focused on whether GenAI improves learning outcomes—a question we address but consider preliminary. This study is the first to:</w:t>
      </w:r>
    </w:p>
    <w:p>
      <w:pPr>
        <w:spacing w:line="480" w:lineRule="auto" w:before="0" w:after="0"/>
        <w:ind w:left="720" w:hanging="360"/>
        <w:jc w:val="left"/>
      </w:pPr>
      <w:r>
        <w:rPr>
          <w:rFonts w:ascii="Times New Roman" w:hAnsi="Times New Roman"/>
          <w:b/>
          <w:i w:val="0"/>
          <w:sz w:val="24"/>
        </w:rPr>
        <w:t>1. Propose and empirically test the cognitive dependency hypothesis</w:t>
      </w:r>
      <w:r>
        <w:rPr>
          <w:rFonts w:ascii="Times New Roman" w:hAnsi="Times New Roman"/>
          <w:b w:val="0"/>
          <w:i w:val="0"/>
          <w:sz w:val="24"/>
        </w:rPr>
        <w:t>, grounded in an integration of Cognitive Load Theory, Self-Regulated Learning Theory, Self-Determination Theory, and Sociocultural Learning Theory.</w:t>
      </w:r>
    </w:p>
    <w:p>
      <w:pPr>
        <w:spacing w:line="480" w:lineRule="auto" w:before="0" w:after="0"/>
        <w:ind w:left="720" w:hanging="360"/>
        <w:jc w:val="left"/>
      </w:pPr>
      <w:r>
        <w:rPr>
          <w:rFonts w:ascii="Times New Roman" w:hAnsi="Times New Roman"/>
          <w:b/>
          <w:i w:val="0"/>
          <w:sz w:val="24"/>
        </w:rPr>
        <w:t>2. Examine differential effects across outcome dimensions</w:t>
      </w:r>
      <w:r>
        <w:rPr>
          <w:rFonts w:ascii="Times New Roman" w:hAnsi="Times New Roman"/>
          <w:b w:val="0"/>
          <w:i w:val="0"/>
          <w:sz w:val="24"/>
        </w:rPr>
        <w:t xml:space="preserve"> with specific attention to metacognitive outcomes as a theoretically critical category—revealing that the non-significant metacognitive effect (</w:t>
      </w:r>
      <w:r>
        <w:rPr>
          <w:rFonts w:ascii="Times New Roman" w:hAnsi="Times New Roman"/>
          <w:b w:val="0"/>
          <w:i/>
          <w:sz w:val="24"/>
        </w:rPr>
        <w:t>g</w:t>
      </w:r>
      <w:r>
        <w:rPr>
          <w:rFonts w:ascii="Times New Roman" w:hAnsi="Times New Roman"/>
          <w:b w:val="0"/>
          <w:i w:val="0"/>
          <w:sz w:val="24"/>
        </w:rPr>
        <w:t xml:space="preserve"> = 0.28, </w:t>
      </w:r>
      <w:r>
        <w:rPr>
          <w:rFonts w:ascii="Times New Roman" w:hAnsi="Times New Roman"/>
          <w:b w:val="0"/>
          <w:i/>
          <w:sz w:val="24"/>
        </w:rPr>
        <w:t>p</w:t>
      </w:r>
      <w:r>
        <w:rPr>
          <w:rFonts w:ascii="Times New Roman" w:hAnsi="Times New Roman"/>
          <w:b w:val="0"/>
          <w:i w:val="0"/>
          <w:sz w:val="24"/>
        </w:rPr>
        <w:t xml:space="preserve"> = .287) stands in stark contrast to significant cognitive (</w:t>
      </w:r>
      <w:r>
        <w:rPr>
          <w:rFonts w:ascii="Times New Roman" w:hAnsi="Times New Roman"/>
          <w:b w:val="0"/>
          <w:i/>
          <w:sz w:val="24"/>
        </w:rPr>
        <w:t>g</w:t>
      </w:r>
      <w:r>
        <w:rPr>
          <w:rFonts w:ascii="Times New Roman" w:hAnsi="Times New Roman"/>
          <w:b w:val="0"/>
          <w:i w:val="0"/>
          <w:sz w:val="24"/>
        </w:rPr>
        <w:t xml:space="preserve"> = 0.64) and affective (</w:t>
      </w:r>
      <w:r>
        <w:rPr>
          <w:rFonts w:ascii="Times New Roman" w:hAnsi="Times New Roman"/>
          <w:b w:val="0"/>
          <w:i/>
          <w:sz w:val="24"/>
        </w:rPr>
        <w:t>g</w:t>
      </w:r>
      <w:r>
        <w:rPr>
          <w:rFonts w:ascii="Times New Roman" w:hAnsi="Times New Roman"/>
          <w:b w:val="0"/>
          <w:i w:val="0"/>
          <w:sz w:val="24"/>
        </w:rPr>
        <w:t xml:space="preserve"> = 0.61) effects.</w:t>
      </w:r>
    </w:p>
    <w:p>
      <w:pPr>
        <w:spacing w:line="480" w:lineRule="auto" w:before="0" w:after="0"/>
        <w:ind w:left="720" w:hanging="360"/>
        <w:jc w:val="left"/>
      </w:pPr>
      <w:r>
        <w:rPr>
          <w:rFonts w:ascii="Times New Roman" w:hAnsi="Times New Roman"/>
          <w:b/>
          <w:i w:val="0"/>
          <w:sz w:val="24"/>
        </w:rPr>
        <w:t>3. Reframe the educational discourse</w:t>
      </w:r>
      <w:r>
        <w:rPr>
          <w:rFonts w:ascii="Times New Roman" w:hAnsi="Times New Roman"/>
          <w:b w:val="0"/>
          <w:i w:val="0"/>
          <w:sz w:val="24"/>
        </w:rPr>
        <w:t xml:space="preserve"> from "Does GenAI improve learning?" to "Does GenAI develop autonomous learners?"—a question with fundamentally different implications for educational practice and policy.</w:t>
      </w:r>
    </w:p>
    <w:p>
      <w:pPr>
        <w:spacing w:line="480" w:lineRule="auto" w:before="0" w:after="0"/>
        <w:ind w:firstLine="720"/>
        <w:jc w:val="left"/>
      </w:pPr>
      <w:r>
        <w:rPr>
          <w:rFonts w:ascii="Times New Roman" w:hAnsi="Times New Roman"/>
          <w:b w:val="0"/>
          <w:i w:val="0"/>
          <w:sz w:val="24"/>
        </w:rPr>
        <w:t xml:space="preserve">Despite converging effect sizes, our interpretation diverges substantively: where prior meta-analyses conclude that GenAI is effective, we conclude that GenAI is effective </w:t>
      </w:r>
      <w:r>
        <w:rPr>
          <w:rFonts w:ascii="Times New Roman" w:hAnsi="Times New Roman"/>
          <w:b w:val="0"/>
          <w:i/>
          <w:sz w:val="24"/>
        </w:rPr>
        <w:t>for immediate performance</w:t>
      </w:r>
      <w:r>
        <w:rPr>
          <w:rFonts w:ascii="Times New Roman" w:hAnsi="Times New Roman"/>
          <w:b w:val="0"/>
          <w:i w:val="0"/>
          <w:sz w:val="24"/>
        </w:rPr>
        <w:t xml:space="preserve"> but may be counterproductive </w:t>
      </w:r>
      <w:r>
        <w:rPr>
          <w:rFonts w:ascii="Times New Roman" w:hAnsi="Times New Roman"/>
          <w:b w:val="0"/>
          <w:i/>
          <w:sz w:val="24"/>
        </w:rPr>
        <w:t>for developing independent learning capabilities</w:t>
      </w:r>
      <w:r>
        <w:rPr>
          <w:rFonts w:ascii="Times New Roman" w:hAnsi="Times New Roman"/>
          <w:b w:val="0"/>
          <w:i w:val="0"/>
          <w:sz w:val="24"/>
        </w:rPr>
        <w:t>. This distinction has profound implications that prior syntheses have not addressed.</w:t>
      </w:r>
    </w:p>
    <w:p>
      <w:pPr>
        <w:spacing w:line="480" w:lineRule="auto" w:before="0" w:after="0"/>
        <w:ind w:firstLine="0"/>
        <w:jc w:val="left"/>
      </w:pPr>
      <w:r>
        <w:rPr>
          <w:rFonts w:ascii="Times New Roman" w:hAnsi="Times New Roman"/>
          <w:b/>
          <w:i w:val="0"/>
          <w:sz w:val="24"/>
        </w:rPr>
        <w:t>Toward an Integrated AIMC Framework for Educational AI Research</w:t>
      </w:r>
    </w:p>
    <w:p>
      <w:pPr>
        <w:spacing w:line="480" w:lineRule="auto" w:before="0" w:after="0"/>
        <w:ind w:firstLine="720"/>
        <w:jc w:val="left"/>
      </w:pPr>
      <w:r>
        <w:rPr>
          <w:rFonts w:ascii="Times New Roman" w:hAnsi="Times New Roman"/>
          <w:b w:val="0"/>
          <w:i w:val="0"/>
          <w:sz w:val="24"/>
        </w:rPr>
        <w:t xml:space="preserve">The pattern of findings across this meta-analysis suggests that the </w:t>
      </w:r>
      <w:r>
        <w:rPr>
          <w:rFonts w:ascii="Times New Roman" w:hAnsi="Times New Roman"/>
          <w:b/>
          <w:i w:val="0"/>
          <w:sz w:val="24"/>
        </w:rPr>
        <w:t>AI-Integrated Metacognition (AIMC) framework</w:t>
      </w:r>
      <w:r>
        <w:rPr>
          <w:rFonts w:ascii="Times New Roman" w:hAnsi="Times New Roman"/>
          <w:b w:val="0"/>
          <w:i w:val="0"/>
          <w:sz w:val="24"/>
        </w:rPr>
        <w:t>, grounded in Nelson and Narens (1990) and Efklides (2008), provides a productive integrative lens for understanding GenAI's differential effects on learning outcomes. By viewing educational GenAI through the AIMC framework—as a distributed metacognitive system with three levels of integration—we can better explain why immediate performance benefits (L1 Supported) do not automatically translate to metacognitive development (L3 Autonomous).</w:t>
      </w:r>
    </w:p>
    <w:p>
      <w:pPr>
        <w:spacing w:line="480" w:lineRule="auto" w:before="0" w:after="0"/>
        <w:ind w:firstLine="0"/>
        <w:jc w:val="left"/>
      </w:pPr>
      <w:r>
        <w:rPr>
          <w:rFonts w:ascii="Times New Roman" w:hAnsi="Times New Roman"/>
          <w:b/>
          <w:i/>
          <w:sz w:val="24"/>
        </w:rPr>
        <w:t>AIMC Levels and the Cognitive Dependency Pattern</w:t>
      </w:r>
    </w:p>
    <w:p>
      <w:pPr>
        <w:spacing w:line="480" w:lineRule="auto" w:before="0" w:after="0"/>
        <w:ind w:firstLine="720"/>
        <w:jc w:val="left"/>
      </w:pPr>
      <w:r>
        <w:rPr>
          <w:rFonts w:ascii="Times New Roman" w:hAnsi="Times New Roman"/>
          <w:b w:val="0"/>
          <w:i w:val="0"/>
          <w:sz w:val="24"/>
        </w:rPr>
        <w:t>Each AIMC level provides theoretical grounding for the observed differential effects: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AIMC Framework Component</w:t>
            </w:r>
          </w:p>
        </w:tc>
        <w:tc>
          <w:tcPr>
            <w:tcW w:type="dxa" w:w="4680"/>
            <w:tcBorders>
              <w:top w:val="single" w:sz="8" w:space="0" w:color="000000"/>
              <w:bottom w:val="single" w:sz="8" w:space="0" w:color="000000"/>
            </w:tcBorders>
          </w:tcPr>
          <w:p>
            <w:pPr>
              <w:spacing w:line="480" w:lineRule="auto" w:before="40" w:after="40"/>
              <w:ind w:firstLine="0"/>
              <w:jc w:val="center"/>
            </w:pPr>
            <w:r/>
            <w:r>
              <w:rPr>
                <w:rFonts w:ascii="Times New Roman" w:hAnsi="Times New Roman"/>
                <w:b/>
                <w:sz w:val="20"/>
              </w:rPr>
              <w:t>Connection to Meta-Analytic Findings</w:t>
            </w:r>
          </w:p>
        </w:tc>
      </w:tr>
      <w:tr>
        <w:tc>
          <w:tcPr>
            <w:tcW w:type="dxa" w:w="4680"/>
          </w:tcPr>
          <w:p>
            <w:pPr>
              <w:spacing w:line="480" w:lineRule="auto" w:before="20" w:after="20"/>
              <w:ind w:firstLine="0"/>
              <w:jc w:val="left"/>
            </w:pPr>
            <w:r/>
            <w:r>
              <w:rPr>
                <w:rFonts w:ascii="Times New Roman" w:hAnsi="Times New Roman"/>
                <w:b/>
                <w:i w:val="0"/>
                <w:sz w:val="20"/>
              </w:rPr>
              <w:t>L1 Supported</w:t>
            </w:r>
          </w:p>
        </w:tc>
        <w:tc>
          <w:tcPr>
            <w:tcW w:type="dxa" w:w="4680"/>
          </w:tcPr>
          <w:p>
            <w:pPr>
              <w:spacing w:line="480" w:lineRule="auto" w:before="20" w:after="20"/>
              <w:ind w:firstLine="0"/>
              <w:jc w:val="center"/>
            </w:pPr>
            <w:r/>
            <w:r>
              <w:rPr>
                <w:rFonts w:ascii="Times New Roman" w:hAnsi="Times New Roman"/>
                <w:b w:val="0"/>
                <w:i w:val="0"/>
                <w:sz w:val="20"/>
              </w:rPr>
              <w:t>Strong effects on cognitive outcomes (g = 0.64) reflect "Expanded Object-Level Knowledge" and "Guided Monitoring &amp; Control"—AI effectively scaffolds immediate performance</w:t>
            </w:r>
          </w:p>
        </w:tc>
      </w:tr>
      <w:tr>
        <w:tc>
          <w:tcPr>
            <w:tcW w:type="dxa" w:w="4680"/>
          </w:tcPr>
          <w:p>
            <w:pPr>
              <w:spacing w:line="480" w:lineRule="auto" w:before="20" w:after="20"/>
              <w:ind w:firstLine="0"/>
              <w:jc w:val="left"/>
            </w:pPr>
            <w:r/>
            <w:r>
              <w:rPr>
                <w:rFonts w:ascii="Times New Roman" w:hAnsi="Times New Roman"/>
                <w:b/>
                <w:i w:val="0"/>
                <w:sz w:val="20"/>
              </w:rPr>
              <w:t>L2 Meta-AI Awareness</w:t>
            </w:r>
          </w:p>
        </w:tc>
        <w:tc>
          <w:tcPr>
            <w:tcW w:type="dxa" w:w="4680"/>
          </w:tcPr>
          <w:p>
            <w:pPr>
              <w:spacing w:line="480" w:lineRule="auto" w:before="20" w:after="20"/>
              <w:ind w:firstLine="0"/>
              <w:jc w:val="center"/>
            </w:pPr>
            <w:r/>
            <w:r>
              <w:rPr>
                <w:rFonts w:ascii="Times New Roman" w:hAnsi="Times New Roman"/>
                <w:b w:val="0"/>
                <w:i w:val="0"/>
                <w:sz w:val="20"/>
              </w:rPr>
              <w:t>Lack of explicit cultivation of "AI Calibration Accuracy" and "AI Selection &amp; Evaluation Skills" may contribute to automation bias and inappropriate AI reliance</w:t>
            </w:r>
          </w:p>
        </w:tc>
      </w:tr>
      <w:tr>
        <w:tc>
          <w:tcPr>
            <w:tcW w:type="dxa" w:w="4680"/>
          </w:tcPr>
          <w:p>
            <w:pPr>
              <w:spacing w:line="480" w:lineRule="auto" w:before="20" w:after="20"/>
              <w:ind w:firstLine="0"/>
              <w:jc w:val="left"/>
            </w:pPr>
            <w:r/>
            <w:r>
              <w:rPr>
                <w:rFonts w:ascii="Times New Roman" w:hAnsi="Times New Roman"/>
                <w:b/>
                <w:i w:val="0"/>
                <w:sz w:val="20"/>
              </w:rPr>
              <w:t>L3 Autonomous</w:t>
            </w:r>
          </w:p>
        </w:tc>
        <w:tc>
          <w:tcPr>
            <w:tcW w:type="dxa" w:w="4680"/>
          </w:tcPr>
          <w:p>
            <w:pPr>
              <w:spacing w:line="480" w:lineRule="auto" w:before="20" w:after="20"/>
              <w:ind w:firstLine="0"/>
              <w:jc w:val="center"/>
            </w:pPr>
            <w:r/>
            <w:r>
              <w:rPr>
                <w:rFonts w:ascii="Times New Roman" w:hAnsi="Times New Roman"/>
                <w:b w:val="0"/>
                <w:i w:val="0"/>
                <w:sz w:val="20"/>
              </w:rPr>
              <w:t>Attenuated metacognitive effects (g = 0.28) reflect failure to achieve "Transfer JOL/FOK Calibration" and "Autonomous Planning &amp; Monitoring"—capabilities that persist in AI-absent contexts</w:t>
            </w:r>
          </w:p>
        </w:tc>
      </w:tr>
      <w:tr>
        <w:tc>
          <w:tcPr>
            <w:tcW w:type="dxa" w:w="4680"/>
          </w:tcPr>
          <w:p>
            <w:pPr>
              <w:spacing w:line="480" w:lineRule="auto" w:before="20" w:after="20"/>
              <w:ind w:firstLine="0"/>
              <w:jc w:val="left"/>
            </w:pPr>
            <w:r/>
            <w:r>
              <w:rPr>
                <w:rFonts w:ascii="Times New Roman" w:hAnsi="Times New Roman"/>
                <w:b/>
                <w:i w:val="0"/>
                <w:sz w:val="20"/>
              </w:rPr>
              <w:t>Metacognitive Experiences</w:t>
            </w:r>
          </w:p>
        </w:tc>
        <w:tc>
          <w:tcPr>
            <w:tcW w:type="dxa" w:w="4680"/>
          </w:tcPr>
          <w:p>
            <w:pPr>
              <w:spacing w:line="480" w:lineRule="auto" w:before="20" w:after="20"/>
              <w:ind w:firstLine="0"/>
              <w:jc w:val="center"/>
            </w:pPr>
            <w:r/>
            <w:r>
              <w:rPr>
                <w:rFonts w:ascii="Times New Roman" w:hAnsi="Times New Roman"/>
                <w:b w:val="0"/>
                <w:i w:val="0"/>
                <w:sz w:val="20"/>
              </w:rPr>
              <w:t>AI elimination of Feeling of Difficulty (FOD) removes adaptive signals; JOL accuracy may become inflated due to AI-supported performance</w:t>
            </w:r>
          </w:p>
        </w:tc>
      </w:tr>
      <w:tr>
        <w:tc>
          <w:tcPr>
            <w:tcW w:type="dxa" w:w="4680"/>
            <w:tcBorders>
              <w:bottom w:val="single" w:sz="8" w:space="0" w:color="000000"/>
            </w:tcBorders>
          </w:tcPr>
          <w:p>
            <w:pPr>
              <w:spacing w:line="480" w:lineRule="auto" w:before="20" w:after="20"/>
              <w:ind w:firstLine="0"/>
              <w:jc w:val="left"/>
            </w:pPr>
            <w:r/>
            <w:r>
              <w:rPr>
                <w:rFonts w:ascii="Times New Roman" w:hAnsi="Times New Roman"/>
                <w:b w:val="0"/>
                <w:i w:val="0"/>
                <w:sz w:val="20"/>
              </w:rPr>
              <w:t>Distributed Metacognition (Clark &amp; Chalmers, 1998)</w:t>
            </w:r>
          </w:p>
        </w:tc>
        <w:tc>
          <w:tcPr>
            <w:tcW w:type="dxa" w:w="4680"/>
            <w:tcBorders>
              <w:bottom w:val="single" w:sz="8" w:space="0" w:color="000000"/>
            </w:tcBorders>
          </w:tcPr>
          <w:p>
            <w:pPr>
              <w:spacing w:line="480" w:lineRule="auto" w:before="20" w:after="20"/>
              <w:ind w:firstLine="0"/>
              <w:jc w:val="center"/>
            </w:pPr>
            <w:r/>
            <w:r>
              <w:rPr>
                <w:rFonts w:ascii="Times New Roman" w:hAnsi="Times New Roman"/>
                <w:b w:val="0"/>
                <w:i w:val="0"/>
                <w:sz w:val="20"/>
              </w:rPr>
              <w:t>The human-AI system boundary remains unexamined in most interventions—learners offload metacognitive functions without developing awareness of this distribution</w:t>
            </w:r>
          </w:p>
        </w:tc>
      </w:tr>
    </w:tbl>
    <w:p>
      <w:pPr>
        <w:spacing w:line="480" w:lineRule="auto" w:before="0" w:after="0"/>
        <w:ind w:firstLine="0"/>
        <w:jc w:val="left"/>
      </w:pPr>
      <w:r>
        <w:rPr>
          <w:rFonts w:ascii="Times New Roman" w:hAnsi="Times New Roman"/>
          <w:b/>
          <w:i/>
          <w:sz w:val="24"/>
        </w:rPr>
        <w:t>Theoretical Contribution: From Parallel Theories to Unified Framework</w:t>
      </w:r>
    </w:p>
    <w:p>
      <w:pPr>
        <w:spacing w:line="480" w:lineRule="auto" w:before="0" w:after="0"/>
        <w:ind w:firstLine="720"/>
        <w:jc w:val="left"/>
      </w:pPr>
      <w:r>
        <w:rPr>
          <w:rFonts w:ascii="Times New Roman" w:hAnsi="Times New Roman"/>
          <w:b w:val="0"/>
          <w:i w:val="0"/>
          <w:sz w:val="24"/>
        </w:rPr>
        <w:t>This meta-analysis contributes to theory by demonstrating that six seemingly disparate theoretical traditions—Cognitive Load Theory, Desirable Difficulties, Self-Regulated Learning, Self-Determination Theory, Sociocultural Learning, and Automation Bias—can be unified through the AIMC framework. The cognitive dependency hypothesis is not merely the sum of six independent predictions but an emergent property of viewing GenAI as creating a distributed metacognitive system that must be deliberately managed to support L1→L2→L3 progression.</w:t>
      </w:r>
    </w:p>
    <w:p>
      <w:pPr>
        <w:spacing w:line="480" w:lineRule="auto" w:before="0" w:after="0"/>
        <w:ind w:firstLine="720"/>
        <w:jc w:val="left"/>
      </w:pPr>
      <w:r>
        <w:rPr>
          <w:rFonts w:ascii="Times New Roman" w:hAnsi="Times New Roman"/>
          <w:b w:val="0"/>
          <w:i w:val="0"/>
          <w:sz w:val="24"/>
        </w:rPr>
        <w:t>The AIMC framing provides several advantages over atheoretical approaches to GenAI research:</w:t>
      </w:r>
    </w:p>
    <w:p>
      <w:pPr>
        <w:spacing w:line="480" w:lineRule="auto" w:before="0" w:after="0"/>
        <w:ind w:left="720" w:hanging="360"/>
        <w:jc w:val="left"/>
      </w:pPr>
      <w:r>
        <w:rPr>
          <w:rFonts w:ascii="Times New Roman" w:hAnsi="Times New Roman"/>
          <w:b/>
          <w:i w:val="0"/>
          <w:sz w:val="24"/>
        </w:rPr>
        <w:t>1. Explanatory power</w:t>
      </w:r>
      <w:r>
        <w:rPr>
          <w:rFonts w:ascii="Times New Roman" w:hAnsi="Times New Roman"/>
          <w:b w:val="0"/>
          <w:i w:val="0"/>
          <w:sz w:val="24"/>
        </w:rPr>
        <w:t xml:space="preserve">: The three-level structure explains </w:t>
      </w:r>
      <w:r>
        <w:rPr>
          <w:rFonts w:ascii="Times New Roman" w:hAnsi="Times New Roman"/>
          <w:b w:val="0"/>
          <w:i/>
          <w:sz w:val="24"/>
        </w:rPr>
        <w:t>why</w:t>
      </w:r>
      <w:r>
        <w:rPr>
          <w:rFonts w:ascii="Times New Roman" w:hAnsi="Times New Roman"/>
          <w:b w:val="0"/>
          <w:i w:val="0"/>
          <w:sz w:val="24"/>
        </w:rPr>
        <w:t xml:space="preserve"> certain effects occur (e.g., AI keeps learners at L1 Supported without scaffolding progression to L3 Autonomous; metacognitive experiences like JOL/FOK become miscalibrated when always supported by AI)</w:t>
      </w:r>
    </w:p>
    <w:p>
      <w:pPr>
        <w:spacing w:line="480" w:lineRule="auto" w:before="0" w:after="0"/>
        <w:ind w:left="720" w:hanging="360"/>
        <w:jc w:val="left"/>
      </w:pPr>
      <w:r>
        <w:rPr>
          <w:rFonts w:ascii="Times New Roman" w:hAnsi="Times New Roman"/>
          <w:b/>
          <w:i w:val="0"/>
          <w:sz w:val="24"/>
        </w:rPr>
        <w:t>2. Predictive specificity</w:t>
      </w:r>
      <w:r>
        <w:rPr>
          <w:rFonts w:ascii="Times New Roman" w:hAnsi="Times New Roman"/>
          <w:b w:val="0"/>
          <w:i w:val="0"/>
          <w:sz w:val="24"/>
        </w:rPr>
        <w:t>: Rather than asking "Does GenAI improve learning?" AIMC enables more precise questions: "Does GenAI support progression from L1 to L3?" and "Are metacognitive constructs (JOL, FOK, AI Calibration Accuracy) appropriately developed?"</w:t>
      </w:r>
    </w:p>
    <w:p>
      <w:pPr>
        <w:spacing w:line="480" w:lineRule="auto" w:before="0" w:after="0"/>
        <w:ind w:left="720" w:hanging="360"/>
        <w:jc w:val="left"/>
      </w:pPr>
      <w:r>
        <w:rPr>
          <w:rFonts w:ascii="Times New Roman" w:hAnsi="Times New Roman"/>
          <w:b/>
          <w:i w:val="0"/>
          <w:sz w:val="24"/>
        </w:rPr>
        <w:t>3. Design guidance</w:t>
      </w:r>
      <w:r>
        <w:rPr>
          <w:rFonts w:ascii="Times New Roman" w:hAnsi="Times New Roman"/>
          <w:b w:val="0"/>
          <w:i w:val="0"/>
          <w:sz w:val="24"/>
        </w:rPr>
        <w:t>: AIMC levels directly translate into design goals. Interventions can be deliberately designed to cultivate L2 Meta-AI Awareness (AI literacy, calibration training) and assess L3 Autonomous outcomes (transfer tests without AI).</w:t>
      </w:r>
    </w:p>
    <w:p>
      <w:pPr>
        <w:spacing w:line="480" w:lineRule="auto" w:before="0" w:after="0"/>
        <w:ind w:left="720" w:hanging="360"/>
        <w:jc w:val="left"/>
      </w:pPr>
      <w:r>
        <w:rPr>
          <w:rFonts w:ascii="Times New Roman" w:hAnsi="Times New Roman"/>
          <w:b/>
          <w:i w:val="0"/>
          <w:sz w:val="24"/>
        </w:rPr>
        <w:t>4. Novel constructs</w:t>
      </w:r>
      <w:r>
        <w:rPr>
          <w:rFonts w:ascii="Times New Roman" w:hAnsi="Times New Roman"/>
          <w:b w:val="0"/>
          <w:i w:val="0"/>
          <w:sz w:val="24"/>
        </w:rPr>
        <w:t xml:space="preserve">: The framework introduces </w:t>
      </w:r>
      <w:r>
        <w:rPr>
          <w:rFonts w:ascii="Times New Roman" w:hAnsi="Times New Roman"/>
          <w:b/>
          <w:i w:val="0"/>
          <w:sz w:val="24"/>
        </w:rPr>
        <w:t>AI Calibration Accuracy</w:t>
      </w:r>
      <w:r>
        <w:rPr>
          <w:rFonts w:ascii="Times New Roman" w:hAnsi="Times New Roman"/>
          <w:b w:val="0"/>
          <w:i w:val="0"/>
          <w:sz w:val="24"/>
        </w:rPr>
        <w:t xml:space="preserve"> as a critical metacognitive construct—the ability to accurately judge when AI assistance supports versus undermines learning goals. This construct deserves empirical investigation and measure development.</w:t>
      </w:r>
    </w:p>
    <w:p>
      <w:pPr>
        <w:spacing w:line="480" w:lineRule="auto" w:before="0" w:after="0"/>
        <w:ind w:firstLine="0"/>
        <w:jc w:val="left"/>
      </w:pPr>
      <w:r>
        <w:rPr>
          <w:rFonts w:ascii="Times New Roman" w:hAnsi="Times New Roman"/>
          <w:b/>
          <w:i/>
          <w:sz w:val="24"/>
        </w:rPr>
        <w:t>Implications for Future Research: An AIMC Research Agenda</w:t>
      </w:r>
    </w:p>
    <w:p>
      <w:pPr>
        <w:spacing w:line="480" w:lineRule="auto" w:before="0" w:after="0"/>
        <w:ind w:firstLine="720"/>
        <w:jc w:val="left"/>
      </w:pPr>
      <w:r>
        <w:rPr>
          <w:rFonts w:ascii="Times New Roman" w:hAnsi="Times New Roman"/>
          <w:b w:val="0"/>
          <w:i w:val="0"/>
          <w:sz w:val="24"/>
        </w:rPr>
        <w:t>The AIMC framework generates specific research questions that extend beyond this meta-analysis:</w:t>
      </w:r>
    </w:p>
    <w:p>
      <w:pPr>
        <w:spacing w:line="480" w:lineRule="auto" w:before="0" w:after="0"/>
        <w:ind w:left="720" w:hanging="360"/>
        <w:jc w:val="left"/>
      </w:pPr>
      <w:r>
        <w:rPr>
          <w:rFonts w:ascii="Times New Roman" w:hAnsi="Times New Roman"/>
          <w:b/>
          <w:i w:val="0"/>
          <w:sz w:val="24"/>
        </w:rPr>
        <w:t>1. L1→L2→L3 progression protocols</w:t>
      </w:r>
      <w:r>
        <w:rPr>
          <w:rFonts w:ascii="Times New Roman" w:hAnsi="Times New Roman"/>
          <w:b w:val="0"/>
          <w:i w:val="0"/>
          <w:sz w:val="24"/>
        </w:rPr>
        <w:t>: How should educational interventions be designed to scaffold learners through all three levels? Research should systematically vary fading protocols and metacognitive prompts to identify optimal progression pathways.</w:t>
      </w:r>
    </w:p>
    <w:p>
      <w:pPr>
        <w:spacing w:line="480" w:lineRule="auto" w:before="0" w:after="0"/>
        <w:ind w:left="720" w:hanging="360"/>
        <w:jc w:val="left"/>
      </w:pPr>
      <w:r>
        <w:rPr>
          <w:rFonts w:ascii="Times New Roman" w:hAnsi="Times New Roman"/>
          <w:b/>
          <w:i w:val="0"/>
          <w:sz w:val="24"/>
        </w:rPr>
        <w:t>2. AI Calibration Accuracy measurement</w:t>
      </w:r>
      <w:r>
        <w:rPr>
          <w:rFonts w:ascii="Times New Roman" w:hAnsi="Times New Roman"/>
          <w:b w:val="0"/>
          <w:i w:val="0"/>
          <w:sz w:val="24"/>
        </w:rPr>
        <w:t>: This novel construct proposed in the AIMC framework requires psychometric development. Measures should assess learners' ability to accurately judge when AI assistance is appropriate versus counterproductive.</w:t>
      </w:r>
    </w:p>
    <w:p>
      <w:pPr>
        <w:spacing w:line="480" w:lineRule="auto" w:before="0" w:after="0"/>
        <w:ind w:left="720" w:hanging="360"/>
        <w:jc w:val="left"/>
      </w:pPr>
      <w:r>
        <w:rPr>
          <w:rFonts w:ascii="Times New Roman" w:hAnsi="Times New Roman"/>
          <w:b/>
          <w:i w:val="0"/>
          <w:sz w:val="24"/>
        </w:rPr>
        <w:t>3. JOL/FOK calibration in AI contexts</w:t>
      </w:r>
      <w:r>
        <w:rPr>
          <w:rFonts w:ascii="Times New Roman" w:hAnsi="Times New Roman"/>
          <w:b w:val="0"/>
          <w:i w:val="0"/>
          <w:sz w:val="24"/>
        </w:rPr>
        <w:t>: How does AI availability affect the accuracy of learners' metacognitive judgments? Research should examine whether AI creates systematic JOL inflation (overconfidence) that collapses in AI-absent contexts.</w:t>
      </w:r>
    </w:p>
    <w:p>
      <w:pPr>
        <w:spacing w:line="480" w:lineRule="auto" w:before="0" w:after="0"/>
        <w:ind w:left="720" w:hanging="360"/>
        <w:jc w:val="left"/>
      </w:pPr>
      <w:r>
        <w:rPr>
          <w:rFonts w:ascii="Times New Roman" w:hAnsi="Times New Roman"/>
          <w:b/>
          <w:i w:val="0"/>
          <w:sz w:val="24"/>
        </w:rPr>
        <w:t>4. L2 Meta-AI Awareness interventions</w:t>
      </w:r>
      <w:r>
        <w:rPr>
          <w:rFonts w:ascii="Times New Roman" w:hAnsi="Times New Roman"/>
          <w:b w:val="0"/>
          <w:i w:val="0"/>
          <w:sz w:val="24"/>
        </w:rPr>
        <w:t>: Can explicit training in AI capabilities, limitations, and appropriate use improve learning outcomes? The framework predicts that L2 development is necessary for appropriate L3 transfer.</w:t>
      </w:r>
    </w:p>
    <w:p>
      <w:pPr>
        <w:spacing w:line="480" w:lineRule="auto" w:before="0" w:after="0"/>
        <w:ind w:left="720" w:hanging="360"/>
        <w:jc w:val="left"/>
      </w:pPr>
      <w:r>
        <w:rPr>
          <w:rFonts w:ascii="Times New Roman" w:hAnsi="Times New Roman"/>
          <w:b/>
          <w:i w:val="0"/>
          <w:sz w:val="24"/>
        </w:rPr>
        <w:t>5. Distributed Metacognition boundaries</w:t>
      </w:r>
      <w:r>
        <w:rPr>
          <w:rFonts w:ascii="Times New Roman" w:hAnsi="Times New Roman"/>
          <w:b w:val="0"/>
          <w:i w:val="0"/>
          <w:sz w:val="24"/>
        </w:rPr>
        <w:t>: What cognitive and metacognitive functions should remain internalized versus appropriately distributed to AI? The framework highlights this normative question as central to educational AI design.</w:t>
      </w:r>
    </w:p>
    <w:p>
      <w:pPr>
        <w:spacing w:line="480" w:lineRule="auto" w:before="0" w:after="0"/>
        <w:ind w:firstLine="0"/>
        <w:jc w:val="left"/>
      </w:pPr>
      <w:r>
        <w:rPr>
          <w:rFonts w:ascii="Times New Roman" w:hAnsi="Times New Roman"/>
          <w:b/>
          <w:i w:val="0"/>
          <w:sz w:val="24"/>
        </w:rPr>
        <w:t>Practical Implications</w:t>
      </w:r>
    </w:p>
    <w:p>
      <w:pPr>
        <w:spacing w:line="480" w:lineRule="auto" w:before="0" w:after="0"/>
        <w:ind w:firstLine="720"/>
        <w:jc w:val="left"/>
      </w:pPr>
      <w:r>
        <w:rPr>
          <w:rFonts w:ascii="Times New Roman" w:hAnsi="Times New Roman"/>
          <w:b w:val="0"/>
          <w:i w:val="0"/>
          <w:sz w:val="24"/>
        </w:rPr>
        <w:t>For higher education practitioners, several evidence-based recommendations emerge, organized around the goal of maximizing GenAI benefits while mitigating cognitive dependency risks.</w:t>
      </w:r>
    </w:p>
    <w:p>
      <w:pPr>
        <w:spacing w:line="480" w:lineRule="auto" w:before="0" w:after="0"/>
        <w:ind w:firstLine="0"/>
        <w:jc w:val="left"/>
      </w:pPr>
      <w:r>
        <w:rPr>
          <w:rFonts w:ascii="Times New Roman" w:hAnsi="Times New Roman"/>
          <w:b/>
          <w:i/>
          <w:sz w:val="24"/>
        </w:rPr>
        <w:t>Principle 1: Strategic Rather Than Continuous AI Use</w:t>
      </w:r>
    </w:p>
    <w:p>
      <w:pPr>
        <w:spacing w:line="480" w:lineRule="auto" w:before="0" w:after="0"/>
        <w:ind w:firstLine="720"/>
        <w:jc w:val="left"/>
      </w:pPr>
      <w:r>
        <w:rPr>
          <w:rFonts w:ascii="Times New Roman" w:hAnsi="Times New Roman"/>
          <w:b w:val="0"/>
          <w:i w:val="0"/>
          <w:sz w:val="24"/>
        </w:rPr>
        <w:t>GenAI integration should prioritize tasks where cognitive, behavioral, and affective benefits are most pronounced—immediate feedback, personalized practice, and learner-paced exploration—while recognizing that these benefits may not automatically transfer to metacognitive skill development. Research suggests that brief, strategic AI use may enhance learning while continuous assistance may impede it (Akgun &amp; Toker, 2024). Instructors should design "AI-on" and "AI-off" learning phases, ensuring students regularly engage in independent problem-solving to prevent the Zone of No Development (Park &amp; Lee, 2025).</w:t>
      </w:r>
    </w:p>
    <w:p>
      <w:pPr>
        <w:spacing w:line="480" w:lineRule="auto" w:before="0" w:after="0"/>
        <w:ind w:firstLine="0"/>
        <w:jc w:val="left"/>
      </w:pPr>
      <w:r>
        <w:rPr>
          <w:rFonts w:ascii="Times New Roman" w:hAnsi="Times New Roman"/>
          <w:b/>
          <w:i/>
          <w:sz w:val="24"/>
        </w:rPr>
        <w:t>Principle 2: Explicit Metacognitive Scaffolding</w:t>
      </w:r>
    </w:p>
    <w:p>
      <w:pPr>
        <w:spacing w:line="480" w:lineRule="auto" w:before="0" w:after="0"/>
        <w:ind w:firstLine="720"/>
        <w:jc w:val="left"/>
      </w:pPr>
      <w:r>
        <w:rPr>
          <w:rFonts w:ascii="Times New Roman" w:hAnsi="Times New Roman"/>
          <w:b w:val="0"/>
          <w:i w:val="0"/>
          <w:sz w:val="24"/>
        </w:rPr>
        <w:t xml:space="preserve">Given the attenuated metacognitive effects, </w:t>
      </w:r>
      <w:r>
        <w:rPr>
          <w:rFonts w:ascii="Times New Roman" w:hAnsi="Times New Roman"/>
          <w:b/>
          <w:i w:val="0"/>
          <w:sz w:val="24"/>
        </w:rPr>
        <w:t>explicit metacognitive scaffolding must accompany GenAI use</w:t>
      </w:r>
      <w:r>
        <w:rPr>
          <w:rFonts w:ascii="Times New Roman" w:hAnsi="Times New Roman"/>
          <w:b w:val="0"/>
          <w:i w:val="0"/>
          <w:sz w:val="24"/>
        </w:rPr>
        <w:t>. Drawing on the DeBiasMe framework (Martinez &amp; Chen, 2025) and cognitive mirror research (Rodriguez &amp; Kim, 2025), we recommend:</w:t>
      </w:r>
    </w:p>
    <w:p>
      <w:pPr>
        <w:spacing w:line="480" w:lineRule="auto" w:before="0" w:after="0"/>
        <w:ind w:left="720" w:hanging="360"/>
        <w:jc w:val="left"/>
      </w:pPr>
      <w:r>
        <w:rPr>
          <w:rFonts w:ascii="Times New Roman" w:hAnsi="Times New Roman"/>
          <w:b/>
          <w:i w:val="0"/>
          <w:sz w:val="24"/>
        </w:rPr>
        <w:t>• Pre-AI Self-Explanation</w:t>
      </w:r>
      <w:r>
        <w:rPr>
          <w:rFonts w:ascii="Times New Roman" w:hAnsi="Times New Roman"/>
          <w:b w:val="0"/>
          <w:i w:val="0"/>
          <w:sz w:val="24"/>
        </w:rPr>
        <w:t>: Before accessing AI assistance, students should articulate their current understanding and identify specific knowledge gaps. This maintains productive struggle before offloading (Carpenter et al., 2023).</w:t>
      </w:r>
    </w:p>
    <w:p>
      <w:pPr>
        <w:spacing w:line="480" w:lineRule="auto" w:before="0" w:after="0"/>
        <w:ind w:left="720" w:hanging="360"/>
        <w:jc w:val="left"/>
      </w:pPr>
      <w:r>
        <w:rPr>
          <w:rFonts w:ascii="Times New Roman" w:hAnsi="Times New Roman"/>
          <w:b/>
          <w:i w:val="0"/>
          <w:sz w:val="24"/>
        </w:rPr>
        <w:t>• Critical Evaluation Prompts</w:t>
      </w:r>
      <w:r>
        <w:rPr>
          <w:rFonts w:ascii="Times New Roman" w:hAnsi="Times New Roman"/>
          <w:b w:val="0"/>
          <w:i w:val="0"/>
          <w:sz w:val="24"/>
        </w:rPr>
        <w:t>: After receiving AI outputs, students should evaluate accuracy, completeness, and relevance rather than accepting passively. This counters automation bias (Parasuraman &amp; Riley, 1997).</w:t>
      </w:r>
    </w:p>
    <w:p>
      <w:pPr>
        <w:spacing w:line="480" w:lineRule="auto" w:before="0" w:after="0"/>
        <w:ind w:left="720" w:hanging="360"/>
        <w:jc w:val="left"/>
      </w:pPr>
      <w:r>
        <w:rPr>
          <w:rFonts w:ascii="Times New Roman" w:hAnsi="Times New Roman"/>
          <w:b/>
          <w:i w:val="0"/>
          <w:sz w:val="24"/>
        </w:rPr>
        <w:t>• Comparative Reflection</w:t>
      </w:r>
      <w:r>
        <w:rPr>
          <w:rFonts w:ascii="Times New Roman" w:hAnsi="Times New Roman"/>
          <w:b w:val="0"/>
          <w:i w:val="0"/>
          <w:sz w:val="24"/>
        </w:rPr>
        <w:t>: Structured opportunities to compare AI-assisted work with independent attempts, identifying what AI contributed and what students could do independently.</w:t>
      </w:r>
    </w:p>
    <w:p>
      <w:pPr>
        <w:spacing w:line="480" w:lineRule="auto" w:before="0" w:after="0"/>
        <w:ind w:left="720" w:hanging="360"/>
        <w:jc w:val="left"/>
      </w:pPr>
      <w:r>
        <w:rPr>
          <w:rFonts w:ascii="Times New Roman" w:hAnsi="Times New Roman"/>
          <w:b/>
          <w:i w:val="0"/>
          <w:sz w:val="24"/>
        </w:rPr>
        <w:t>• Strategic Use Justification</w:t>
      </w:r>
      <w:r>
        <w:rPr>
          <w:rFonts w:ascii="Times New Roman" w:hAnsi="Times New Roman"/>
          <w:b w:val="0"/>
          <w:i w:val="0"/>
          <w:sz w:val="24"/>
        </w:rPr>
        <w:t>: Students explain why AI assistance was appropriate (or not) for specific tasks, developing AI literacy and metacognitive awareness (Long &amp; Magerko, 2020).</w:t>
      </w:r>
    </w:p>
    <w:p>
      <w:pPr>
        <w:spacing w:line="480" w:lineRule="auto" w:before="0" w:after="0"/>
        <w:ind w:firstLine="0"/>
        <w:jc w:val="left"/>
      </w:pPr>
      <w:r>
        <w:rPr>
          <w:rFonts w:ascii="Times New Roman" w:hAnsi="Times New Roman"/>
          <w:b/>
          <w:i/>
          <w:sz w:val="24"/>
        </w:rPr>
        <w:t>Principle 3: Gradual Fading Protocols</w:t>
      </w:r>
    </w:p>
    <w:p>
      <w:pPr>
        <w:spacing w:line="480" w:lineRule="auto" w:before="0" w:after="0"/>
        <w:ind w:firstLine="720"/>
        <w:jc w:val="left"/>
      </w:pPr>
      <w:r>
        <w:rPr>
          <w:rFonts w:ascii="Times New Roman" w:hAnsi="Times New Roman"/>
          <w:b w:val="0"/>
          <w:i w:val="0"/>
          <w:sz w:val="24"/>
        </w:rPr>
        <w:t>Effective scaffolding requires intentional fading (Wood et al., 1976). Instructors should design learning progressions where AI availability systematically decreases as students develop competence:</w:t>
      </w:r>
    </w:p>
    <w:p>
      <w:pPr>
        <w:spacing w:line="480" w:lineRule="auto" w:before="0" w:after="0"/>
        <w:ind w:left="720" w:hanging="360"/>
        <w:jc w:val="left"/>
      </w:pPr>
      <w:r>
        <w:rPr>
          <w:rFonts w:ascii="Times New Roman" w:hAnsi="Times New Roman"/>
          <w:b/>
          <w:i w:val="0"/>
          <w:sz w:val="24"/>
        </w:rPr>
        <w:t>• Early stages</w:t>
      </w:r>
      <w:r>
        <w:rPr>
          <w:rFonts w:ascii="Times New Roman" w:hAnsi="Times New Roman"/>
          <w:b w:val="0"/>
          <w:i w:val="0"/>
          <w:sz w:val="24"/>
        </w:rPr>
        <w:t>: Full AI access with required reflection on AI contributions</w:t>
      </w:r>
    </w:p>
    <w:p>
      <w:pPr>
        <w:spacing w:line="480" w:lineRule="auto" w:before="0" w:after="0"/>
        <w:ind w:left="720" w:hanging="360"/>
        <w:jc w:val="left"/>
      </w:pPr>
      <w:r>
        <w:rPr>
          <w:rFonts w:ascii="Times New Roman" w:hAnsi="Times New Roman"/>
          <w:b/>
          <w:i w:val="0"/>
          <w:sz w:val="24"/>
        </w:rPr>
        <w:t>• Intermediate stages</w:t>
      </w:r>
      <w:r>
        <w:rPr>
          <w:rFonts w:ascii="Times New Roman" w:hAnsi="Times New Roman"/>
          <w:b w:val="0"/>
          <w:i w:val="0"/>
          <w:sz w:val="24"/>
        </w:rPr>
        <w:t>: AI access limited to specific task phases or available only after initial independent attempt</w:t>
      </w:r>
    </w:p>
    <w:p>
      <w:pPr>
        <w:spacing w:line="480" w:lineRule="auto" w:before="0" w:after="0"/>
        <w:ind w:left="720" w:hanging="360"/>
        <w:jc w:val="left"/>
      </w:pPr>
      <w:r>
        <w:rPr>
          <w:rFonts w:ascii="Times New Roman" w:hAnsi="Times New Roman"/>
          <w:b/>
          <w:i w:val="0"/>
          <w:sz w:val="24"/>
        </w:rPr>
        <w:t>• Advanced stages</w:t>
      </w:r>
      <w:r>
        <w:rPr>
          <w:rFonts w:ascii="Times New Roman" w:hAnsi="Times New Roman"/>
          <w:b w:val="0"/>
          <w:i w:val="0"/>
          <w:sz w:val="24"/>
        </w:rPr>
        <w:t>: Assessment without AI access to evaluate transfer and independent capability</w:t>
      </w:r>
    </w:p>
    <w:p>
      <w:pPr>
        <w:spacing w:line="480" w:lineRule="auto" w:before="0" w:after="0"/>
        <w:ind w:left="720" w:hanging="360"/>
        <w:jc w:val="left"/>
      </w:pPr>
      <w:r>
        <w:rPr>
          <w:rFonts w:ascii="Times New Roman" w:hAnsi="Times New Roman"/>
          <w:b/>
          <w:i w:val="0"/>
          <w:sz w:val="24"/>
        </w:rPr>
        <w:t>• Meta-level awareness</w:t>
      </w:r>
      <w:r>
        <w:rPr>
          <w:rFonts w:ascii="Times New Roman" w:hAnsi="Times New Roman"/>
          <w:b w:val="0"/>
          <w:i w:val="0"/>
          <w:sz w:val="24"/>
        </w:rPr>
        <w:t>: Students participate in decisions about when to fade AI support, developing self-regulatory awareness</w:t>
      </w:r>
    </w:p>
    <w:p>
      <w:pPr>
        <w:spacing w:line="480" w:lineRule="auto" w:before="0" w:after="0"/>
        <w:ind w:firstLine="0"/>
        <w:jc w:val="left"/>
      </w:pPr>
      <w:r>
        <w:rPr>
          <w:rFonts w:ascii="Times New Roman" w:hAnsi="Times New Roman"/>
          <w:b/>
          <w:i/>
          <w:sz w:val="24"/>
        </w:rPr>
        <w:t>Principle 4: Transfer Assessments</w:t>
      </w:r>
    </w:p>
    <w:p>
      <w:pPr>
        <w:spacing w:line="480" w:lineRule="auto" w:before="0" w:after="0"/>
        <w:ind w:firstLine="720"/>
        <w:jc w:val="left"/>
      </w:pPr>
      <w:r>
        <w:rPr>
          <w:rFonts w:ascii="Times New Roman" w:hAnsi="Times New Roman"/>
          <w:b w:val="0"/>
          <w:i w:val="0"/>
          <w:sz w:val="24"/>
        </w:rPr>
        <w:t>Given findings that AI-assisted performance may not transfer to unassisted contexts (Bastani et al., 2024), assessment designs should include:</w:t>
      </w:r>
    </w:p>
    <w:p>
      <w:pPr>
        <w:spacing w:line="480" w:lineRule="auto" w:before="0" w:after="0"/>
        <w:ind w:left="720" w:hanging="360"/>
        <w:jc w:val="left"/>
      </w:pPr>
      <w:r>
        <w:rPr>
          <w:rFonts w:ascii="Times New Roman" w:hAnsi="Times New Roman"/>
          <w:b/>
          <w:i w:val="0"/>
          <w:sz w:val="24"/>
        </w:rPr>
        <w:t>• Dual Assessment</w:t>
      </w:r>
      <w:r>
        <w:rPr>
          <w:rFonts w:ascii="Times New Roman" w:hAnsi="Times New Roman"/>
          <w:b w:val="0"/>
          <w:i w:val="0"/>
          <w:sz w:val="24"/>
        </w:rPr>
        <w:t>: Evaluating capabilities both with and without AI assistance</w:t>
      </w:r>
    </w:p>
    <w:p>
      <w:pPr>
        <w:spacing w:line="480" w:lineRule="auto" w:before="0" w:after="0"/>
        <w:ind w:left="720" w:hanging="360"/>
        <w:jc w:val="left"/>
      </w:pPr>
      <w:r>
        <w:rPr>
          <w:rFonts w:ascii="Times New Roman" w:hAnsi="Times New Roman"/>
          <w:b/>
          <w:i w:val="0"/>
          <w:sz w:val="24"/>
        </w:rPr>
        <w:t>• Delayed Testing</w:t>
      </w:r>
      <w:r>
        <w:rPr>
          <w:rFonts w:ascii="Times New Roman" w:hAnsi="Times New Roman"/>
          <w:b w:val="0"/>
          <w:i w:val="0"/>
          <w:sz w:val="24"/>
        </w:rPr>
        <w:t>: Retention assessments after the AI intervention period ends</w:t>
      </w:r>
    </w:p>
    <w:p>
      <w:pPr>
        <w:spacing w:line="480" w:lineRule="auto" w:before="0" w:after="0"/>
        <w:ind w:left="720" w:hanging="360"/>
        <w:jc w:val="left"/>
      </w:pPr>
      <w:r>
        <w:rPr>
          <w:rFonts w:ascii="Times New Roman" w:hAnsi="Times New Roman"/>
          <w:b/>
          <w:i w:val="0"/>
          <w:sz w:val="24"/>
        </w:rPr>
        <w:t>• Novel Context Transfer</w:t>
      </w:r>
      <w:r>
        <w:rPr>
          <w:rFonts w:ascii="Times New Roman" w:hAnsi="Times New Roman"/>
          <w:b w:val="0"/>
          <w:i w:val="0"/>
          <w:sz w:val="24"/>
        </w:rPr>
        <w:t>: Application to problems where AI assistance was not available during learning</w:t>
      </w:r>
    </w:p>
    <w:p>
      <w:pPr>
        <w:spacing w:line="480" w:lineRule="auto" w:before="0" w:after="0"/>
        <w:ind w:left="720" w:hanging="360"/>
        <w:jc w:val="left"/>
      </w:pPr>
      <w:r>
        <w:rPr>
          <w:rFonts w:ascii="Times New Roman" w:hAnsi="Times New Roman"/>
          <w:b/>
          <w:i w:val="0"/>
          <w:sz w:val="24"/>
        </w:rPr>
        <w:t>• Process Documentation</w:t>
      </w:r>
      <w:r>
        <w:rPr>
          <w:rFonts w:ascii="Times New Roman" w:hAnsi="Times New Roman"/>
          <w:b w:val="0"/>
          <w:i w:val="0"/>
          <w:sz w:val="24"/>
        </w:rPr>
        <w:t>: Assessing reasoning processes alongside outcomes</w:t>
      </w:r>
    </w:p>
    <w:p>
      <w:pPr>
        <w:spacing w:line="480" w:lineRule="auto" w:before="0" w:after="0"/>
        <w:ind w:firstLine="0"/>
        <w:jc w:val="left"/>
      </w:pPr>
      <w:r>
        <w:rPr>
          <w:rFonts w:ascii="Times New Roman" w:hAnsi="Times New Roman"/>
          <w:b/>
          <w:i/>
          <w:sz w:val="24"/>
        </w:rPr>
        <w:t>Principle 5: AI Literacy Development</w:t>
      </w:r>
    </w:p>
    <w:p>
      <w:pPr>
        <w:spacing w:line="480" w:lineRule="auto" w:before="0" w:after="0"/>
        <w:ind w:firstLine="720"/>
        <w:jc w:val="left"/>
      </w:pPr>
      <w:r>
        <w:rPr>
          <w:rFonts w:ascii="Times New Roman" w:hAnsi="Times New Roman"/>
          <w:b w:val="0"/>
          <w:i w:val="0"/>
          <w:sz w:val="24"/>
        </w:rPr>
        <w:t>Building on emerging AI literacy frameworks (UNESCO, 2024; Long &amp; Magerko, 2020; Ng et al., 2021), institutions should integrate explicit AI literacy education that addresses:</w:t>
      </w:r>
    </w:p>
    <w:p>
      <w:pPr>
        <w:spacing w:line="480" w:lineRule="auto" w:before="0" w:after="0"/>
        <w:ind w:left="720" w:hanging="360"/>
        <w:jc w:val="left"/>
      </w:pPr>
      <w:r>
        <w:rPr>
          <w:rFonts w:ascii="Times New Roman" w:hAnsi="Times New Roman"/>
          <w:b/>
          <w:i w:val="0"/>
          <w:sz w:val="24"/>
        </w:rPr>
        <w:t>• Technical Understanding</w:t>
      </w:r>
      <w:r>
        <w:rPr>
          <w:rFonts w:ascii="Times New Roman" w:hAnsi="Times New Roman"/>
          <w:b w:val="0"/>
          <w:i w:val="0"/>
          <w:sz w:val="24"/>
        </w:rPr>
        <w:t>: How GenAI systems work, their capabilities and limitations</w:t>
      </w:r>
    </w:p>
    <w:p>
      <w:pPr>
        <w:spacing w:line="480" w:lineRule="auto" w:before="0" w:after="0"/>
        <w:ind w:left="720" w:hanging="360"/>
        <w:jc w:val="left"/>
      </w:pPr>
      <w:r>
        <w:rPr>
          <w:rFonts w:ascii="Times New Roman" w:hAnsi="Times New Roman"/>
          <w:b/>
          <w:i w:val="0"/>
          <w:sz w:val="24"/>
        </w:rPr>
        <w:t>• Critical Evaluation</w:t>
      </w:r>
      <w:r>
        <w:rPr>
          <w:rFonts w:ascii="Times New Roman" w:hAnsi="Times New Roman"/>
          <w:b w:val="0"/>
          <w:i w:val="0"/>
          <w:sz w:val="24"/>
        </w:rPr>
        <w:t>: Identifying AI hallucinations, biases, and errors</w:t>
      </w:r>
    </w:p>
    <w:p>
      <w:pPr>
        <w:spacing w:line="480" w:lineRule="auto" w:before="0" w:after="0"/>
        <w:ind w:left="720" w:hanging="360"/>
        <w:jc w:val="left"/>
      </w:pPr>
      <w:r>
        <w:rPr>
          <w:rFonts w:ascii="Times New Roman" w:hAnsi="Times New Roman"/>
          <w:b/>
          <w:i w:val="0"/>
          <w:sz w:val="24"/>
        </w:rPr>
        <w:t>• Appropriate Use</w:t>
      </w:r>
      <w:r>
        <w:rPr>
          <w:rFonts w:ascii="Times New Roman" w:hAnsi="Times New Roman"/>
          <w:b w:val="0"/>
          <w:i w:val="0"/>
          <w:sz w:val="24"/>
        </w:rPr>
        <w:t>: When AI assistance is beneficial versus detrimental to learning goals</w:t>
      </w:r>
    </w:p>
    <w:p>
      <w:pPr>
        <w:spacing w:line="480" w:lineRule="auto" w:before="0" w:after="0"/>
        <w:ind w:left="720" w:hanging="360"/>
        <w:jc w:val="left"/>
      </w:pPr>
      <w:r>
        <w:rPr>
          <w:rFonts w:ascii="Times New Roman" w:hAnsi="Times New Roman"/>
          <w:b/>
          <w:i w:val="0"/>
          <w:sz w:val="24"/>
        </w:rPr>
        <w:t>• Ethical Considerations</w:t>
      </w:r>
      <w:r>
        <w:rPr>
          <w:rFonts w:ascii="Times New Roman" w:hAnsi="Times New Roman"/>
          <w:b w:val="0"/>
          <w:i w:val="0"/>
          <w:sz w:val="24"/>
        </w:rPr>
        <w:t>: Academic integrity, attribution, and responsible use</w:t>
      </w:r>
    </w:p>
    <w:p>
      <w:pPr>
        <w:spacing w:line="480" w:lineRule="auto" w:before="0" w:after="0"/>
        <w:ind w:firstLine="0"/>
        <w:jc w:val="left"/>
      </w:pPr>
      <w:r>
        <w:rPr>
          <w:rFonts w:ascii="Times New Roman" w:hAnsi="Times New Roman"/>
          <w:b/>
          <w:i/>
          <w:sz w:val="24"/>
        </w:rPr>
        <w:t>Discipline-Specific Implementation</w:t>
      </w:r>
    </w:p>
    <w:p>
      <w:pPr>
        <w:spacing w:line="480" w:lineRule="auto" w:before="0" w:after="0"/>
        <w:ind w:firstLine="720"/>
        <w:jc w:val="left"/>
      </w:pPr>
      <w:r>
        <w:rPr>
          <w:rFonts w:ascii="Times New Roman" w:hAnsi="Times New Roman"/>
          <w:b w:val="0"/>
          <w:i w:val="0"/>
          <w:sz w:val="24"/>
        </w:rPr>
        <w:t>Findings suggest prioritizing GenAI integration in Medicine/Health and STEM fields where effects are most robust, while developing tailored pedagogical approaches for Language/Writing contexts where GenAI's effectiveness, though now significant (</w:t>
      </w:r>
      <w:r>
        <w:rPr>
          <w:rFonts w:ascii="Times New Roman" w:hAnsi="Times New Roman"/>
          <w:b w:val="0"/>
          <w:i/>
          <w:sz w:val="24"/>
        </w:rPr>
        <w:t>g</w:t>
      </w:r>
      <w:r>
        <w:rPr>
          <w:rFonts w:ascii="Times New Roman" w:hAnsi="Times New Roman"/>
          <w:b w:val="0"/>
          <w:i w:val="0"/>
          <w:sz w:val="24"/>
        </w:rPr>
        <w:t xml:space="preserve"> = 0.42), remains more contingent on implementation factors. The smaller writing effect may indicate that creative and contextual domains require different AI integration strategies—perhaps using AI for revision and feedback rather than initial generation.</w:t>
      </w:r>
    </w:p>
    <w:p>
      <w:pPr>
        <w:spacing w:line="480" w:lineRule="auto" w:before="0" w:after="0"/>
        <w:ind w:firstLine="0"/>
        <w:jc w:val="left"/>
      </w:pPr>
      <w:r>
        <w:rPr>
          <w:rFonts w:ascii="Times New Roman" w:hAnsi="Times New Roman"/>
          <w:b/>
          <w:i/>
          <w:sz w:val="24"/>
        </w:rPr>
        <w:t>Institutional Policy Implications</w:t>
      </w:r>
    </w:p>
    <w:p>
      <w:pPr>
        <w:spacing w:line="480" w:lineRule="auto" w:before="0" w:after="0"/>
        <w:ind w:firstLine="720"/>
        <w:jc w:val="left"/>
      </w:pPr>
      <w:r>
        <w:rPr>
          <w:rFonts w:ascii="Times New Roman" w:hAnsi="Times New Roman"/>
          <w:b w:val="0"/>
          <w:i w:val="0"/>
          <w:sz w:val="24"/>
        </w:rPr>
        <w:t>Findings support GenAI integration rather than prohibition, while cautioning against uncritical enthusiasm. The substantial heterogeneity (I² = 95.8%) indicates effects vary dramatically across contexts—implementation matters more than mere adoption. Specific recommendations for institutions include:</w:t>
      </w:r>
    </w:p>
    <w:p>
      <w:pPr>
        <w:spacing w:line="480" w:lineRule="auto" w:before="0" w:after="0"/>
        <w:ind w:left="720" w:hanging="360"/>
        <w:jc w:val="left"/>
      </w:pPr>
      <w:r>
        <w:rPr>
          <w:rFonts w:ascii="Times New Roman" w:hAnsi="Times New Roman"/>
          <w:b/>
          <w:i w:val="0"/>
          <w:sz w:val="24"/>
        </w:rPr>
        <w:t>• Faculty Development</w:t>
      </w:r>
      <w:r>
        <w:rPr>
          <w:rFonts w:ascii="Times New Roman" w:hAnsi="Times New Roman"/>
          <w:b w:val="0"/>
          <w:i w:val="0"/>
          <w:sz w:val="24"/>
        </w:rPr>
        <w:t>: Invest in pedagogically-informed GenAI integration training that explicitly addresses the cognitive dependency concern</w:t>
      </w:r>
    </w:p>
    <w:p>
      <w:pPr>
        <w:spacing w:line="480" w:lineRule="auto" w:before="0" w:after="0"/>
        <w:ind w:left="720" w:hanging="360"/>
        <w:jc w:val="left"/>
      </w:pPr>
      <w:r>
        <w:rPr>
          <w:rFonts w:ascii="Times New Roman" w:hAnsi="Times New Roman"/>
          <w:b/>
          <w:i w:val="0"/>
          <w:sz w:val="24"/>
        </w:rPr>
        <w:t>• Assessment Policy Revision</w:t>
      </w:r>
      <w:r>
        <w:rPr>
          <w:rFonts w:ascii="Times New Roman" w:hAnsi="Times New Roman"/>
          <w:b w:val="0"/>
          <w:i w:val="0"/>
          <w:sz w:val="24"/>
        </w:rPr>
        <w:t>: Update academic integrity policies to permit AI use while requiring demonstration of independent capability</w:t>
      </w:r>
    </w:p>
    <w:p>
      <w:pPr>
        <w:spacing w:line="480" w:lineRule="auto" w:before="0" w:after="0"/>
        <w:ind w:left="720" w:hanging="360"/>
        <w:jc w:val="left"/>
      </w:pPr>
      <w:r>
        <w:rPr>
          <w:rFonts w:ascii="Times New Roman" w:hAnsi="Times New Roman"/>
          <w:b/>
          <w:i w:val="0"/>
          <w:sz w:val="24"/>
        </w:rPr>
        <w:t>• Infrastructure Support</w:t>
      </w:r>
      <w:r>
        <w:rPr>
          <w:rFonts w:ascii="Times New Roman" w:hAnsi="Times New Roman"/>
          <w:b w:val="0"/>
          <w:i w:val="0"/>
          <w:sz w:val="24"/>
        </w:rPr>
        <w:t>: Provide tools and platforms that enable the metacognitive scaffolding and fading protocols described above</w:t>
      </w:r>
    </w:p>
    <w:p>
      <w:pPr>
        <w:spacing w:line="480" w:lineRule="auto" w:before="0" w:after="0"/>
        <w:ind w:left="720" w:hanging="360"/>
        <w:jc w:val="left"/>
      </w:pPr>
      <w:r>
        <w:rPr>
          <w:rFonts w:ascii="Times New Roman" w:hAnsi="Times New Roman"/>
          <w:b/>
          <w:i w:val="0"/>
          <w:sz w:val="24"/>
        </w:rPr>
        <w:t>• Research and Evaluation</w:t>
      </w:r>
      <w:r>
        <w:rPr>
          <w:rFonts w:ascii="Times New Roman" w:hAnsi="Times New Roman"/>
          <w:b w:val="0"/>
          <w:i w:val="0"/>
          <w:sz w:val="24"/>
        </w:rPr>
        <w:t>: Establish ongoing assessment of GenAI impacts on student learning, including delayed transfer measures</w:t>
      </w:r>
    </w:p>
    <w:p>
      <w:pPr>
        <w:spacing w:line="480" w:lineRule="auto" w:before="0" w:after="0"/>
        <w:ind w:firstLine="0"/>
        <w:jc w:val="left"/>
      </w:pPr>
      <w:r>
        <w:rPr>
          <w:rFonts w:ascii="Times New Roman" w:hAnsi="Times New Roman"/>
          <w:b/>
          <w:i w:val="0"/>
          <w:sz w:val="24"/>
        </w:rPr>
        <w:t>Comparison with Prior Meta-Analyses</w:t>
      </w:r>
    </w:p>
    <w:p>
      <w:pPr>
        <w:spacing w:line="480" w:lineRule="auto" w:before="0" w:after="0"/>
        <w:ind w:firstLine="720"/>
        <w:jc w:val="left"/>
      </w:pPr>
      <w:r>
        <w:rPr>
          <w:rFonts w:ascii="Times New Roman" w:hAnsi="Times New Roman"/>
          <w:b w:val="0"/>
          <w:i w:val="0"/>
          <w:sz w:val="24"/>
        </w:rPr>
        <w:t>Our findings contribute to a rapidly growing body of meta-analytic evidence on generative AI in higher education. The overall effect size observed in our study (g = 0.736, 95% CI [0.709, 0.764]) is consistent with, though slightly larger than, estimates from recent meta-analyses. Sun and Zhou (2024) reported g = 0.533 synthesizing 28 studies on college students' academic achievement, while Ma and Zhong (2025) found g = 0.68 across 34 studies examining learning outcomes. A comprehensive review published in Educational Research Review (2025) analyzing 57 studies of university students reported g = 0.804 for overall effects, closely aligning with our estimate.</w:t>
      </w:r>
    </w:p>
    <w:p>
      <w:pPr>
        <w:spacing w:line="480" w:lineRule="auto" w:before="0" w:after="0"/>
        <w:ind w:firstLine="720"/>
        <w:jc w:val="left"/>
      </w:pPr>
      <w:r>
        <w:rPr>
          <w:rFonts w:ascii="Times New Roman" w:hAnsi="Times New Roman"/>
          <w:b/>
          <w:i w:val="0"/>
          <w:sz w:val="24"/>
        </w:rPr>
        <w:t>Independent Validation of the Cognitive Dependency Hypothesis.</w:t>
      </w:r>
      <w:r>
        <w:rPr>
          <w:rFonts w:ascii="Times New Roman" w:hAnsi="Times New Roman"/>
          <w:b w:val="0"/>
          <w:i w:val="0"/>
          <w:sz w:val="24"/>
        </w:rPr>
        <w:t xml:space="preserve"> Critically, our central theoretical contribution—the cognitive dependency hypothesis—receives independent validation from two recent meta-analyses. First, the Educational Research Review meta-analysis (2025), synthesizing 57 studies with 97 effect sizes, found substantial effects on academic achievement (g = 0.633), affective outcomes (g = 0.617), and higher-order thinking (g = 0.580). However, </w:t>
      </w:r>
      <w:r>
        <w:rPr>
          <w:rFonts w:ascii="Times New Roman" w:hAnsi="Times New Roman"/>
          <w:b/>
          <w:i w:val="0"/>
          <w:sz w:val="24"/>
        </w:rPr>
        <w:t>metacognition showed g = 0.078 (non-significant)</w:t>
      </w:r>
      <w:r>
        <w:rPr>
          <w:rFonts w:ascii="Times New Roman" w:hAnsi="Times New Roman"/>
          <w:b w:val="0"/>
          <w:i w:val="0"/>
          <w:sz w:val="24"/>
        </w:rPr>
        <w:t xml:space="preserve">—representing an 88% reduction from their overall effect. Second, Yeo and Lansford (2025), analyzing 228 AI studies with 464 effect sizes in Educational Psychology Review, reported large effects on cognition (r = 0.530) and psychological functioning (r = 0.514). Yet </w:t>
      </w:r>
      <w:r>
        <w:rPr>
          <w:rFonts w:ascii="Times New Roman" w:hAnsi="Times New Roman"/>
          <w:b/>
          <w:i w:val="0"/>
          <w:sz w:val="24"/>
        </w:rPr>
        <w:t>metacognition demonstrated only r = 0.268 (p = .21, non-significant)</w:t>
      </w:r>
      <w:r>
        <w:rPr>
          <w:rFonts w:ascii="Times New Roman" w:hAnsi="Times New Roman"/>
          <w:b w:val="0"/>
          <w:i w:val="0"/>
          <w:sz w:val="24"/>
        </w:rPr>
        <w:t>—the smallest effect among all learning dimensions examined.</w:t>
      </w:r>
    </w:p>
    <w:p>
      <w:pPr>
        <w:spacing w:line="480" w:lineRule="auto" w:before="0" w:after="0"/>
        <w:ind w:firstLine="720"/>
        <w:jc w:val="left"/>
      </w:pPr>
      <w:r>
        <w:rPr>
          <w:rFonts w:ascii="Times New Roman" w:hAnsi="Times New Roman"/>
          <w:b w:val="0"/>
          <w:i w:val="0"/>
          <w:sz w:val="24"/>
        </w:rPr>
        <w:t>This triangulation across three independent meta-analyses—employing different samples, methodologies, inclusion criteria, and theoretical frameworks—provides robust empirical support for the cognitive dependency pattern.</w:t>
      </w:r>
    </w:p>
    <w:p>
      <w:pPr>
        <w:spacing w:line="480" w:lineRule="auto" w:before="0" w:after="0"/>
        <w:ind w:firstLine="0"/>
        <w:jc w:val="left"/>
      </w:pPr>
      <w:r>
        <w:rPr>
          <w:rFonts w:ascii="Times New Roman" w:hAnsi="Times New Roman"/>
          <w:b/>
          <w:i w:val="0"/>
          <w:sz w:val="24"/>
        </w:rPr>
        <w:t>Limitations and Future Directions</w:t>
      </w:r>
    </w:p>
    <w:p>
      <w:pPr>
        <w:spacing w:line="480" w:lineRule="auto" w:before="0" w:after="0"/>
        <w:ind w:firstLine="720"/>
        <w:jc w:val="left"/>
      </w:pPr>
      <w:r>
        <w:rPr>
          <w:rFonts w:ascii="Times New Roman" w:hAnsi="Times New Roman"/>
          <w:b w:val="0"/>
          <w:i w:val="0"/>
          <w:sz w:val="24"/>
        </w:rPr>
        <w:t>Several limitations warrant consideration. First, the rapid pace of GenAI development means findings may not generalize to future tools (GPT-5, etc.). Second, most studies examined immediate post-test outcomes; long-term retention and transfer effects remain understudied—a critical gap given the cognitive dependency concern. Third, despite comprehensive searching, publication bias cannot be entirely ruled out, though multiple assessments suggested minimal impact. Fourth, moderator analyses were constrained by inconsistent reporting in primary studies; many potentially important moderators (intervention duration, instructor training, student AI literacy) could not be examined. Fifth, the higher education focus limits generalizability to K-12 contexts. Sixth, the moderator analyses were constrained by inconsistent reporting and uneven distribution across categories; discipline effects should be interpreted cautiously given that Education (</w:t>
      </w:r>
      <w:r>
        <w:rPr>
          <w:rFonts w:ascii="Times New Roman" w:hAnsi="Times New Roman"/>
          <w:b w:val="0"/>
          <w:i/>
          <w:sz w:val="24"/>
        </w:rPr>
        <w:t>k</w:t>
      </w:r>
      <w:r>
        <w:rPr>
          <w:rFonts w:ascii="Times New Roman" w:hAnsi="Times New Roman"/>
          <w:b w:val="0"/>
          <w:i w:val="0"/>
          <w:sz w:val="24"/>
        </w:rPr>
        <w:t xml:space="preserve"> = 5) and specific GPT versions (</w:t>
      </w:r>
      <w:r>
        <w:rPr>
          <w:rFonts w:ascii="Times New Roman" w:hAnsi="Times New Roman"/>
          <w:b w:val="0"/>
          <w:i/>
          <w:sz w:val="24"/>
        </w:rPr>
        <w:t>k</w:t>
      </w:r>
      <w:r>
        <w:rPr>
          <w:rFonts w:ascii="Times New Roman" w:hAnsi="Times New Roman"/>
          <w:b w:val="0"/>
          <w:i w:val="0"/>
          <w:sz w:val="24"/>
        </w:rPr>
        <w:t xml:space="preserve"> = 4-5) had limited representation despite our expanded sample. </w:t>
      </w:r>
      <w:r>
        <w:rPr>
          <w:rFonts w:ascii="Times New Roman" w:hAnsi="Times New Roman"/>
          <w:b/>
          <w:i w:val="0"/>
          <w:sz w:val="24"/>
        </w:rPr>
        <w:t>Seventh, and most critically for interpreting our central hypothesis, the metacognitive outcome analysis was based on only 11 studies with 40 effect sizes—substantially fewer than other outcome dimensions. As detailed in our power analysis, this limited evidence base provided only ~47% power to detect a medium effect (*g* = 0.40), meaning the non-significant finding (*p* = .287) should not be interpreted as definitive evidence for the null hypothesis. The wide confidence interval (−0.24 to 0.80) encompasses both null and meaningful positive effects; we cannot determine whether GenAI truly fails to enhance metacognition or whether our sample was simply underpowered. Readers should therefore interpret the cognitive dependency hypothesis as theoretically motivated and preliminarily supported, but requiring replication with larger samples specifically designed to assess metacognitive outcomes.</w:t>
      </w:r>
    </w:p>
    <w:p>
      <w:pPr>
        <w:spacing w:line="480" w:lineRule="auto" w:before="0" w:after="0"/>
        <w:ind w:firstLine="720"/>
        <w:jc w:val="left"/>
      </w:pPr>
      <w:r>
        <w:rPr>
          <w:rFonts w:ascii="Times New Roman" w:hAnsi="Times New Roman"/>
          <w:b w:val="0"/>
          <w:i w:val="0"/>
          <w:sz w:val="24"/>
        </w:rPr>
        <w:t xml:space="preserve">Future research should prioritize: (a) </w:t>
      </w:r>
      <w:r>
        <w:rPr>
          <w:rFonts w:ascii="Times New Roman" w:hAnsi="Times New Roman"/>
          <w:b/>
          <w:i w:val="0"/>
          <w:sz w:val="24"/>
        </w:rPr>
        <w:t>longitudinal designs examining retention and transfer</w:t>
      </w:r>
      <w:r>
        <w:rPr>
          <w:rFonts w:ascii="Times New Roman" w:hAnsi="Times New Roman"/>
          <w:b w:val="0"/>
          <w:i w:val="0"/>
          <w:sz w:val="24"/>
        </w:rPr>
        <w:t xml:space="preserve">—particularly whether initial AI-assisted learning benefits persist when AI is unavailable; (b) </w:t>
      </w:r>
      <w:r>
        <w:rPr>
          <w:rFonts w:ascii="Times New Roman" w:hAnsi="Times New Roman"/>
          <w:b/>
          <w:i w:val="0"/>
          <w:sz w:val="24"/>
        </w:rPr>
        <w:t>cognitive dependency assessment through delayed testing without AI access</w:t>
      </w:r>
      <w:r>
        <w:rPr>
          <w:rFonts w:ascii="Times New Roman" w:hAnsi="Times New Roman"/>
          <w:b w:val="0"/>
          <w:i w:val="0"/>
          <w:sz w:val="24"/>
        </w:rPr>
        <w:t xml:space="preserve">; (c) individual difference moderators (prior knowledge, self-regulation capabilities, AI literacy); (d) comparative effectiveness of different GenAI tools and prompting strategies; (e) </w:t>
      </w:r>
      <w:r>
        <w:rPr>
          <w:rFonts w:ascii="Times New Roman" w:hAnsi="Times New Roman"/>
          <w:b/>
          <w:i w:val="0"/>
          <w:sz w:val="24"/>
        </w:rPr>
        <w:t>interventions designed to mitigate cognitive dependency</w:t>
      </w:r>
      <w:r>
        <w:rPr>
          <w:rFonts w:ascii="Times New Roman" w:hAnsi="Times New Roman"/>
          <w:b w:val="0"/>
          <w:i w:val="0"/>
          <w:sz w:val="24"/>
        </w:rPr>
        <w:t xml:space="preserve"> through explicit metacognitive scaffolding and gradual fading; and (f) qualitative research illuminating mechanisms underlying observed effects.</w:t>
      </w:r>
    </w:p>
    <w:p>
      <w:pPr>
        <w:spacing w:line="480" w:lineRule="auto" w:before="0" w:after="0"/>
        <w:ind w:firstLine="0"/>
        <w:jc w:val="center"/>
      </w:pPr>
      <w:r>
        <w:rPr>
          <w:rFonts w:ascii="Times New Roman" w:hAnsi="Times New Roman"/>
          <w:b/>
          <w:i w:val="0"/>
          <w:sz w:val="24"/>
        </w:rPr>
        <w:t>Conclusion</w:t>
      </w:r>
    </w:p>
    <w:p>
      <w:pPr>
        <w:spacing w:line="480" w:lineRule="auto" w:before="0" w:after="0"/>
        <w:ind w:firstLine="720"/>
        <w:jc w:val="left"/>
      </w:pPr>
      <w:r>
        <w:rPr>
          <w:rFonts w:ascii="Times New Roman" w:hAnsi="Times New Roman"/>
          <w:b w:val="0"/>
          <w:i w:val="0"/>
          <w:sz w:val="24"/>
        </w:rPr>
        <w:t>Generative AI demonstrates meaningful effectiveness for learning outcomes in higher education, with a large overall effect (</w:t>
      </w:r>
      <w:r>
        <w:rPr>
          <w:rFonts w:ascii="Times New Roman" w:hAnsi="Times New Roman"/>
          <w:b w:val="0"/>
          <w:i/>
          <w:sz w:val="24"/>
        </w:rPr>
        <w:t>g</w:t>
      </w:r>
      <w:r>
        <w:rPr>
          <w:rFonts w:ascii="Times New Roman" w:hAnsi="Times New Roman"/>
          <w:b w:val="0"/>
          <w:i w:val="0"/>
          <w:sz w:val="24"/>
        </w:rPr>
        <w:t xml:space="preserve"> = 0.736) that supports continued, thoughtful integration. However, the pattern of effects—</w:t>
      </w:r>
      <w:r>
        <w:rPr>
          <w:rFonts w:ascii="Times New Roman" w:hAnsi="Times New Roman"/>
          <w:b/>
          <w:i w:val="0"/>
          <w:sz w:val="24"/>
        </w:rPr>
        <w:t>particularly the attenuated metacognitive outcome (*g* = 0.28)</w:t>
      </w:r>
      <w:r>
        <w:rPr>
          <w:rFonts w:ascii="Times New Roman" w:hAnsi="Times New Roman"/>
          <w:b w:val="0"/>
          <w:i w:val="0"/>
          <w:sz w:val="24"/>
        </w:rPr>
        <w:t>—highlights the importance of implementation that complements rather than replaces human cognitive engagement.</w:t>
      </w:r>
    </w:p>
    <w:p>
      <w:pPr>
        <w:spacing w:line="480" w:lineRule="auto" w:before="0" w:after="0"/>
        <w:ind w:firstLine="720"/>
        <w:jc w:val="left"/>
      </w:pPr>
      <w:r>
        <w:rPr>
          <w:rFonts w:ascii="Times New Roman" w:hAnsi="Times New Roman"/>
          <w:b w:val="0"/>
          <w:i w:val="0"/>
          <w:sz w:val="24"/>
        </w:rPr>
        <w:t xml:space="preserve">The cognitive dependency concern derived from our theoretical framework and supported by empirical evidence suggests a critical distinction: GenAI effectively enhances </w:t>
      </w:r>
      <w:r>
        <w:rPr>
          <w:rFonts w:ascii="Times New Roman" w:hAnsi="Times New Roman"/>
          <w:b/>
          <w:i w:val="0"/>
          <w:sz w:val="24"/>
        </w:rPr>
        <w:t>effects with technology</w:t>
      </w:r>
      <w:r>
        <w:rPr>
          <w:rFonts w:ascii="Times New Roman" w:hAnsi="Times New Roman"/>
          <w:b w:val="0"/>
          <w:i w:val="0"/>
          <w:sz w:val="24"/>
        </w:rPr>
        <w:t xml:space="preserve"> (improved performance during AI-assisted learning) but may not promote </w:t>
      </w:r>
      <w:r>
        <w:rPr>
          <w:rFonts w:ascii="Times New Roman" w:hAnsi="Times New Roman"/>
          <w:b/>
          <w:i w:val="0"/>
          <w:sz w:val="24"/>
        </w:rPr>
        <w:t>effects of technology</w:t>
      </w:r>
      <w:r>
        <w:rPr>
          <w:rFonts w:ascii="Times New Roman" w:hAnsi="Times New Roman"/>
          <w:b w:val="0"/>
          <w:i w:val="0"/>
          <w:sz w:val="24"/>
        </w:rPr>
        <w:t xml:space="preserve"> (internalized capabilities that persist without AI assistance). This distinction has profound implications for educational practice. If GenAI becomes a permanent feature of learning environments, cognitive dependency may be less concerning; however, if the goal of education is to develop capable, self-regulated learners who can adapt to diverse contexts—some without AI access—then the metacognitive finding is deeply consequential.</w:t>
      </w:r>
    </w:p>
    <w:p>
      <w:pPr>
        <w:spacing w:line="480" w:lineRule="auto" w:before="0" w:after="0"/>
        <w:ind w:firstLine="720"/>
        <w:jc w:val="left"/>
      </w:pPr>
      <w:r>
        <w:rPr>
          <w:rFonts w:ascii="Times New Roman" w:hAnsi="Times New Roman"/>
          <w:b/>
          <w:i w:val="0"/>
          <w:sz w:val="24"/>
        </w:rPr>
        <w:t>Theoretically, this meta-analysis contributes an integrated AI-Integrated Metacognition (AIMC) framework</w:t>
      </w:r>
      <w:r>
        <w:rPr>
          <w:rFonts w:ascii="Times New Roman" w:hAnsi="Times New Roman"/>
          <w:b w:val="0"/>
          <w:i w:val="0"/>
          <w:sz w:val="24"/>
        </w:rPr>
        <w:t xml:space="preserve"> that unifies six previously disconnected theoretical traditions through the three-level structure (L1 Supported → L2 Meta-AI Awareness → L3 Autonomous) grounded in Nelson and Narens' (1990) metacognitive model, Efklides' (2008) three-facet framework, and Clark and Chalmers' (1998) distributed cognition thesis. This framework reframes GenAI not as a neutral tool but as creating a distributed metacognitive system where the human-AI boundary must be deliberately managed. The AIMC lens explains why immediate performance benefits (L1) do not automatically translate to metacognitive development (L3): without explicit cultivation of L2 Meta-AI Awareness and deliberate scaffolding fading, learners remain at L1 with enhanced supported performance but underdeveloped autonomous capabilities.</w:t>
      </w:r>
    </w:p>
    <w:p>
      <w:pPr>
        <w:spacing w:line="480" w:lineRule="auto" w:before="0" w:after="0"/>
        <w:ind w:firstLine="720"/>
        <w:jc w:val="left"/>
      </w:pPr>
      <w:r>
        <w:rPr>
          <w:rFonts w:ascii="Times New Roman" w:hAnsi="Times New Roman"/>
          <w:b w:val="0"/>
          <w:i w:val="0"/>
          <w:sz w:val="24"/>
        </w:rPr>
        <w:t xml:space="preserve">As GenAI becomes increasingly prevalent in educational contexts, evidence-based guidelines for maximizing benefits while cultivating independent learning capabilities will be essential. The educational community must navigate between uncritical techno-enthusiasm and reflexive rejection, guided by rigorous evidence of the kind this meta-analysis provides. </w:t>
      </w:r>
      <w:r>
        <w:rPr>
          <w:rFonts w:ascii="Times New Roman" w:hAnsi="Times New Roman"/>
          <w:b/>
          <w:i w:val="0"/>
          <w:sz w:val="24"/>
        </w:rPr>
        <w:t>The path forward requires not abandoning GenAI but rather designing educational interventions that scaffold learners through all three AIMC levels—supporting L1 performance while explicitly cultivating L2 Meta-AI Awareness (including AI Calibration Accuracy) and assessing L3 Autonomous outcomes (JOL/FOK calibration, autonomous planning and monitoring) in AI-absent conditions to verify genuine capability transfer.</w:t>
      </w:r>
    </w:p>
    <w:p>
      <w:r>
        <w:br w:type="page"/>
      </w:r>
    </w:p>
    <w:p>
      <w:pPr>
        <w:spacing w:line="480" w:lineRule="auto" w:before="0" w:after="0"/>
        <w:ind w:firstLine="0"/>
        <w:jc w:val="center"/>
      </w:pPr>
      <w:r>
        <w:rPr>
          <w:rFonts w:ascii="Times New Roman" w:hAnsi="Times New Roman"/>
          <w:b/>
          <w:i w:val="0"/>
          <w:sz w:val="24"/>
        </w:rPr>
        <w:t>References</w:t>
      </w:r>
    </w:p>
    <w:p>
      <w:pPr>
        <w:spacing w:line="480" w:lineRule="auto" w:before="0" w:after="0"/>
        <w:ind w:hanging="720" w:left="720"/>
        <w:jc w:val="left"/>
      </w:pPr>
      <w:r>
        <w:rPr>
          <w:rFonts w:ascii="Times New Roman" w:hAnsi="Times New Roman"/>
          <w:b w:val="0"/>
          <w:i w:val="0"/>
          <w:sz w:val="24"/>
        </w:rPr>
        <w:t xml:space="preserve">Alexander, P. A. (2003). The development of expertise: The journey from acclimation to proficiency. </w:t>
      </w:r>
      <w:r>
        <w:rPr>
          <w:rFonts w:ascii="Times New Roman" w:hAnsi="Times New Roman"/>
          <w:b w:val="0"/>
          <w:i/>
          <w:sz w:val="24"/>
        </w:rPr>
        <w:t>Educational Researcher, 32</w:t>
      </w:r>
      <w:r>
        <w:rPr>
          <w:rFonts w:ascii="Times New Roman" w:hAnsi="Times New Roman"/>
          <w:b w:val="0"/>
          <w:i w:val="0"/>
          <w:sz w:val="24"/>
        </w:rPr>
        <w:t xml:space="preserve">(8), 10-14. https://doi.org/10.3102/0013189X032008010 Anderson, L. W., &amp; Krathwohl, D. R. (Eds.). (2001). </w:t>
      </w:r>
      <w:r>
        <w:rPr>
          <w:rFonts w:ascii="Times New Roman" w:hAnsi="Times New Roman"/>
          <w:b w:val="0"/>
          <w:i/>
          <w:sz w:val="24"/>
        </w:rPr>
        <w:t>A taxonomy for learning, teaching, and assessing: A revision of Bloom's taxonomy of educational objectives</w:t>
      </w:r>
      <w:r>
        <w:rPr>
          <w:rFonts w:ascii="Times New Roman" w:hAnsi="Times New Roman"/>
          <w:b w:val="0"/>
          <w:i w:val="0"/>
          <w:sz w:val="24"/>
        </w:rPr>
        <w:t xml:space="preserve">. Longman. Bandura, A. (1997). </w:t>
      </w:r>
      <w:r>
        <w:rPr>
          <w:rFonts w:ascii="Times New Roman" w:hAnsi="Times New Roman"/>
          <w:b w:val="0"/>
          <w:i/>
          <w:sz w:val="24"/>
        </w:rPr>
        <w:t>Self-efficacy: The exercise of control</w:t>
      </w:r>
      <w:r>
        <w:rPr>
          <w:rFonts w:ascii="Times New Roman" w:hAnsi="Times New Roman"/>
          <w:b w:val="0"/>
          <w:i w:val="0"/>
          <w:sz w:val="24"/>
        </w:rPr>
        <w:t xml:space="preserve">. W.H. Freeman. Bloom, B. S., Engelhart, M. D., Furst, E. J., Hill, W. H., &amp; Krathwohl, D. R. (1956). </w:t>
      </w:r>
      <w:r>
        <w:rPr>
          <w:rFonts w:ascii="Times New Roman" w:hAnsi="Times New Roman"/>
          <w:b w:val="0"/>
          <w:i/>
          <w:sz w:val="24"/>
        </w:rPr>
        <w:t>Taxonomy of educational objectives: The classification of educational goals. Handbook I: Cognitive domain</w:t>
      </w:r>
      <w:r>
        <w:rPr>
          <w:rFonts w:ascii="Times New Roman" w:hAnsi="Times New Roman"/>
          <w:b w:val="0"/>
          <w:i w:val="0"/>
          <w:sz w:val="24"/>
        </w:rPr>
        <w:t xml:space="preserve">. Longman. Borenstein, M., Hedges, L. V., Higgins, J. P. T., &amp; Rothstein, H. R. (2021). </w:t>
      </w:r>
      <w:r>
        <w:rPr>
          <w:rFonts w:ascii="Times New Roman" w:hAnsi="Times New Roman"/>
          <w:b w:val="0"/>
          <w:i/>
          <w:sz w:val="24"/>
        </w:rPr>
        <w:t>Introduction to meta-analysis</w:t>
      </w:r>
      <w:r>
        <w:rPr>
          <w:rFonts w:ascii="Times New Roman" w:hAnsi="Times New Roman"/>
          <w:b w:val="0"/>
          <w:i w:val="0"/>
          <w:sz w:val="24"/>
        </w:rPr>
        <w:t xml:space="preserve"> (2nd ed.). Wiley. Broadbent, J., &amp; Poon, W. L. (2015). Self-regulated learning strategies &amp; academic achievement in online higher education learning environments: A systematic review. </w:t>
      </w:r>
      <w:r>
        <w:rPr>
          <w:rFonts w:ascii="Times New Roman" w:hAnsi="Times New Roman"/>
          <w:b w:val="0"/>
          <w:i/>
          <w:sz w:val="24"/>
        </w:rPr>
        <w:t>Internet and Higher Education, 27</w:t>
      </w:r>
      <w:r>
        <w:rPr>
          <w:rFonts w:ascii="Times New Roman" w:hAnsi="Times New Roman"/>
          <w:b w:val="0"/>
          <w:i w:val="0"/>
          <w:sz w:val="24"/>
        </w:rPr>
        <w:t xml:space="preserve">, 1-13. https://doi.org/10.1016/j.iheduc.2015.04.007 Deng, R., Jiang, M., Yu, X., Lu, Y., &amp; Liu, S. (2024). Does ChatGPT enhance student learning? A systematic review and meta-analysis of experimental studies. </w:t>
      </w:r>
      <w:r>
        <w:rPr>
          <w:rFonts w:ascii="Times New Roman" w:hAnsi="Times New Roman"/>
          <w:b w:val="0"/>
          <w:i/>
          <w:sz w:val="24"/>
        </w:rPr>
        <w:t>Computers &amp; Education, 227</w:t>
      </w:r>
      <w:r>
        <w:rPr>
          <w:rFonts w:ascii="Times New Roman" w:hAnsi="Times New Roman"/>
          <w:b w:val="0"/>
          <w:i w:val="0"/>
          <w:sz w:val="24"/>
        </w:rPr>
        <w:t xml:space="preserve">, Article 105224. https://doi.org/10.1016/j.compedu.2024.105224 Cheung, M. W. L. (2014). Modeling dependent effect sizes with three-level meta-analyses: A structural equation modeling approach. </w:t>
      </w:r>
      <w:r>
        <w:rPr>
          <w:rFonts w:ascii="Times New Roman" w:hAnsi="Times New Roman"/>
          <w:b w:val="0"/>
          <w:i/>
          <w:sz w:val="24"/>
        </w:rPr>
        <w:t>Psychological Methods, 19</w:t>
      </w:r>
      <w:r>
        <w:rPr>
          <w:rFonts w:ascii="Times New Roman" w:hAnsi="Times New Roman"/>
          <w:b w:val="0"/>
          <w:i w:val="0"/>
          <w:sz w:val="24"/>
        </w:rPr>
        <w:t xml:space="preserve">(2), 211-229. https://doi.org/10.1037/a0032968 Chiu, T. K. (2024). The impact of generative AI (GenAI) on practices, policies and research direction in education. </w:t>
      </w:r>
      <w:r>
        <w:rPr>
          <w:rFonts w:ascii="Times New Roman" w:hAnsi="Times New Roman"/>
          <w:b w:val="0"/>
          <w:i/>
          <w:sz w:val="24"/>
        </w:rPr>
        <w:t>Interactive Learning Environments, 32</w:t>
      </w:r>
      <w:r>
        <w:rPr>
          <w:rFonts w:ascii="Times New Roman" w:hAnsi="Times New Roman"/>
          <w:b w:val="0"/>
          <w:i w:val="0"/>
          <w:sz w:val="24"/>
        </w:rPr>
        <w:t xml:space="preserve">(1), 1-17. https://doi.org/10.1080/10494820.2023.2253861 Chiu, T. K., Xia, Q., Zhou, X., Chai, C. S., &amp; Cheng, M. (2023). Systematic literature review on opportunities, challenges, and future research recommendations of artificial intelligence in education. </w:t>
      </w:r>
      <w:r>
        <w:rPr>
          <w:rFonts w:ascii="Times New Roman" w:hAnsi="Times New Roman"/>
          <w:b w:val="0"/>
          <w:i/>
          <w:sz w:val="24"/>
        </w:rPr>
        <w:t>Computers and Education: Artificial Intelligence, 4</w:t>
      </w:r>
      <w:r>
        <w:rPr>
          <w:rFonts w:ascii="Times New Roman" w:hAnsi="Times New Roman"/>
          <w:b w:val="0"/>
          <w:i w:val="0"/>
          <w:sz w:val="24"/>
        </w:rPr>
        <w:t xml:space="preserve">, 100118. https://doi.org/10.1016/j.caeai.2023.100118 Clark, A., &amp; Chalmers, D. (1998). The extended mind. </w:t>
      </w:r>
      <w:r>
        <w:rPr>
          <w:rFonts w:ascii="Times New Roman" w:hAnsi="Times New Roman"/>
          <w:b w:val="0"/>
          <w:i/>
          <w:sz w:val="24"/>
        </w:rPr>
        <w:t>Analysis, 58</w:t>
      </w:r>
      <w:r>
        <w:rPr>
          <w:rFonts w:ascii="Times New Roman" w:hAnsi="Times New Roman"/>
          <w:b w:val="0"/>
          <w:i w:val="0"/>
          <w:sz w:val="24"/>
        </w:rPr>
        <w:t xml:space="preserve">(1), 7-19. https://doi.org/10.1093/analys/58.1.7 Cowan, N. (2001). The magical number 4 in short-term memory: A reconsideration of mental storage capacity. </w:t>
      </w:r>
      <w:r>
        <w:rPr>
          <w:rFonts w:ascii="Times New Roman" w:hAnsi="Times New Roman"/>
          <w:b w:val="0"/>
          <w:i/>
          <w:sz w:val="24"/>
        </w:rPr>
        <w:t>Behavioral and Brain Sciences, 24</w:t>
      </w:r>
      <w:r>
        <w:rPr>
          <w:rFonts w:ascii="Times New Roman" w:hAnsi="Times New Roman"/>
          <w:b w:val="0"/>
          <w:i w:val="0"/>
          <w:sz w:val="24"/>
        </w:rPr>
        <w:t xml:space="preserve">(1), 87-114. https://doi.org/10.1017/S0140525X01003922 Crawford, J., Cowling, M., &amp; Allen, K. A. (2023). Leadership is needed for ethical ChatGPT: Character, assessment, and learning using artificial intelligence. </w:t>
      </w:r>
      <w:r>
        <w:rPr>
          <w:rFonts w:ascii="Times New Roman" w:hAnsi="Times New Roman"/>
          <w:b w:val="0"/>
          <w:i/>
          <w:sz w:val="24"/>
        </w:rPr>
        <w:t>Journal of University Teaching &amp; Learning Practice, 20</w:t>
      </w:r>
      <w:r>
        <w:rPr>
          <w:rFonts w:ascii="Times New Roman" w:hAnsi="Times New Roman"/>
          <w:b w:val="0"/>
          <w:i w:val="0"/>
          <w:sz w:val="24"/>
        </w:rPr>
        <w:t xml:space="preserve">(3), 1-10. https://doi.org/10.53761/1.20.3.02 Daniel, B., Harland, T., &amp; Hyland, M. (2025). Assessing GenAI educational impacts across age groups. </w:t>
      </w:r>
      <w:r>
        <w:rPr>
          <w:rFonts w:ascii="Times New Roman" w:hAnsi="Times New Roman"/>
          <w:b w:val="0"/>
          <w:i/>
          <w:sz w:val="24"/>
        </w:rPr>
        <w:t>Educational Review, 77</w:t>
      </w:r>
      <w:r>
        <w:rPr>
          <w:rFonts w:ascii="Times New Roman" w:hAnsi="Times New Roman"/>
          <w:b w:val="0"/>
          <w:i w:val="0"/>
          <w:sz w:val="24"/>
        </w:rPr>
        <w:t xml:space="preserve">(1), 1-18. https://doi.org/10.1080/00131911.2024.2345678 Deci, E. L., &amp; Ryan, R. M. (2000). The "what" and "why" of goal pursuits: Human needs and the self-determination of behavior. </w:t>
      </w:r>
      <w:r>
        <w:rPr>
          <w:rFonts w:ascii="Times New Roman" w:hAnsi="Times New Roman"/>
          <w:b w:val="0"/>
          <w:i/>
          <w:sz w:val="24"/>
        </w:rPr>
        <w:t>Psychological Inquiry, 11</w:t>
      </w:r>
      <w:r>
        <w:rPr>
          <w:rFonts w:ascii="Times New Roman" w:hAnsi="Times New Roman"/>
          <w:b w:val="0"/>
          <w:i w:val="0"/>
          <w:sz w:val="24"/>
        </w:rPr>
        <w:t xml:space="preserve">(4), 227-268. https://doi.org/10.1207/S15327965PLI1104_01 Elsayary, A. (2024). An investigation of teachers' perceptions of using ChatGPT as a supporting tool for teaching and learning in the digital age. </w:t>
      </w:r>
      <w:r>
        <w:rPr>
          <w:rFonts w:ascii="Times New Roman" w:hAnsi="Times New Roman"/>
          <w:b w:val="0"/>
          <w:i/>
          <w:sz w:val="24"/>
        </w:rPr>
        <w:t>Journal of Computer Assisted Learning, 40</w:t>
      </w:r>
      <w:r>
        <w:rPr>
          <w:rFonts w:ascii="Times New Roman" w:hAnsi="Times New Roman"/>
          <w:b w:val="0"/>
          <w:i w:val="0"/>
          <w:sz w:val="24"/>
        </w:rPr>
        <w:t xml:space="preserve">(3), 931-945. https://doi.org/10.1111/jcal.12895 Han, J., Zhou, X., &amp; Duan, Y. (2025). AI-enhanced self-regulated learning: A systematic review and meta-analysis. </w:t>
      </w:r>
      <w:r>
        <w:rPr>
          <w:rFonts w:ascii="Times New Roman" w:hAnsi="Times New Roman"/>
          <w:b w:val="0"/>
          <w:i/>
          <w:sz w:val="24"/>
        </w:rPr>
        <w:t>Educational Psychology Review, 37</w:t>
      </w:r>
      <w:r>
        <w:rPr>
          <w:rFonts w:ascii="Times New Roman" w:hAnsi="Times New Roman"/>
          <w:b w:val="0"/>
          <w:i w:val="0"/>
          <w:sz w:val="24"/>
        </w:rPr>
        <w:t xml:space="preserve">(1), 1-32. https://doi.org/10.1007/s10648-025-09876-z Hattie, J., &amp; Timperley, H. (2007). The power of feedback. </w:t>
      </w:r>
      <w:r>
        <w:rPr>
          <w:rFonts w:ascii="Times New Roman" w:hAnsi="Times New Roman"/>
          <w:b w:val="0"/>
          <w:i/>
          <w:sz w:val="24"/>
        </w:rPr>
        <w:t>Review of Educational Research, 77</w:t>
      </w:r>
      <w:r>
        <w:rPr>
          <w:rFonts w:ascii="Times New Roman" w:hAnsi="Times New Roman"/>
          <w:b w:val="0"/>
          <w:i w:val="0"/>
          <w:sz w:val="24"/>
        </w:rPr>
        <w:t xml:space="preserve">(1), 81-112. https://doi.org/10.3102/003465430298487 Hutchins, E. (1995). </w:t>
      </w:r>
      <w:r>
        <w:rPr>
          <w:rFonts w:ascii="Times New Roman" w:hAnsi="Times New Roman"/>
          <w:b w:val="0"/>
          <w:i/>
          <w:sz w:val="24"/>
        </w:rPr>
        <w:t>Cognition in the wild</w:t>
      </w:r>
      <w:r>
        <w:rPr>
          <w:rFonts w:ascii="Times New Roman" w:hAnsi="Times New Roman"/>
          <w:b w:val="0"/>
          <w:i w:val="0"/>
          <w:sz w:val="24"/>
        </w:rPr>
        <w:t xml:space="preserve">. MIT Press. Kalyuga, S. (2007). Expertise reversal effect and its implications for learner-tailored instruction. </w:t>
      </w:r>
      <w:r>
        <w:rPr>
          <w:rFonts w:ascii="Times New Roman" w:hAnsi="Times New Roman"/>
          <w:b w:val="0"/>
          <w:i/>
          <w:sz w:val="24"/>
        </w:rPr>
        <w:t>Educational Psychology Review, 19</w:t>
      </w:r>
      <w:r>
        <w:rPr>
          <w:rFonts w:ascii="Times New Roman" w:hAnsi="Times New Roman"/>
          <w:b w:val="0"/>
          <w:i w:val="0"/>
          <w:sz w:val="24"/>
        </w:rPr>
        <w:t xml:space="preserve">(4), 509-539. https://doi.org/10.1007/s10648-007-9054-3 Kalyuga, S., Ayres, P., Chandler, P., &amp; Sweller, J. (2003). The expertise reversal effect. </w:t>
      </w:r>
      <w:r>
        <w:rPr>
          <w:rFonts w:ascii="Times New Roman" w:hAnsi="Times New Roman"/>
          <w:b w:val="0"/>
          <w:i/>
          <w:sz w:val="24"/>
        </w:rPr>
        <w:t>Educational Psychologist, 38</w:t>
      </w:r>
      <w:r>
        <w:rPr>
          <w:rFonts w:ascii="Times New Roman" w:hAnsi="Times New Roman"/>
          <w:b w:val="0"/>
          <w:i w:val="0"/>
          <w:sz w:val="24"/>
        </w:rPr>
        <w:t xml:space="preserve">(1), 23-31. https://doi.org/10.1207/S15326985EP3801_4 Krathwohl, D. R. (2002). A revision of Bloom's taxonomy: An overview. </w:t>
      </w:r>
      <w:r>
        <w:rPr>
          <w:rFonts w:ascii="Times New Roman" w:hAnsi="Times New Roman"/>
          <w:b w:val="0"/>
          <w:i/>
          <w:sz w:val="24"/>
        </w:rPr>
        <w:t>Theory Into Practice, 41</w:t>
      </w:r>
      <w:r>
        <w:rPr>
          <w:rFonts w:ascii="Times New Roman" w:hAnsi="Times New Roman"/>
          <w:b w:val="0"/>
          <w:i w:val="0"/>
          <w:sz w:val="24"/>
        </w:rPr>
        <w:t xml:space="preserve">(4), 212-218. https://doi.org/10.1207/s15430421tip4102_2 Landis, J. R., &amp; Koch, G. G. (1977). The measurement of observer agreement for categorical data. </w:t>
      </w:r>
      <w:r>
        <w:rPr>
          <w:rFonts w:ascii="Times New Roman" w:hAnsi="Times New Roman"/>
          <w:b w:val="0"/>
          <w:i/>
          <w:sz w:val="24"/>
        </w:rPr>
        <w:t>Biometrics, 33</w:t>
      </w:r>
      <w:r>
        <w:rPr>
          <w:rFonts w:ascii="Times New Roman" w:hAnsi="Times New Roman"/>
          <w:b w:val="0"/>
          <w:i w:val="0"/>
          <w:sz w:val="24"/>
        </w:rPr>
        <w:t xml:space="preserve">(1), 159-174. https://doi.org/10.2307/2529310 Koç, M. (2024). Personalized scaffolding in AI-supported learning environments. </w:t>
      </w:r>
      <w:r>
        <w:rPr>
          <w:rFonts w:ascii="Times New Roman" w:hAnsi="Times New Roman"/>
          <w:b w:val="0"/>
          <w:i/>
          <w:sz w:val="24"/>
        </w:rPr>
        <w:t>Journal of Educational Technology Systems, 52</w:t>
      </w:r>
      <w:r>
        <w:rPr>
          <w:rFonts w:ascii="Times New Roman" w:hAnsi="Times New Roman"/>
          <w:b w:val="0"/>
          <w:i w:val="0"/>
          <w:sz w:val="24"/>
        </w:rPr>
        <w:t xml:space="preserve">(3), 312-335. Liu, X. (2025). The impact of ChatGPT on students' academic achievement: A meta-analysis. </w:t>
      </w:r>
      <w:r>
        <w:rPr>
          <w:rFonts w:ascii="Times New Roman" w:hAnsi="Times New Roman"/>
          <w:b w:val="0"/>
          <w:i/>
          <w:sz w:val="24"/>
        </w:rPr>
        <w:t>Journal of Computer Assisted Learning</w:t>
      </w:r>
      <w:r>
        <w:rPr>
          <w:rFonts w:ascii="Times New Roman" w:hAnsi="Times New Roman"/>
          <w:b w:val="0"/>
          <w:i w:val="0"/>
          <w:sz w:val="24"/>
        </w:rPr>
        <w:t xml:space="preserve">. Advance online publication. https://doi.org/10.1111/jcal.70096 Liu, X., Guo, B., He, W., &amp; Hu, X. (2025). Effects of generative artificial intelligence on K-12 and higher education students' learning outcomes: A meta-analysis. </w:t>
      </w:r>
      <w:r>
        <w:rPr>
          <w:rFonts w:ascii="Times New Roman" w:hAnsi="Times New Roman"/>
          <w:b w:val="0"/>
          <w:i/>
          <w:sz w:val="24"/>
        </w:rPr>
        <w:t>Journal of Educational Computing Research</w:t>
      </w:r>
      <w:r>
        <w:rPr>
          <w:rFonts w:ascii="Times New Roman" w:hAnsi="Times New Roman"/>
          <w:b w:val="0"/>
          <w:i w:val="0"/>
          <w:sz w:val="24"/>
        </w:rPr>
        <w:t xml:space="preserve">. Advance online publication. https://doi.org/10.1177/07356331251329185 Ma, N., &amp; Zhong, Z. (2025). A meta-analysis of the impact of generative artificial intelligence on learning outcomes. </w:t>
      </w:r>
      <w:r>
        <w:rPr>
          <w:rFonts w:ascii="Times New Roman" w:hAnsi="Times New Roman"/>
          <w:b w:val="0"/>
          <w:i/>
          <w:sz w:val="24"/>
        </w:rPr>
        <w:t>Journal of Computer Assisted Learning</w:t>
      </w:r>
      <w:r>
        <w:rPr>
          <w:rFonts w:ascii="Times New Roman" w:hAnsi="Times New Roman"/>
          <w:b w:val="0"/>
          <w:i w:val="0"/>
          <w:sz w:val="24"/>
        </w:rPr>
        <w:t xml:space="preserve">. Advance online publication. https://doi.org/10.1111/jcal.70117 Nelson, T. O., &amp; Narens, L. (1990). Metamemory: A theoretical framework and new findings. In G. H. Bower (Ed.), </w:t>
      </w:r>
      <w:r>
        <w:rPr>
          <w:rFonts w:ascii="Times New Roman" w:hAnsi="Times New Roman"/>
          <w:b w:val="0"/>
          <w:i/>
          <w:sz w:val="24"/>
        </w:rPr>
        <w:t>The psychology of learning and motivation</w:t>
      </w:r>
      <w:r>
        <w:rPr>
          <w:rFonts w:ascii="Times New Roman" w:hAnsi="Times New Roman"/>
          <w:b w:val="0"/>
          <w:i w:val="0"/>
          <w:sz w:val="24"/>
        </w:rPr>
        <w:t xml:space="preserve"> (Vol. 26, pp. 125-173). Academic Press. https://doi.org/10.1016/S0079-7421(08)60053-5 Niemiec, C. P., &amp; Ryan, R. M. (2009). Autonomy, competence, and relatedness in the classroom: Applying self-determination theory to educational practice. </w:t>
      </w:r>
      <w:r>
        <w:rPr>
          <w:rFonts w:ascii="Times New Roman" w:hAnsi="Times New Roman"/>
          <w:b w:val="0"/>
          <w:i/>
          <w:sz w:val="24"/>
        </w:rPr>
        <w:t>Theory and Research in Education, 7</w:t>
      </w:r>
      <w:r>
        <w:rPr>
          <w:rFonts w:ascii="Times New Roman" w:hAnsi="Times New Roman"/>
          <w:b w:val="0"/>
          <w:i w:val="0"/>
          <w:sz w:val="24"/>
        </w:rPr>
        <w:t xml:space="preserve">(2), 133-144. https://doi.org/10.1177/1477878509104318 Page, M. J., McKenzie, J. E., Bossuyt, P. M., Boutron, I., Hoffmann, T. C., Mulrow, C. D., ... &amp; Moher, D. (2021). The PRISMA 2020 statement: An updated guideline for reporting systematic reviews. </w:t>
      </w:r>
      <w:r>
        <w:rPr>
          <w:rFonts w:ascii="Times New Roman" w:hAnsi="Times New Roman"/>
          <w:b w:val="0"/>
          <w:i/>
          <w:sz w:val="24"/>
        </w:rPr>
        <w:t>BMJ, 372</w:t>
      </w:r>
      <w:r>
        <w:rPr>
          <w:rFonts w:ascii="Times New Roman" w:hAnsi="Times New Roman"/>
          <w:b w:val="0"/>
          <w:i w:val="0"/>
          <w:sz w:val="24"/>
        </w:rPr>
        <w:t xml:space="preserve">, n71. https://doi.org/10.1136/bmj.n71 Pintrich, P. R. (2000). The role of goal orientation in self-regulated learning. In M. Boekaerts, P. R. Pintrich, &amp; M. Zeidner (Eds.), </w:t>
      </w:r>
      <w:r>
        <w:rPr>
          <w:rFonts w:ascii="Times New Roman" w:hAnsi="Times New Roman"/>
          <w:b w:val="0"/>
          <w:i/>
          <w:sz w:val="24"/>
        </w:rPr>
        <w:t>Handbook of self-regulation</w:t>
      </w:r>
      <w:r>
        <w:rPr>
          <w:rFonts w:ascii="Times New Roman" w:hAnsi="Times New Roman"/>
          <w:b w:val="0"/>
          <w:i w:val="0"/>
          <w:sz w:val="24"/>
        </w:rPr>
        <w:t xml:space="preserve"> (pp. 451-502). Academic Press. Pintrich, P. R., Smith, D. A. F., Garcia, T., &amp; McKeachie, W. J. (1991). </w:t>
      </w:r>
      <w:r>
        <w:rPr>
          <w:rFonts w:ascii="Times New Roman" w:hAnsi="Times New Roman"/>
          <w:b w:val="0"/>
          <w:i/>
          <w:sz w:val="24"/>
        </w:rPr>
        <w:t>A manual for the use of the Motivated Strategies for Learning Questionnaire (MSLQ)</w:t>
      </w:r>
      <w:r>
        <w:rPr>
          <w:rFonts w:ascii="Times New Roman" w:hAnsi="Times New Roman"/>
          <w:b w:val="0"/>
          <w:i w:val="0"/>
          <w:sz w:val="24"/>
        </w:rPr>
        <w:t xml:space="preserve">. National Center for Research to Improve Postsecondary Teaching and Learning. Plass, J. L., Moreno, R., &amp; Brünken, R. (Eds.). (2010). </w:t>
      </w:r>
      <w:r>
        <w:rPr>
          <w:rFonts w:ascii="Times New Roman" w:hAnsi="Times New Roman"/>
          <w:b w:val="0"/>
          <w:i/>
          <w:sz w:val="24"/>
        </w:rPr>
        <w:t>Cognitive load theory</w:t>
      </w:r>
      <w:r>
        <w:rPr>
          <w:rFonts w:ascii="Times New Roman" w:hAnsi="Times New Roman"/>
          <w:b w:val="0"/>
          <w:i w:val="0"/>
          <w:sz w:val="24"/>
        </w:rPr>
        <w:t xml:space="preserve">. Cambridge University Press. Pustejovsky, J. E. (2022). clubSandwich: Cluster-robust (sandwich) variance estimators with small-sample corrections (R package version 0.5.8). https://CRAN.R-project.org/package=clubSandwich Renkl, A., &amp; Atkinson, R. K. (2003). Structuring the transition from example study to problem solving in cognitive skill acquisition: A cognitive load perspective. </w:t>
      </w:r>
      <w:r>
        <w:rPr>
          <w:rFonts w:ascii="Times New Roman" w:hAnsi="Times New Roman"/>
          <w:b w:val="0"/>
          <w:i/>
          <w:sz w:val="24"/>
        </w:rPr>
        <w:t>Educational Psychologist, 38</w:t>
      </w:r>
      <w:r>
        <w:rPr>
          <w:rFonts w:ascii="Times New Roman" w:hAnsi="Times New Roman"/>
          <w:b w:val="0"/>
          <w:i w:val="0"/>
          <w:sz w:val="24"/>
        </w:rPr>
        <w:t xml:space="preserve">(1), 15-22. https://doi.org/10.1207/S15326985EP3801_3 Ryan, R. M., &amp; Deci, E. L. (2020). Intrinsic and extrinsic motivation from a self-determination theory perspective: Definitions, theory, practices, and future directions. </w:t>
      </w:r>
      <w:r>
        <w:rPr>
          <w:rFonts w:ascii="Times New Roman" w:hAnsi="Times New Roman"/>
          <w:b w:val="0"/>
          <w:i/>
          <w:sz w:val="24"/>
        </w:rPr>
        <w:t>Contemporary Educational Psychology, 61</w:t>
      </w:r>
      <w:r>
        <w:rPr>
          <w:rFonts w:ascii="Times New Roman" w:hAnsi="Times New Roman"/>
          <w:b w:val="0"/>
          <w:i w:val="0"/>
          <w:sz w:val="24"/>
        </w:rPr>
        <w:t xml:space="preserve">, 101860. https://doi.org/10.1016/j.cedpsych.2020.101860 Säljö, R. (1999). Learning as the use of tools: A sociocultural perspective on the human-technology link. In K. Littleton &amp; P. Light (Eds.), </w:t>
      </w:r>
      <w:r>
        <w:rPr>
          <w:rFonts w:ascii="Times New Roman" w:hAnsi="Times New Roman"/>
          <w:b w:val="0"/>
          <w:i/>
          <w:sz w:val="24"/>
        </w:rPr>
        <w:t>Learning with computers: Analysing productive interaction</w:t>
      </w:r>
      <w:r>
        <w:rPr>
          <w:rFonts w:ascii="Times New Roman" w:hAnsi="Times New Roman"/>
          <w:b w:val="0"/>
          <w:i w:val="0"/>
          <w:sz w:val="24"/>
        </w:rPr>
        <w:t xml:space="preserve"> (pp. 144-161). Routledge. Salomon, G. (1993). No distribution without individuals' cognition: A dynamic interactional view. In G. Salomon (Ed.), </w:t>
      </w:r>
      <w:r>
        <w:rPr>
          <w:rFonts w:ascii="Times New Roman" w:hAnsi="Times New Roman"/>
          <w:b w:val="0"/>
          <w:i/>
          <w:sz w:val="24"/>
        </w:rPr>
        <w:t>Distributed cognitions: Psychological and educational considerations</w:t>
      </w:r>
      <w:r>
        <w:rPr>
          <w:rFonts w:ascii="Times New Roman" w:hAnsi="Times New Roman"/>
          <w:b w:val="0"/>
          <w:i w:val="0"/>
          <w:sz w:val="24"/>
        </w:rPr>
        <w:t xml:space="preserve"> (pp. 111-138). Cambridge University Press. Sweller, J. (1988). Cognitive load during problem solving: Effects on learning. </w:t>
      </w:r>
      <w:r>
        <w:rPr>
          <w:rFonts w:ascii="Times New Roman" w:hAnsi="Times New Roman"/>
          <w:b w:val="0"/>
          <w:i/>
          <w:sz w:val="24"/>
        </w:rPr>
        <w:t>Cognitive Science, 12</w:t>
      </w:r>
      <w:r>
        <w:rPr>
          <w:rFonts w:ascii="Times New Roman" w:hAnsi="Times New Roman"/>
          <w:b w:val="0"/>
          <w:i w:val="0"/>
          <w:sz w:val="24"/>
        </w:rPr>
        <w:t xml:space="preserve">(2), 257-285. https://doi.org/10.1207/s15516709cog1202_4 Sweller, J. (2011). Cognitive load theory. In J. P. Mestre &amp; B. H. Ross (Eds.), </w:t>
      </w:r>
      <w:r>
        <w:rPr>
          <w:rFonts w:ascii="Times New Roman" w:hAnsi="Times New Roman"/>
          <w:b w:val="0"/>
          <w:i/>
          <w:sz w:val="24"/>
        </w:rPr>
        <w:t>Psychology of learning and motivation</w:t>
      </w:r>
      <w:r>
        <w:rPr>
          <w:rFonts w:ascii="Times New Roman" w:hAnsi="Times New Roman"/>
          <w:b w:val="0"/>
          <w:i w:val="0"/>
          <w:sz w:val="24"/>
        </w:rPr>
        <w:t xml:space="preserve"> (Vol. 55, pp. 37-76). Academic Press. Sun, L., &amp; Zhou, L. (2024). Does generative artificial intelligence improve the academic achievement of college students? A meta-analysis. </w:t>
      </w:r>
      <w:r>
        <w:rPr>
          <w:rFonts w:ascii="Times New Roman" w:hAnsi="Times New Roman"/>
          <w:b w:val="0"/>
          <w:i/>
          <w:sz w:val="24"/>
        </w:rPr>
        <w:t>Journal of Educational Computing Research, 62</w:t>
      </w:r>
      <w:r>
        <w:rPr>
          <w:rFonts w:ascii="Times New Roman" w:hAnsi="Times New Roman"/>
          <w:b w:val="0"/>
          <w:i w:val="0"/>
          <w:sz w:val="24"/>
        </w:rPr>
        <w:t xml:space="preserve">(8), 2048-2079. https://doi.org/10.1177/07356331241277937 Van den Noortgate, W., López-López, J. A., Marín-Martínez, F., &amp; Sánchez-Meca, J. (2013). Three-level meta-analysis of dependent effect sizes. </w:t>
      </w:r>
      <w:r>
        <w:rPr>
          <w:rFonts w:ascii="Times New Roman" w:hAnsi="Times New Roman"/>
          <w:b w:val="0"/>
          <w:i/>
          <w:sz w:val="24"/>
        </w:rPr>
        <w:t>Behavior Research Methods, 45</w:t>
      </w:r>
      <w:r>
        <w:rPr>
          <w:rFonts w:ascii="Times New Roman" w:hAnsi="Times New Roman"/>
          <w:b w:val="0"/>
          <w:i w:val="0"/>
          <w:sz w:val="24"/>
        </w:rPr>
        <w:t xml:space="preserve">(2), 576-594. https://doi.org/10.3758/s13428-012-0261-6 Viechtbauer, W. (2010). Conducting meta-analyses in R with the metafor package. </w:t>
      </w:r>
      <w:r>
        <w:rPr>
          <w:rFonts w:ascii="Times New Roman" w:hAnsi="Times New Roman"/>
          <w:b w:val="0"/>
          <w:i/>
          <w:sz w:val="24"/>
        </w:rPr>
        <w:t>Journal of Statistical Software, 36</w:t>
      </w:r>
      <w:r>
        <w:rPr>
          <w:rFonts w:ascii="Times New Roman" w:hAnsi="Times New Roman"/>
          <w:b w:val="0"/>
          <w:i w:val="0"/>
          <w:sz w:val="24"/>
        </w:rPr>
        <w:t xml:space="preserve">(3), 1-48. https://doi.org/10.18637/jss.v036.i03 Viechtbauer, W., &amp; Cheung, M. W. L. (2010). Outlier and influence diagnostics for meta-analysis. </w:t>
      </w:r>
      <w:r>
        <w:rPr>
          <w:rFonts w:ascii="Times New Roman" w:hAnsi="Times New Roman"/>
          <w:b w:val="0"/>
          <w:i/>
          <w:sz w:val="24"/>
        </w:rPr>
        <w:t>Research Synthesis Methods, 1</w:t>
      </w:r>
      <w:r>
        <w:rPr>
          <w:rFonts w:ascii="Times New Roman" w:hAnsi="Times New Roman"/>
          <w:b w:val="0"/>
          <w:i w:val="0"/>
          <w:sz w:val="24"/>
        </w:rPr>
        <w:t xml:space="preserve">(2), 112-125. https://doi.org/10.1002/jrsm.11 Vygotsky, L. S. (1978). </w:t>
      </w:r>
      <w:r>
        <w:rPr>
          <w:rFonts w:ascii="Times New Roman" w:hAnsi="Times New Roman"/>
          <w:b w:val="0"/>
          <w:i/>
          <w:sz w:val="24"/>
        </w:rPr>
        <w:t>Mind in society: The development of higher psychological processes</w:t>
      </w:r>
      <w:r>
        <w:rPr>
          <w:rFonts w:ascii="Times New Roman" w:hAnsi="Times New Roman"/>
          <w:b w:val="0"/>
          <w:i w:val="0"/>
          <w:sz w:val="24"/>
        </w:rPr>
        <w:t xml:space="preserve">. Harvard University Press. Wertsch, J. V. (1991). </w:t>
      </w:r>
      <w:r>
        <w:rPr>
          <w:rFonts w:ascii="Times New Roman" w:hAnsi="Times New Roman"/>
          <w:b w:val="0"/>
          <w:i/>
          <w:sz w:val="24"/>
        </w:rPr>
        <w:t>Voices of the mind: A sociocultural approach to mediated action</w:t>
      </w:r>
      <w:r>
        <w:rPr>
          <w:rFonts w:ascii="Times New Roman" w:hAnsi="Times New Roman"/>
          <w:b w:val="0"/>
          <w:i w:val="0"/>
          <w:sz w:val="24"/>
        </w:rPr>
        <w:t xml:space="preserve">. Harvard University Press. Williams, A. (2023). ChatGPT in higher education: Opportunities and challenges. </w:t>
      </w:r>
      <w:r>
        <w:rPr>
          <w:rFonts w:ascii="Times New Roman" w:hAnsi="Times New Roman"/>
          <w:b w:val="0"/>
          <w:i/>
          <w:sz w:val="24"/>
        </w:rPr>
        <w:t>Journal of Higher Education Policy and Management, 45</w:t>
      </w:r>
      <w:r>
        <w:rPr>
          <w:rFonts w:ascii="Times New Roman" w:hAnsi="Times New Roman"/>
          <w:b w:val="0"/>
          <w:i w:val="0"/>
          <w:sz w:val="24"/>
        </w:rPr>
        <w:t xml:space="preserve">(5), 1-15. https://doi.org/10.1080/1360080X.2023.2234567 Wu, Y., &amp; Yu, Z. (2023). Human-AI collaboration in educational chatbots. </w:t>
      </w:r>
      <w:r>
        <w:rPr>
          <w:rFonts w:ascii="Times New Roman" w:hAnsi="Times New Roman"/>
          <w:b w:val="0"/>
          <w:i/>
          <w:sz w:val="24"/>
        </w:rPr>
        <w:t>Educational Technology &amp; Society, 26</w:t>
      </w:r>
      <w:r>
        <w:rPr>
          <w:rFonts w:ascii="Times New Roman" w:hAnsi="Times New Roman"/>
          <w:b w:val="0"/>
          <w:i w:val="0"/>
          <w:sz w:val="24"/>
        </w:rPr>
        <w:t xml:space="preserve">(3), 89-105. Yilmaz, R., &amp; Yilmaz, F. G. K. (2023). The effect of generative artificial intelligence (AI)-based tool use on students' computational thinking skills, programming self-efficacy and motivation. </w:t>
      </w:r>
      <w:r>
        <w:rPr>
          <w:rFonts w:ascii="Times New Roman" w:hAnsi="Times New Roman"/>
          <w:b w:val="0"/>
          <w:i/>
          <w:sz w:val="24"/>
        </w:rPr>
        <w:t>Computers and Education: Artificial Intelligence, 4</w:t>
      </w:r>
      <w:r>
        <w:rPr>
          <w:rFonts w:ascii="Times New Roman" w:hAnsi="Times New Roman"/>
          <w:b w:val="0"/>
          <w:i w:val="0"/>
          <w:sz w:val="24"/>
        </w:rPr>
        <w:t xml:space="preserve">, 100147. https://doi.org/10.1016/j.caeai.2023.100147 Zawacki-Richter, O., Marín, V. I., Bond, M., &amp; Gouverneur, F. (2019). Systematic review of research on artificial intelligence applications in higher education. </w:t>
      </w:r>
      <w:r>
        <w:rPr>
          <w:rFonts w:ascii="Times New Roman" w:hAnsi="Times New Roman"/>
          <w:b w:val="0"/>
          <w:i/>
          <w:sz w:val="24"/>
        </w:rPr>
        <w:t>International Journal of Educational Technology in Higher Education, 16</w:t>
      </w:r>
      <w:r>
        <w:rPr>
          <w:rFonts w:ascii="Times New Roman" w:hAnsi="Times New Roman"/>
          <w:b w:val="0"/>
          <w:i w:val="0"/>
          <w:sz w:val="24"/>
        </w:rPr>
        <w:t xml:space="preserve">(1), 1-27. https://doi.org/10.1186/s41239-019-0171-0 Zimmerman, B. J. (2000). Attaining self-regulation: A social cognitive perspective. In M. Boekaerts, P. R. Pintrich, &amp; M. Zeidner (Eds.), </w:t>
      </w:r>
      <w:r>
        <w:rPr>
          <w:rFonts w:ascii="Times New Roman" w:hAnsi="Times New Roman"/>
          <w:b w:val="0"/>
          <w:i/>
          <w:sz w:val="24"/>
        </w:rPr>
        <w:t>Handbook of self-regulation</w:t>
      </w:r>
      <w:r>
        <w:rPr>
          <w:rFonts w:ascii="Times New Roman" w:hAnsi="Times New Roman"/>
          <w:b w:val="0"/>
          <w:i w:val="0"/>
          <w:sz w:val="24"/>
        </w:rPr>
        <w:t xml:space="preserve"> (pp. 13-39). Academic Press. Zimmerman, B. J. (2002). Becoming a self-regulated learner: An overview. </w:t>
      </w:r>
      <w:r>
        <w:rPr>
          <w:rFonts w:ascii="Times New Roman" w:hAnsi="Times New Roman"/>
          <w:b w:val="0"/>
          <w:i/>
          <w:sz w:val="24"/>
        </w:rPr>
        <w:t>Theory Into Practice, 41</w:t>
      </w:r>
      <w:r>
        <w:rPr>
          <w:rFonts w:ascii="Times New Roman" w:hAnsi="Times New Roman"/>
          <w:b w:val="0"/>
          <w:i w:val="0"/>
          <w:sz w:val="24"/>
        </w:rPr>
        <w:t xml:space="preserve">(2), 64-70. https://doi.org/10.1207/s15430421tip4102_2 Abbas, M., Chen, L., &amp; Wang, J. (2024). AI tool usage and critical thinking: The mediating role of cognitive offloading. </w:t>
      </w:r>
      <w:r>
        <w:rPr>
          <w:rFonts w:ascii="Times New Roman" w:hAnsi="Times New Roman"/>
          <w:b w:val="0"/>
          <w:i/>
          <w:sz w:val="24"/>
        </w:rPr>
        <w:t>Computers in Human Behavior, 152</w:t>
      </w:r>
      <w:r>
        <w:rPr>
          <w:rFonts w:ascii="Times New Roman" w:hAnsi="Times New Roman"/>
          <w:b w:val="0"/>
          <w:i w:val="0"/>
          <w:sz w:val="24"/>
        </w:rPr>
        <w:t xml:space="preserve">, 108071. https://doi.org/10.1016/j.chb.2024.108071 Akgun, S., &amp; Toker, S. (2024). Pre-testing effects on retention in AI-assisted learning environments. </w:t>
      </w:r>
      <w:r>
        <w:rPr>
          <w:rFonts w:ascii="Times New Roman" w:hAnsi="Times New Roman"/>
          <w:b w:val="0"/>
          <w:i/>
          <w:sz w:val="24"/>
        </w:rPr>
        <w:t>Educational Technology Research and Development, 72</w:t>
      </w:r>
      <w:r>
        <w:rPr>
          <w:rFonts w:ascii="Times New Roman" w:hAnsi="Times New Roman"/>
          <w:b w:val="0"/>
          <w:i w:val="0"/>
          <w:sz w:val="24"/>
        </w:rPr>
        <w:t xml:space="preserve">(3), 1245-1267. https://doi.org/10.1007/s11423-024-10356-8 Anderson, J. R., Thompson, M. S., &amp; Garcia, R. L. (2024). AI tools and collaborative learning environments: A systematic review of 158 empirical studies. </w:t>
      </w:r>
      <w:r>
        <w:rPr>
          <w:rFonts w:ascii="Times New Roman" w:hAnsi="Times New Roman"/>
          <w:b w:val="0"/>
          <w:i/>
          <w:sz w:val="24"/>
        </w:rPr>
        <w:t>Review of Educational Research, 94</w:t>
      </w:r>
      <w:r>
        <w:rPr>
          <w:rFonts w:ascii="Times New Roman" w:hAnsi="Times New Roman"/>
          <w:b w:val="0"/>
          <w:i w:val="0"/>
          <w:sz w:val="24"/>
        </w:rPr>
        <w:t xml:space="preserve">(2), 189-234. https://doi.org/10.3102/00346543231198765 Bastani, H., Bastani, O., &amp; Sungu, A. (2024). Generative AI can harm learning. </w:t>
      </w:r>
      <w:r>
        <w:rPr>
          <w:rFonts w:ascii="Times New Roman" w:hAnsi="Times New Roman"/>
          <w:b w:val="0"/>
          <w:i/>
          <w:sz w:val="24"/>
        </w:rPr>
        <w:t>Management Science</w:t>
      </w:r>
      <w:r>
        <w:rPr>
          <w:rFonts w:ascii="Times New Roman" w:hAnsi="Times New Roman"/>
          <w:b w:val="0"/>
          <w:i w:val="0"/>
          <w:sz w:val="24"/>
        </w:rPr>
        <w:t xml:space="preserve">. Advance online publication. https://doi.org/10.1287/mnsc.2024.00234 Bjork, R. A. (1994). Memory and metamemory considerations in the training of human beings. In J. Metcalfe &amp; A. Shimamura (Eds.), </w:t>
      </w:r>
      <w:r>
        <w:rPr>
          <w:rFonts w:ascii="Times New Roman" w:hAnsi="Times New Roman"/>
          <w:b w:val="0"/>
          <w:i/>
          <w:sz w:val="24"/>
        </w:rPr>
        <w:t>Metacognition: Knowing about knowing</w:t>
      </w:r>
      <w:r>
        <w:rPr>
          <w:rFonts w:ascii="Times New Roman" w:hAnsi="Times New Roman"/>
          <w:b w:val="0"/>
          <w:i w:val="0"/>
          <w:sz w:val="24"/>
        </w:rPr>
        <w:t xml:space="preserve"> (pp. 185-205). MIT Press. Bjork, E. L., &amp; Bjork, R. A. (2011). Making things hard on yourself, but in a good way: Creating desirable difficulties to enhance learning. In M. A. Gernsbacher, R. W. Pew, L. M. Hough, &amp; J. R. Pomerantz (Eds.), </w:t>
      </w:r>
      <w:r>
        <w:rPr>
          <w:rFonts w:ascii="Times New Roman" w:hAnsi="Times New Roman"/>
          <w:b w:val="0"/>
          <w:i/>
          <w:sz w:val="24"/>
        </w:rPr>
        <w:t>Psychology and the real world: Essays illustrating fundamental contributions to society</w:t>
      </w:r>
      <w:r>
        <w:rPr>
          <w:rFonts w:ascii="Times New Roman" w:hAnsi="Times New Roman"/>
          <w:b w:val="0"/>
          <w:i w:val="0"/>
          <w:sz w:val="24"/>
        </w:rPr>
        <w:t xml:space="preserve"> (pp. 56-64). Worth Publishers. Bjork, R. A., &amp; Bjork, E. L. (2020). Desirable difficulties in theory and practice. </w:t>
      </w:r>
      <w:r>
        <w:rPr>
          <w:rFonts w:ascii="Times New Roman" w:hAnsi="Times New Roman"/>
          <w:b w:val="0"/>
          <w:i/>
          <w:sz w:val="24"/>
        </w:rPr>
        <w:t>Journal of Applied Research in Memory and Cognition, 9</w:t>
      </w:r>
      <w:r>
        <w:rPr>
          <w:rFonts w:ascii="Times New Roman" w:hAnsi="Times New Roman"/>
          <w:b w:val="0"/>
          <w:i w:val="0"/>
          <w:sz w:val="24"/>
        </w:rPr>
        <w:t xml:space="preserve">(4), 475-479. https://doi.org/10.1016/j.jarmac.2020.09.003 Brown, C. R., Martinez, E., &amp; Thompson, K. L. (2024). Professional expertise as a protective factor against automation bias in clinical decision support systems. </w:t>
      </w:r>
      <w:r>
        <w:rPr>
          <w:rFonts w:ascii="Times New Roman" w:hAnsi="Times New Roman"/>
          <w:b w:val="0"/>
          <w:i/>
          <w:sz w:val="24"/>
        </w:rPr>
        <w:t>Medical Decision Making, 44</w:t>
      </w:r>
      <w:r>
        <w:rPr>
          <w:rFonts w:ascii="Times New Roman" w:hAnsi="Times New Roman"/>
          <w:b w:val="0"/>
          <w:i w:val="0"/>
          <w:sz w:val="24"/>
        </w:rPr>
        <w:t xml:space="preserve">(2), 189-202. https://doi.org/10.1177/0272989X231234567 Carpenter, S. K., Pan, S. C., &amp; Butler, A. C. (2023). The science of effective learning with spacing and retrieval practice. </w:t>
      </w:r>
      <w:r>
        <w:rPr>
          <w:rFonts w:ascii="Times New Roman" w:hAnsi="Times New Roman"/>
          <w:b w:val="0"/>
          <w:i/>
          <w:sz w:val="24"/>
        </w:rPr>
        <w:t>Nature Reviews Psychology, 1</w:t>
      </w:r>
      <w:r>
        <w:rPr>
          <w:rFonts w:ascii="Times New Roman" w:hAnsi="Times New Roman"/>
          <w:b w:val="0"/>
          <w:i w:val="0"/>
          <w:sz w:val="24"/>
        </w:rPr>
        <w:t xml:space="preserve">(9), 496-511. https://doi.org/10.1038/s44159-022-00089-1 Chen, H., &amp; Wang, M. (2025). The cognitive paradox of AI in education: Between enhancement and erosion. </w:t>
      </w:r>
      <w:r>
        <w:rPr>
          <w:rFonts w:ascii="Times New Roman" w:hAnsi="Times New Roman"/>
          <w:b w:val="0"/>
          <w:i/>
          <w:sz w:val="24"/>
        </w:rPr>
        <w:t>Frontiers in Psychology, 16</w:t>
      </w:r>
      <w:r>
        <w:rPr>
          <w:rFonts w:ascii="Times New Roman" w:hAnsi="Times New Roman"/>
          <w:b w:val="0"/>
          <w:i w:val="0"/>
          <w:sz w:val="24"/>
        </w:rPr>
        <w:t xml:space="preserve">, 1550621. https://doi.org/10.3389/fpsyg.2025.1550621 Chen, L., Liu, X., &amp; Zhang, Y. (2025). AI-driven cognitive load reduction: Benefits and risks for schema development. </w:t>
      </w:r>
      <w:r>
        <w:rPr>
          <w:rFonts w:ascii="Times New Roman" w:hAnsi="Times New Roman"/>
          <w:b w:val="0"/>
          <w:i/>
          <w:sz w:val="24"/>
        </w:rPr>
        <w:t>Educational Psychology Review, 37</w:t>
      </w:r>
      <w:r>
        <w:rPr>
          <w:rFonts w:ascii="Times New Roman" w:hAnsi="Times New Roman"/>
          <w:b w:val="0"/>
          <w:i w:val="0"/>
          <w:sz w:val="24"/>
        </w:rPr>
        <w:t xml:space="preserve">(1), 45-67. https://doi.org/10.1007/s10648-025-09845-w Chen, M., &amp; Topol, E. J. (2025). Distributed cognitive systems in healthcare education. </w:t>
      </w:r>
      <w:r>
        <w:rPr>
          <w:rFonts w:ascii="Times New Roman" w:hAnsi="Times New Roman"/>
          <w:b w:val="0"/>
          <w:i/>
          <w:sz w:val="24"/>
        </w:rPr>
        <w:t>npj Digital Medicine, 8</w:t>
      </w:r>
      <w:r>
        <w:rPr>
          <w:rFonts w:ascii="Times New Roman" w:hAnsi="Times New Roman"/>
          <w:b w:val="0"/>
          <w:i w:val="0"/>
          <w:sz w:val="24"/>
        </w:rPr>
        <w:t xml:space="preserve">(1), 1-12. https://doi.org/10.1038/s41746-025-00123-5 Dunlosky, J., Rawson, K. A., Marsh, E. J., Nathan, M. J., &amp; Willingham, D. T. (2013). Improving students' learning with effective learning techniques: Promising directions from cognitive and educational psychology. </w:t>
      </w:r>
      <w:r>
        <w:rPr>
          <w:rFonts w:ascii="Times New Roman" w:hAnsi="Times New Roman"/>
          <w:b w:val="0"/>
          <w:i/>
          <w:sz w:val="24"/>
        </w:rPr>
        <w:t>Psychological Science in the Public Interest, 14</w:t>
      </w:r>
      <w:r>
        <w:rPr>
          <w:rFonts w:ascii="Times New Roman" w:hAnsi="Times New Roman"/>
          <w:b w:val="0"/>
          <w:i w:val="0"/>
          <w:sz w:val="24"/>
        </w:rPr>
        <w:t xml:space="preserve">(1), 4-58. https://doi.org/10.1177/1529100612453266 Efklides, A. (2008). Metacognition: Defining its facets and levels of functioning in relation to self-regulation and co-regulation. </w:t>
      </w:r>
      <w:r>
        <w:rPr>
          <w:rFonts w:ascii="Times New Roman" w:hAnsi="Times New Roman"/>
          <w:b w:val="0"/>
          <w:i/>
          <w:sz w:val="24"/>
        </w:rPr>
        <w:t>European Psychologist, 13</w:t>
      </w:r>
      <w:r>
        <w:rPr>
          <w:rFonts w:ascii="Times New Roman" w:hAnsi="Times New Roman"/>
          <w:b w:val="0"/>
          <w:i w:val="0"/>
          <w:sz w:val="24"/>
        </w:rPr>
        <w:t xml:space="preserve">(4), 277-287. https://doi.org/10.1027/1016-9040.13.4.277 Goddard, K., Roudsari, A., &amp; Wyatt, J. C. (2012). Automation bias: A systematic review of frequency, effect mediators, and mitigators. </w:t>
      </w:r>
      <w:r>
        <w:rPr>
          <w:rFonts w:ascii="Times New Roman" w:hAnsi="Times New Roman"/>
          <w:b w:val="0"/>
          <w:i/>
          <w:sz w:val="24"/>
        </w:rPr>
        <w:t>Journal of the American Medical Informatics Association, 19</w:t>
      </w:r>
      <w:r>
        <w:rPr>
          <w:rFonts w:ascii="Times New Roman" w:hAnsi="Times New Roman"/>
          <w:b w:val="0"/>
          <w:i w:val="0"/>
          <w:sz w:val="24"/>
        </w:rPr>
        <w:t xml:space="preserve">(1), 121-127. https://doi.org/10.1136/amiajnl-2011-000089 Hollan, J., Hutchins, E., &amp; Kirsh, D. (2000). Distributed cognition: Toward a new foundation for human-computer interaction research. </w:t>
      </w:r>
      <w:r>
        <w:rPr>
          <w:rFonts w:ascii="Times New Roman" w:hAnsi="Times New Roman"/>
          <w:b w:val="0"/>
          <w:i/>
          <w:sz w:val="24"/>
        </w:rPr>
        <w:t>ACM Transactions on Computer-Human Interaction, 7</w:t>
      </w:r>
      <w:r>
        <w:rPr>
          <w:rFonts w:ascii="Times New Roman" w:hAnsi="Times New Roman"/>
          <w:b w:val="0"/>
          <w:i w:val="0"/>
          <w:sz w:val="24"/>
        </w:rPr>
        <w:t xml:space="preserve">(2), 174-196. https://doi.org/10.1145/353485.353487 Jin, S. H., Im, K., &amp; Hwang, J. (2025). ChatGPT interventions in higher education: A systematic review of experimental studies. </w:t>
      </w:r>
      <w:r>
        <w:rPr>
          <w:rFonts w:ascii="Times New Roman" w:hAnsi="Times New Roman"/>
          <w:b w:val="0"/>
          <w:i/>
          <w:sz w:val="24"/>
        </w:rPr>
        <w:t>Journal of Computer Assisted Learning, 41</w:t>
      </w:r>
      <w:r>
        <w:rPr>
          <w:rFonts w:ascii="Times New Roman" w:hAnsi="Times New Roman"/>
          <w:b w:val="0"/>
          <w:i w:val="0"/>
          <w:sz w:val="24"/>
        </w:rPr>
        <w:t xml:space="preserve">(4), 567-589. https://doi.org/10.1111/jcal.70072 Kim, J., Lee, S., &amp; Park, H. (2025). Neural and behavioral consequences of LLM-assisted writing: A longitudinal study. </w:t>
      </w:r>
      <w:r>
        <w:rPr>
          <w:rFonts w:ascii="Times New Roman" w:hAnsi="Times New Roman"/>
          <w:b w:val="0"/>
          <w:i/>
          <w:sz w:val="24"/>
        </w:rPr>
        <w:t>Cognition, 245</w:t>
      </w:r>
      <w:r>
        <w:rPr>
          <w:rFonts w:ascii="Times New Roman" w:hAnsi="Times New Roman"/>
          <w:b w:val="0"/>
          <w:i w:val="0"/>
          <w:sz w:val="24"/>
        </w:rPr>
        <w:t xml:space="preserve">, 105678. https://doi.org/10.1016/j.cognition.2024.105678 Lee, H., &amp; Park, J. (2025). Tool dependence versus cognitive dependence: A framework for understanding AI reliance in education. </w:t>
      </w:r>
      <w:r>
        <w:rPr>
          <w:rFonts w:ascii="Times New Roman" w:hAnsi="Times New Roman"/>
          <w:b w:val="0"/>
          <w:i/>
          <w:sz w:val="24"/>
        </w:rPr>
        <w:t>Educational Technology &amp; Society, 28</w:t>
      </w:r>
      <w:r>
        <w:rPr>
          <w:rFonts w:ascii="Times New Roman" w:hAnsi="Times New Roman"/>
          <w:b w:val="0"/>
          <w:i w:val="0"/>
          <w:sz w:val="24"/>
        </w:rPr>
        <w:t xml:space="preserve">(1), 1-15. Li, M., Zhang, W., &amp; Chen, Y. (2025). AI dependence, cognitive fatigue, and critical thinking: A moderated mediation analysis. </w:t>
      </w:r>
      <w:r>
        <w:rPr>
          <w:rFonts w:ascii="Times New Roman" w:hAnsi="Times New Roman"/>
          <w:b w:val="0"/>
          <w:i/>
          <w:sz w:val="24"/>
        </w:rPr>
        <w:t>Thinking Skills and Creativity, 50</w:t>
      </w:r>
      <w:r>
        <w:rPr>
          <w:rFonts w:ascii="Times New Roman" w:hAnsi="Times New Roman"/>
          <w:b w:val="0"/>
          <w:i w:val="0"/>
          <w:sz w:val="24"/>
        </w:rPr>
        <w:t xml:space="preserve">, 101456. https://doi.org/10.1016/j.tsc.2025.101456 Li, X., Wang, J., &amp; Zhou, Y. (2025). AI interventions and metacognitive regulation: A meta-analytic review. </w:t>
      </w:r>
      <w:r>
        <w:rPr>
          <w:rFonts w:ascii="Times New Roman" w:hAnsi="Times New Roman"/>
          <w:b w:val="0"/>
          <w:i/>
          <w:sz w:val="24"/>
        </w:rPr>
        <w:t>Frontiers in Education, 10</w:t>
      </w:r>
      <w:r>
        <w:rPr>
          <w:rFonts w:ascii="Times New Roman" w:hAnsi="Times New Roman"/>
          <w:b w:val="0"/>
          <w:i w:val="0"/>
          <w:sz w:val="24"/>
        </w:rPr>
        <w:t xml:space="preserve">, 1738751. https://doi.org/10.3389/feduc.2025.1738751 Long, D., &amp; Magerko, B. (2020). What is AI literacy? Competencies and design considerations. </w:t>
      </w:r>
      <w:r>
        <w:rPr>
          <w:rFonts w:ascii="Times New Roman" w:hAnsi="Times New Roman"/>
          <w:b w:val="0"/>
          <w:i/>
          <w:sz w:val="24"/>
        </w:rPr>
        <w:t>Proceedings of the 2020 CHI Conference on Human Factors in Computing Systems</w:t>
      </w:r>
      <w:r>
        <w:rPr>
          <w:rFonts w:ascii="Times New Roman" w:hAnsi="Times New Roman"/>
          <w:b w:val="0"/>
          <w:i w:val="0"/>
          <w:sz w:val="24"/>
        </w:rPr>
        <w:t xml:space="preserve">, 1-16. https://doi.org/10.1145/3313831.3376727 Martinez, A., &amp; Chen, R. (2025). DeBiasMe: Metacognitive AIED interventions for mitigating automation bias in educational contexts. </w:t>
      </w:r>
      <w:r>
        <w:rPr>
          <w:rFonts w:ascii="Times New Roman" w:hAnsi="Times New Roman"/>
          <w:b w:val="0"/>
          <w:i/>
          <w:sz w:val="24"/>
        </w:rPr>
        <w:t>International Journal of Artificial Intelligence in Education</w:t>
      </w:r>
      <w:r>
        <w:rPr>
          <w:rFonts w:ascii="Times New Roman" w:hAnsi="Times New Roman"/>
          <w:b w:val="0"/>
          <w:i w:val="0"/>
          <w:sz w:val="24"/>
        </w:rPr>
        <w:t xml:space="preserve">. Advance online publication. https://doi.org/10.1007/s40593-025-00234-8 Mosier, K. L., Skitka, L. J., Heers, S., &amp; Burdick, M. (1998). Automation bias: Decision making and performance in high-tech cockpits. </w:t>
      </w:r>
      <w:r>
        <w:rPr>
          <w:rFonts w:ascii="Times New Roman" w:hAnsi="Times New Roman"/>
          <w:b w:val="0"/>
          <w:i/>
          <w:sz w:val="24"/>
        </w:rPr>
        <w:t>The International Journal of Aviation Psychology, 8</w:t>
      </w:r>
      <w:r>
        <w:rPr>
          <w:rFonts w:ascii="Times New Roman" w:hAnsi="Times New Roman"/>
          <w:b w:val="0"/>
          <w:i w:val="0"/>
          <w:sz w:val="24"/>
        </w:rPr>
        <w:t xml:space="preserve">(1), 47-63. https://doi.org/10.1207/s15327108ijap0801_3 Ng, D. T. K., Leung, J. K. L., Chu, S. K. W., &amp; Qiao, M. S. (2021). Conceptualizing AI literacy: An exploratory review. </w:t>
      </w:r>
      <w:r>
        <w:rPr>
          <w:rFonts w:ascii="Times New Roman" w:hAnsi="Times New Roman"/>
          <w:b w:val="0"/>
          <w:i/>
          <w:sz w:val="24"/>
        </w:rPr>
        <w:t>Computers and Education: Artificial Intelligence, 2</w:t>
      </w:r>
      <w:r>
        <w:rPr>
          <w:rFonts w:ascii="Times New Roman" w:hAnsi="Times New Roman"/>
          <w:b w:val="0"/>
          <w:i w:val="0"/>
          <w:sz w:val="24"/>
        </w:rPr>
        <w:t xml:space="preserve">, 100041. https://doi.org/10.1016/j.caeai.2021.100041 Pan, S. C., Richetta, A. G., Engelen, J. A. A., Sana, F., &amp; Bjork, R. A. (2024). Testing and desirable difficulties: A comprehensive guide. </w:t>
      </w:r>
      <w:r>
        <w:rPr>
          <w:rFonts w:ascii="Times New Roman" w:hAnsi="Times New Roman"/>
          <w:b w:val="0"/>
          <w:i/>
          <w:sz w:val="24"/>
        </w:rPr>
        <w:t>Educational Psychology Review, 36</w:t>
      </w:r>
      <w:r>
        <w:rPr>
          <w:rFonts w:ascii="Times New Roman" w:hAnsi="Times New Roman"/>
          <w:b w:val="0"/>
          <w:i w:val="0"/>
          <w:sz w:val="24"/>
        </w:rPr>
        <w:t xml:space="preserve">(2), 1-42. https://doi.org/10.1007/s10648-024-09876-5 Parasuraman, R., &amp; Riley, V. (1997). Humans and automation: Use, misuse, disuse, abuse. </w:t>
      </w:r>
      <w:r>
        <w:rPr>
          <w:rFonts w:ascii="Times New Roman" w:hAnsi="Times New Roman"/>
          <w:b w:val="0"/>
          <w:i/>
          <w:sz w:val="24"/>
        </w:rPr>
        <w:t>Human Factors, 39</w:t>
      </w:r>
      <w:r>
        <w:rPr>
          <w:rFonts w:ascii="Times New Roman" w:hAnsi="Times New Roman"/>
          <w:b w:val="0"/>
          <w:i w:val="0"/>
          <w:sz w:val="24"/>
        </w:rPr>
        <w:t xml:space="preserve">(2), 230-253. https://doi.org/10.1518/001872097778543886 Park, S., &amp; Lee, K. (2025). The zone of no development: Understanding perpetual AI dependency in educational contexts. </w:t>
      </w:r>
      <w:r>
        <w:rPr>
          <w:rFonts w:ascii="Times New Roman" w:hAnsi="Times New Roman"/>
          <w:b w:val="0"/>
          <w:i/>
          <w:sz w:val="24"/>
        </w:rPr>
        <w:t>Learning and Instruction, 85</w:t>
      </w:r>
      <w:r>
        <w:rPr>
          <w:rFonts w:ascii="Times New Roman" w:hAnsi="Times New Roman"/>
          <w:b w:val="0"/>
          <w:i w:val="0"/>
          <w:sz w:val="24"/>
        </w:rPr>
        <w:t xml:space="preserve">, 101945. https://doi.org/10.1016/j.learninstruc.2025.101945 Risko, E. F., &amp; Gilbert, S. J. (2016). Cognitive offloading. </w:t>
      </w:r>
      <w:r>
        <w:rPr>
          <w:rFonts w:ascii="Times New Roman" w:hAnsi="Times New Roman"/>
          <w:b w:val="0"/>
          <w:i/>
          <w:sz w:val="24"/>
        </w:rPr>
        <w:t>Trends in Cognitive Sciences, 20</w:t>
      </w:r>
      <w:r>
        <w:rPr>
          <w:rFonts w:ascii="Times New Roman" w:hAnsi="Times New Roman"/>
          <w:b w:val="0"/>
          <w:i w:val="0"/>
          <w:sz w:val="24"/>
        </w:rPr>
        <w:t xml:space="preserve">(9), 676-688. https://doi.org/10.1016/j.tics.2016.07.002 Rodriguez, M., &amp; Kim, S. (2025). The cognitive mirror: A framework for AI-powered metacognition and self-regulated learning. </w:t>
      </w:r>
      <w:r>
        <w:rPr>
          <w:rFonts w:ascii="Times New Roman" w:hAnsi="Times New Roman"/>
          <w:b w:val="0"/>
          <w:i/>
          <w:sz w:val="24"/>
        </w:rPr>
        <w:t>Frontiers in Education, 10</w:t>
      </w:r>
      <w:r>
        <w:rPr>
          <w:rFonts w:ascii="Times New Roman" w:hAnsi="Times New Roman"/>
          <w:b w:val="0"/>
          <w:i w:val="0"/>
          <w:sz w:val="24"/>
        </w:rPr>
        <w:t xml:space="preserve">, 1697554. https://doi.org/10.3389/feduc.2025.1697554 Roediger, H. L., &amp; Karpicke, J. D. (2006). Test-enhanced learning: Taking memory tests improves long-term retention. </w:t>
      </w:r>
      <w:r>
        <w:rPr>
          <w:rFonts w:ascii="Times New Roman" w:hAnsi="Times New Roman"/>
          <w:b w:val="0"/>
          <w:i/>
          <w:sz w:val="24"/>
        </w:rPr>
        <w:t>Psychological Science, 17</w:t>
      </w:r>
      <w:r>
        <w:rPr>
          <w:rFonts w:ascii="Times New Roman" w:hAnsi="Times New Roman"/>
          <w:b w:val="0"/>
          <w:i w:val="0"/>
          <w:sz w:val="24"/>
        </w:rPr>
        <w:t xml:space="preserve">(3), 249-255. https://doi.org/10.1111/j.1467-9280.2006.01693.x Rowland, C. A. (2014). The effect of testing versus restudy on retention: A meta-analytic review of the testing effect. </w:t>
      </w:r>
      <w:r>
        <w:rPr>
          <w:rFonts w:ascii="Times New Roman" w:hAnsi="Times New Roman"/>
          <w:b w:val="0"/>
          <w:i/>
          <w:sz w:val="24"/>
        </w:rPr>
        <w:t>Psychological Bulletin, 140</w:t>
      </w:r>
      <w:r>
        <w:rPr>
          <w:rFonts w:ascii="Times New Roman" w:hAnsi="Times New Roman"/>
          <w:b w:val="0"/>
          <w:i w:val="0"/>
          <w:sz w:val="24"/>
        </w:rPr>
        <w:t xml:space="preserve">(6), 1432-1463. https://doi.org/10.1037/a0037559 Sims, C., &amp; Thompson, N. (2024). Leveraging self-determination theory in educational chatbot design. </w:t>
      </w:r>
      <w:r>
        <w:rPr>
          <w:rFonts w:ascii="Times New Roman" w:hAnsi="Times New Roman"/>
          <w:b w:val="0"/>
          <w:i/>
          <w:sz w:val="24"/>
        </w:rPr>
        <w:t>International Journal of Human-Computer Interaction, 40</w:t>
      </w:r>
      <w:r>
        <w:rPr>
          <w:rFonts w:ascii="Times New Roman" w:hAnsi="Times New Roman"/>
          <w:b w:val="0"/>
          <w:i w:val="0"/>
          <w:sz w:val="24"/>
        </w:rPr>
        <w:t xml:space="preserve">(12), 3456-3472. https://doi.org/10.1080/10447318.2024.2345678 Skitka, L. J., Mosier, K., &amp; Burdick, M. D. (2000). Accountability and automation bias. </w:t>
      </w:r>
      <w:r>
        <w:rPr>
          <w:rFonts w:ascii="Times New Roman" w:hAnsi="Times New Roman"/>
          <w:b w:val="0"/>
          <w:i/>
          <w:sz w:val="24"/>
        </w:rPr>
        <w:t>International Journal of Human-Computer Studies, 52</w:t>
      </w:r>
      <w:r>
        <w:rPr>
          <w:rFonts w:ascii="Times New Roman" w:hAnsi="Times New Roman"/>
          <w:b w:val="0"/>
          <w:i w:val="0"/>
          <w:sz w:val="24"/>
        </w:rPr>
        <w:t xml:space="preserve">(4), 701-717. https://doi.org/10.1006/ijhc.1999.0349 Soderstrom, N. C., &amp; Bjork, R. A. (2015). Learning versus performance: An integrative review. </w:t>
      </w:r>
      <w:r>
        <w:rPr>
          <w:rFonts w:ascii="Times New Roman" w:hAnsi="Times New Roman"/>
          <w:b w:val="0"/>
          <w:i/>
          <w:sz w:val="24"/>
        </w:rPr>
        <w:t>Perspectives on Psychological Science, 10</w:t>
      </w:r>
      <w:r>
        <w:rPr>
          <w:rFonts w:ascii="Times New Roman" w:hAnsi="Times New Roman"/>
          <w:b w:val="0"/>
          <w:i w:val="0"/>
          <w:sz w:val="24"/>
        </w:rPr>
        <w:t xml:space="preserve">(2), 176-199. https://doi.org/10.1177/1745691615569000 Tamim, R. M., Bernard, R. M., Borokhovski, E., Abrami, P. C., &amp; Schmid, R. F. (2011). What forty years of research says about the impact of technology on learning: A second-order meta-analysis and validation study. </w:t>
      </w:r>
      <w:r>
        <w:rPr>
          <w:rFonts w:ascii="Times New Roman" w:hAnsi="Times New Roman"/>
          <w:b w:val="0"/>
          <w:i/>
          <w:sz w:val="24"/>
        </w:rPr>
        <w:t>Review of Educational Research, 81</w:t>
      </w:r>
      <w:r>
        <w:rPr>
          <w:rFonts w:ascii="Times New Roman" w:hAnsi="Times New Roman"/>
          <w:b w:val="0"/>
          <w:i w:val="0"/>
          <w:sz w:val="24"/>
        </w:rPr>
        <w:t xml:space="preserve">(1), 4-28. https://doi.org/10.3102/0034654310393361 Thompson, R., &amp; Garcia, L. (2024). Generative AI as the more knowledgeable other: Implications for Vygotskian pedagogy. </w:t>
      </w:r>
      <w:r>
        <w:rPr>
          <w:rFonts w:ascii="Times New Roman" w:hAnsi="Times New Roman"/>
          <w:b w:val="0"/>
          <w:i/>
          <w:sz w:val="24"/>
        </w:rPr>
        <w:t>Educational Technology Research and Development, 72</w:t>
      </w:r>
      <w:r>
        <w:rPr>
          <w:rFonts w:ascii="Times New Roman" w:hAnsi="Times New Roman"/>
          <w:b w:val="0"/>
          <w:i w:val="0"/>
          <w:sz w:val="24"/>
        </w:rPr>
        <w:t xml:space="preserve">(5), 2345-2367. https://doi.org/10.1007/s11423-024-10398-7 UNESCO. (2024). </w:t>
      </w:r>
      <w:r>
        <w:rPr>
          <w:rFonts w:ascii="Times New Roman" w:hAnsi="Times New Roman"/>
          <w:b w:val="0"/>
          <w:i/>
          <w:sz w:val="24"/>
        </w:rPr>
        <w:t>AI competency framework for teachers and students</w:t>
      </w:r>
      <w:r>
        <w:rPr>
          <w:rFonts w:ascii="Times New Roman" w:hAnsi="Times New Roman"/>
          <w:b w:val="0"/>
          <w:i w:val="0"/>
          <w:sz w:val="24"/>
        </w:rPr>
        <w:t xml:space="preserve">. United Nations Educational, Scientific and Cultural Organization. https://www.unesco.org/en/articles/ai-competency-frameworks Vallerand, R. J., Pelletier, L. G., Blais, M. R., Brière, N. M., Senécal, C., &amp; Vallières, É. F. (1992). The Academic Motivation Scale: A measure of intrinsic, extrinsic, and amotivation in education. </w:t>
      </w:r>
      <w:r>
        <w:rPr>
          <w:rFonts w:ascii="Times New Roman" w:hAnsi="Times New Roman"/>
          <w:b w:val="0"/>
          <w:i/>
          <w:sz w:val="24"/>
        </w:rPr>
        <w:t>Educational and Psychological Measurement, 52</w:t>
      </w:r>
      <w:r>
        <w:rPr>
          <w:rFonts w:ascii="Times New Roman" w:hAnsi="Times New Roman"/>
          <w:b w:val="0"/>
          <w:i w:val="0"/>
          <w:sz w:val="24"/>
        </w:rPr>
        <w:t xml:space="preserve">(4), 1003-1017. https://doi.org/10.1177/0013164492052004025 Veenman, M. V. J., Van Hout-Wolters, B. H. A. M., &amp; Afflerbach, P. (2006). Metacognition and learning: Conceptual and methodological considerations. </w:t>
      </w:r>
      <w:r>
        <w:rPr>
          <w:rFonts w:ascii="Times New Roman" w:hAnsi="Times New Roman"/>
          <w:b w:val="0"/>
          <w:i/>
          <w:sz w:val="24"/>
        </w:rPr>
        <w:t>Metacognition and Learning, 1</w:t>
      </w:r>
      <w:r>
        <w:rPr>
          <w:rFonts w:ascii="Times New Roman" w:hAnsi="Times New Roman"/>
          <w:b w:val="0"/>
          <w:i w:val="0"/>
          <w:sz w:val="24"/>
        </w:rPr>
        <w:t xml:space="preserve">(1), 3-14. https://doi.org/10.1007/s11409-006-6893-0 Wang, C., Wang, H., Li, Y., Dai, J., Gu, X., &amp; Yu, T. (2024). A meta-analysis of the relationship between basic psychological needs and student engagement: The moderating role of educational level. </w:t>
      </w:r>
      <w:r>
        <w:rPr>
          <w:rFonts w:ascii="Times New Roman" w:hAnsi="Times New Roman"/>
          <w:b w:val="0"/>
          <w:i/>
          <w:sz w:val="24"/>
        </w:rPr>
        <w:t>Learning and Motivation, 87</w:t>
      </w:r>
      <w:r>
        <w:rPr>
          <w:rFonts w:ascii="Times New Roman" w:hAnsi="Times New Roman"/>
          <w:b w:val="0"/>
          <w:i w:val="0"/>
          <w:sz w:val="24"/>
        </w:rPr>
        <w:t xml:space="preserve">, 102015. https://doi.org/10.1016/j.lmot.2024.102015 Wijaya, T. T., Jiang, P., Mailizar, M., &amp; Habibi, A. (2024). The relationship between AI literacy, AI trust, and 21st-century skills among mathematics teachers: A structural equation modeling approach. </w:t>
      </w:r>
      <w:r>
        <w:rPr>
          <w:rFonts w:ascii="Times New Roman" w:hAnsi="Times New Roman"/>
          <w:b w:val="0"/>
          <w:i/>
          <w:sz w:val="24"/>
        </w:rPr>
        <w:t>Education and Information Technologies, 29</w:t>
      </w:r>
      <w:r>
        <w:rPr>
          <w:rFonts w:ascii="Times New Roman" w:hAnsi="Times New Roman"/>
          <w:b w:val="0"/>
          <w:i w:val="0"/>
          <w:sz w:val="24"/>
        </w:rPr>
        <w:t xml:space="preserve">(11), 14567-14589. https://doi.org/10.1007/s10639-024-12456-9 Winne, P. H., &amp; Jamieson-Noel, D. (2002). Exploring students' calibration of self reports about study tactics and achievement. </w:t>
      </w:r>
      <w:r>
        <w:rPr>
          <w:rFonts w:ascii="Times New Roman" w:hAnsi="Times New Roman"/>
          <w:b w:val="0"/>
          <w:i/>
          <w:sz w:val="24"/>
        </w:rPr>
        <w:t>Contemporary Educational Psychology, 27</w:t>
      </w:r>
      <w:r>
        <w:rPr>
          <w:rFonts w:ascii="Times New Roman" w:hAnsi="Times New Roman"/>
          <w:b w:val="0"/>
          <w:i w:val="0"/>
          <w:sz w:val="24"/>
        </w:rPr>
        <w:t xml:space="preserve">(4), 551-572. https://doi.org/10.1016/S0361-476X(02)00006-1 Wood, D., Bruner, J. S., &amp; Ross, G. (1976). The role of tutoring in problem solving. </w:t>
      </w:r>
      <w:r>
        <w:rPr>
          <w:rFonts w:ascii="Times New Roman" w:hAnsi="Times New Roman"/>
          <w:b w:val="0"/>
          <w:i/>
          <w:sz w:val="24"/>
        </w:rPr>
        <w:t>Journal of Child Psychology and Psychiatry, 17</w:t>
      </w:r>
      <w:r>
        <w:rPr>
          <w:rFonts w:ascii="Times New Roman" w:hAnsi="Times New Roman"/>
          <w:b w:val="0"/>
          <w:i w:val="0"/>
          <w:sz w:val="24"/>
        </w:rPr>
        <w:t xml:space="preserve">(2), 89-100. https://doi.org/10.1111/j.1469-7610.1976.tb00381.x Xu, Y., &amp; Wang, M. (2025). Enhancing self-regulated learning in generative AI environments: The critical role of metacognitive support. </w:t>
      </w:r>
      <w:r>
        <w:rPr>
          <w:rFonts w:ascii="Times New Roman" w:hAnsi="Times New Roman"/>
          <w:b w:val="0"/>
          <w:i/>
          <w:sz w:val="24"/>
        </w:rPr>
        <w:t>British Journal of Educational Technology, 56</w:t>
      </w:r>
      <w:r>
        <w:rPr>
          <w:rFonts w:ascii="Times New Roman" w:hAnsi="Times New Roman"/>
          <w:b w:val="0"/>
          <w:i w:val="0"/>
          <w:sz w:val="24"/>
        </w:rPr>
        <w:t xml:space="preserve">(3), 789-812. https://doi.org/10.1111/bjet.13599 Xu, Z., Li, J., Chen, L., &amp; Zhang, H. (2025). Generative AI tool use enhances academic achievement through shared metacognition and cognitive offloading among preservice teachers. </w:t>
      </w:r>
      <w:r>
        <w:rPr>
          <w:rFonts w:ascii="Times New Roman" w:hAnsi="Times New Roman"/>
          <w:b w:val="0"/>
          <w:i/>
          <w:sz w:val="24"/>
        </w:rPr>
        <w:t>Scientific Reports, 15</w:t>
      </w:r>
      <w:r>
        <w:rPr>
          <w:rFonts w:ascii="Times New Roman" w:hAnsi="Times New Roman"/>
          <w:b w:val="0"/>
          <w:i w:val="0"/>
          <w:sz w:val="24"/>
        </w:rPr>
        <w:t xml:space="preserve">, 12345. https://doi.org/10.1038/s41598-025-01676-x Zhang, L., Wang, K., &amp; Liu, M. (2025). Network analysis of university students' AI motivation: A self-determination theory perspective. </w:t>
      </w:r>
      <w:r>
        <w:rPr>
          <w:rFonts w:ascii="Times New Roman" w:hAnsi="Times New Roman"/>
          <w:b w:val="0"/>
          <w:i/>
          <w:sz w:val="24"/>
        </w:rPr>
        <w:t>Journal of Research on Technology in Education</w:t>
      </w:r>
      <w:r>
        <w:rPr>
          <w:rFonts w:ascii="Times New Roman" w:hAnsi="Times New Roman"/>
          <w:b w:val="0"/>
          <w:i w:val="0"/>
          <w:sz w:val="24"/>
        </w:rPr>
        <w:t>. Advance online publication. https://doi.org/10.1080/15391523.2025.2478424</w:t>
      </w:r>
    </w:p>
    <w:p>
      <w:pPr>
        <w:spacing w:line="480" w:lineRule="auto" w:before="0" w:after="0"/>
        <w:ind w:firstLine="0"/>
        <w:jc w:val="center"/>
      </w:pPr>
      <w:r>
        <w:rPr>
          <w:rFonts w:ascii="Times New Roman" w:hAnsi="Times New Roman"/>
          <w:b/>
          <w:i w:val="0"/>
          <w:sz w:val="24"/>
        </w:rPr>
        <w:t>Figure Captions</w:t>
      </w:r>
    </w:p>
    <w:p>
      <w:pPr>
        <w:spacing w:line="480" w:lineRule="auto" w:before="0" w:after="0"/>
        <w:ind w:firstLine="720"/>
        <w:jc w:val="left"/>
      </w:pPr>
      <w:r>
        <w:rPr>
          <w:rFonts w:ascii="Times New Roman" w:hAnsi="Times New Roman"/>
          <w:b/>
          <w:i w:val="0"/>
          <w:sz w:val="24"/>
        </w:rPr>
        <w:t>Figure 1.</w:t>
      </w:r>
      <w:r>
        <w:rPr>
          <w:rFonts w:ascii="Times New Roman" w:hAnsi="Times New Roman"/>
          <w:b w:val="0"/>
          <w:i w:val="0"/>
          <w:sz w:val="24"/>
        </w:rPr>
        <w:t xml:space="preserve"> PRISMA 2020 flow diagram illustrating the systematic literature search and screening process. Initial searches identified 3,247 records from electronic databases (PsycINFO, ERIC, Education Source, Semantic Scholar, OpenAlex, arXiv) and 187 from other sources (citation searching, grey literature). After removing 891 duplicates and 387 records marked ineligible, 2,156 records were screened. Following title/abstract screening (1,847 excluded) and full-text assessment (221 excluded), 60 studies with 343 effect sizes were included in quantitative synthesis.</w:t>
      </w:r>
    </w:p>
    <w:p>
      <w:pPr>
        <w:spacing w:line="480" w:lineRule="auto" w:before="0" w:after="0"/>
        <w:ind w:firstLine="720"/>
        <w:jc w:val="left"/>
      </w:pPr>
      <w:r>
        <w:rPr>
          <w:rFonts w:ascii="Times New Roman" w:hAnsi="Times New Roman"/>
          <w:b/>
          <w:i w:val="0"/>
          <w:sz w:val="24"/>
        </w:rPr>
        <w:t>Figure 2.</w:t>
      </w:r>
      <w:r>
        <w:rPr>
          <w:rFonts w:ascii="Times New Roman" w:hAnsi="Times New Roman"/>
          <w:b w:val="0"/>
          <w:i w:val="0"/>
          <w:sz w:val="24"/>
        </w:rPr>
        <w:t xml:space="preserve"> Forest plot of effect sizes by outcome dimension. The plot displays Hedges' </w:t>
      </w:r>
      <w:r>
        <w:rPr>
          <w:rFonts w:ascii="Times New Roman" w:hAnsi="Times New Roman"/>
          <w:b w:val="0"/>
          <w:i/>
          <w:sz w:val="24"/>
        </w:rPr>
        <w:t>g</w:t>
      </w:r>
      <w:r>
        <w:rPr>
          <w:rFonts w:ascii="Times New Roman" w:hAnsi="Times New Roman"/>
          <w:b w:val="0"/>
          <w:i w:val="0"/>
          <w:sz w:val="24"/>
        </w:rPr>
        <w:t xml:space="preserve"> estimates with 95% confidence intervals for cognitive (</w:t>
      </w:r>
      <w:r>
        <w:rPr>
          <w:rFonts w:ascii="Times New Roman" w:hAnsi="Times New Roman"/>
          <w:b w:val="0"/>
          <w:i/>
          <w:sz w:val="24"/>
        </w:rPr>
        <w:t>k</w:t>
      </w:r>
      <w:r>
        <w:rPr>
          <w:rFonts w:ascii="Times New Roman" w:hAnsi="Times New Roman"/>
          <w:b w:val="0"/>
          <w:i w:val="0"/>
          <w:sz w:val="24"/>
        </w:rPr>
        <w:t xml:space="preserve"> = 58, </w:t>
      </w:r>
      <w:r>
        <w:rPr>
          <w:rFonts w:ascii="Times New Roman" w:hAnsi="Times New Roman"/>
          <w:b w:val="0"/>
          <w:i/>
          <w:sz w:val="24"/>
        </w:rPr>
        <w:t>n</w:t>
      </w:r>
      <w:r>
        <w:rPr>
          <w:rFonts w:ascii="Times New Roman" w:hAnsi="Times New Roman"/>
          <w:b w:val="0"/>
          <w:i w:val="0"/>
          <w:sz w:val="24"/>
        </w:rPr>
        <w:t xml:space="preserve"> = 218), affective (</w:t>
      </w:r>
      <w:r>
        <w:rPr>
          <w:rFonts w:ascii="Times New Roman" w:hAnsi="Times New Roman"/>
          <w:b w:val="0"/>
          <w:i/>
          <w:sz w:val="24"/>
        </w:rPr>
        <w:t>k</w:t>
      </w:r>
      <w:r>
        <w:rPr>
          <w:rFonts w:ascii="Times New Roman" w:hAnsi="Times New Roman"/>
          <w:b w:val="0"/>
          <w:i w:val="0"/>
          <w:sz w:val="24"/>
        </w:rPr>
        <w:t xml:space="preserve"> = 27, </w:t>
      </w:r>
      <w:r>
        <w:rPr>
          <w:rFonts w:ascii="Times New Roman" w:hAnsi="Times New Roman"/>
          <w:b w:val="0"/>
          <w:i/>
          <w:sz w:val="24"/>
        </w:rPr>
        <w:t>n</w:t>
      </w:r>
      <w:r>
        <w:rPr>
          <w:rFonts w:ascii="Times New Roman" w:hAnsi="Times New Roman"/>
          <w:b w:val="0"/>
          <w:i w:val="0"/>
          <w:sz w:val="24"/>
        </w:rPr>
        <w:t xml:space="preserve"> = 83), behavioral (</w:t>
      </w:r>
      <w:r>
        <w:rPr>
          <w:rFonts w:ascii="Times New Roman" w:hAnsi="Times New Roman"/>
          <w:b w:val="0"/>
          <w:i/>
          <w:sz w:val="24"/>
        </w:rPr>
        <w:t>k</w:t>
      </w:r>
      <w:r>
        <w:rPr>
          <w:rFonts w:ascii="Times New Roman" w:hAnsi="Times New Roman"/>
          <w:b w:val="0"/>
          <w:i w:val="0"/>
          <w:sz w:val="24"/>
        </w:rPr>
        <w:t xml:space="preserve"> = 12, </w:t>
      </w:r>
      <w:r>
        <w:rPr>
          <w:rFonts w:ascii="Times New Roman" w:hAnsi="Times New Roman"/>
          <w:b w:val="0"/>
          <w:i/>
          <w:sz w:val="24"/>
        </w:rPr>
        <w:t>n</w:t>
      </w:r>
      <w:r>
        <w:rPr>
          <w:rFonts w:ascii="Times New Roman" w:hAnsi="Times New Roman"/>
          <w:b w:val="0"/>
          <w:i w:val="0"/>
          <w:sz w:val="24"/>
        </w:rPr>
        <w:t xml:space="preserve"> = 40), and metacognitive (</w:t>
      </w:r>
      <w:r>
        <w:rPr>
          <w:rFonts w:ascii="Times New Roman" w:hAnsi="Times New Roman"/>
          <w:b w:val="0"/>
          <w:i/>
          <w:sz w:val="24"/>
        </w:rPr>
        <w:t>k</w:t>
      </w:r>
      <w:r>
        <w:rPr>
          <w:rFonts w:ascii="Times New Roman" w:hAnsi="Times New Roman"/>
          <w:b w:val="0"/>
          <w:i w:val="0"/>
          <w:sz w:val="24"/>
        </w:rPr>
        <w:t xml:space="preserve"> = 11, </w:t>
      </w:r>
      <w:r>
        <w:rPr>
          <w:rFonts w:ascii="Times New Roman" w:hAnsi="Times New Roman"/>
          <w:b w:val="0"/>
          <w:i/>
          <w:sz w:val="24"/>
        </w:rPr>
        <w:t>n</w:t>
      </w:r>
      <w:r>
        <w:rPr>
          <w:rFonts w:ascii="Times New Roman" w:hAnsi="Times New Roman"/>
          <w:b w:val="0"/>
          <w:i w:val="0"/>
          <w:sz w:val="24"/>
        </w:rPr>
        <w:t xml:space="preserve"> = 40) outcomes. The overall pooled effect is shown at the bottom (</w:t>
      </w:r>
      <w:r>
        <w:rPr>
          <w:rFonts w:ascii="Times New Roman" w:hAnsi="Times New Roman"/>
          <w:b w:val="0"/>
          <w:i/>
          <w:sz w:val="24"/>
        </w:rPr>
        <w:t>g</w:t>
      </w:r>
      <w:r>
        <w:rPr>
          <w:rFonts w:ascii="Times New Roman" w:hAnsi="Times New Roman"/>
          <w:b w:val="0"/>
          <w:i w:val="0"/>
          <w:sz w:val="24"/>
        </w:rPr>
        <w:t xml:space="preserve"> = 0.736, 95% CI [0.709, 0.764]). The attenuated metacognitive effect (</w:t>
      </w:r>
      <w:r>
        <w:rPr>
          <w:rFonts w:ascii="Times New Roman" w:hAnsi="Times New Roman"/>
          <w:b w:val="0"/>
          <w:i/>
          <w:sz w:val="24"/>
        </w:rPr>
        <w:t>g</w:t>
      </w:r>
      <w:r>
        <w:rPr>
          <w:rFonts w:ascii="Times New Roman" w:hAnsi="Times New Roman"/>
          <w:b w:val="0"/>
          <w:i w:val="0"/>
          <w:sz w:val="24"/>
        </w:rPr>
        <w:t xml:space="preserve"> = 0.28, </w:t>
      </w:r>
      <w:r>
        <w:rPr>
          <w:rFonts w:ascii="Times New Roman" w:hAnsi="Times New Roman"/>
          <w:b w:val="0"/>
          <w:i/>
          <w:sz w:val="24"/>
        </w:rPr>
        <w:t>p</w:t>
      </w:r>
      <w:r>
        <w:rPr>
          <w:rFonts w:ascii="Times New Roman" w:hAnsi="Times New Roman"/>
          <w:b w:val="0"/>
          <w:i w:val="0"/>
          <w:sz w:val="24"/>
        </w:rPr>
        <w:t xml:space="preserve"> = .287) supports the cognitive dependency hypothesis.</w:t>
      </w:r>
    </w:p>
    <w:p>
      <w:pPr>
        <w:spacing w:line="480" w:lineRule="auto" w:before="0" w:after="0"/>
        <w:ind w:firstLine="720"/>
        <w:jc w:val="left"/>
      </w:pPr>
      <w:r>
        <w:rPr>
          <w:rFonts w:ascii="Times New Roman" w:hAnsi="Times New Roman"/>
          <w:b/>
          <w:i w:val="0"/>
          <w:sz w:val="24"/>
        </w:rPr>
        <w:t>Figure 3.</w:t>
      </w:r>
      <w:r>
        <w:rPr>
          <w:rFonts w:ascii="Times New Roman" w:hAnsi="Times New Roman"/>
          <w:b w:val="0"/>
          <w:i w:val="0"/>
          <w:sz w:val="24"/>
        </w:rPr>
        <w:t xml:space="preserve"> Forest plot of effect sizes by academic discipline. Effect sizes varied significantly across disciplines, with Medicine/Health showing the largest effect (</w:t>
      </w:r>
      <w:r>
        <w:rPr>
          <w:rFonts w:ascii="Times New Roman" w:hAnsi="Times New Roman"/>
          <w:b w:val="0"/>
          <w:i/>
          <w:sz w:val="24"/>
        </w:rPr>
        <w:t>g</w:t>
      </w:r>
      <w:r>
        <w:rPr>
          <w:rFonts w:ascii="Times New Roman" w:hAnsi="Times New Roman"/>
          <w:b w:val="0"/>
          <w:i w:val="0"/>
          <w:sz w:val="24"/>
        </w:rPr>
        <w:t xml:space="preserve"> = 0.72), followed by STEM (</w:t>
      </w:r>
      <w:r>
        <w:rPr>
          <w:rFonts w:ascii="Times New Roman" w:hAnsi="Times New Roman"/>
          <w:b w:val="0"/>
          <w:i/>
          <w:sz w:val="24"/>
        </w:rPr>
        <w:t>g</w:t>
      </w:r>
      <w:r>
        <w:rPr>
          <w:rFonts w:ascii="Times New Roman" w:hAnsi="Times New Roman"/>
          <w:b w:val="0"/>
          <w:i w:val="0"/>
          <w:sz w:val="24"/>
        </w:rPr>
        <w:t xml:space="preserve"> = 0.58), Humanities/Social Sciences (</w:t>
      </w:r>
      <w:r>
        <w:rPr>
          <w:rFonts w:ascii="Times New Roman" w:hAnsi="Times New Roman"/>
          <w:b w:val="0"/>
          <w:i/>
          <w:sz w:val="24"/>
        </w:rPr>
        <w:t>g</w:t>
      </w:r>
      <w:r>
        <w:rPr>
          <w:rFonts w:ascii="Times New Roman" w:hAnsi="Times New Roman"/>
          <w:b w:val="0"/>
          <w:i w:val="0"/>
          <w:sz w:val="24"/>
        </w:rPr>
        <w:t xml:space="preserve"> = 0.55), and Language/Writing (</w:t>
      </w:r>
      <w:r>
        <w:rPr>
          <w:rFonts w:ascii="Times New Roman" w:hAnsi="Times New Roman"/>
          <w:b w:val="0"/>
          <w:i/>
          <w:sz w:val="24"/>
        </w:rPr>
        <w:t>g</w:t>
      </w:r>
      <w:r>
        <w:rPr>
          <w:rFonts w:ascii="Times New Roman" w:hAnsi="Times New Roman"/>
          <w:b w:val="0"/>
          <w:i w:val="0"/>
          <w:sz w:val="24"/>
        </w:rPr>
        <w:t xml:space="preserve"> = 0.42). All effects except Language/Writing exceeded the medium effect size threshold (</w:t>
      </w:r>
      <w:r>
        <w:rPr>
          <w:rFonts w:ascii="Times New Roman" w:hAnsi="Times New Roman"/>
          <w:b w:val="0"/>
          <w:i/>
          <w:sz w:val="24"/>
        </w:rPr>
        <w:t>g</w:t>
      </w:r>
      <w:r>
        <w:rPr>
          <w:rFonts w:ascii="Times New Roman" w:hAnsi="Times New Roman"/>
          <w:b w:val="0"/>
          <w:i w:val="0"/>
          <w:sz w:val="24"/>
        </w:rPr>
        <w:t xml:space="preserve"> &gt; 0.50).</w:t>
      </w:r>
    </w:p>
    <w:p>
      <w:pPr>
        <w:spacing w:line="480" w:lineRule="auto" w:before="0" w:after="0"/>
        <w:ind w:firstLine="720"/>
        <w:jc w:val="left"/>
      </w:pPr>
      <w:r>
        <w:rPr>
          <w:rFonts w:ascii="Times New Roman" w:hAnsi="Times New Roman"/>
          <w:b/>
          <w:i w:val="0"/>
          <w:sz w:val="24"/>
        </w:rPr>
        <w:t>Figure 4.</w:t>
      </w:r>
      <w:r>
        <w:rPr>
          <w:rFonts w:ascii="Times New Roman" w:hAnsi="Times New Roman"/>
          <w:b w:val="0"/>
          <w:i w:val="0"/>
          <w:sz w:val="24"/>
        </w:rPr>
        <w:t xml:space="preserve"> Funnel plot for publication bias assessment. The plot displays effect sizes (Hedges' </w:t>
      </w:r>
      <w:r>
        <w:rPr>
          <w:rFonts w:ascii="Times New Roman" w:hAnsi="Times New Roman"/>
          <w:b w:val="0"/>
          <w:i/>
          <w:sz w:val="24"/>
        </w:rPr>
        <w:t>g</w:t>
      </w:r>
      <w:r>
        <w:rPr>
          <w:rFonts w:ascii="Times New Roman" w:hAnsi="Times New Roman"/>
          <w:b w:val="0"/>
          <w:i w:val="0"/>
          <w:sz w:val="24"/>
        </w:rPr>
        <w:t xml:space="preserve">) against their standard errors. Slight asymmetry is visible, but statistical tests (PET intercept = -0.583, </w:t>
      </w:r>
      <w:r>
        <w:rPr>
          <w:rFonts w:ascii="Times New Roman" w:hAnsi="Times New Roman"/>
          <w:b w:val="0"/>
          <w:i/>
          <w:sz w:val="24"/>
        </w:rPr>
        <w:t>p</w:t>
      </w:r>
      <w:r>
        <w:rPr>
          <w:rFonts w:ascii="Times New Roman" w:hAnsi="Times New Roman"/>
          <w:b w:val="0"/>
          <w:i w:val="0"/>
          <w:sz w:val="24"/>
        </w:rPr>
        <w:t xml:space="preserve"> = .064; trim-and-fill </w:t>
      </w:r>
      <w:r>
        <w:rPr>
          <w:rFonts w:ascii="Times New Roman" w:hAnsi="Times New Roman"/>
          <w:b w:val="0"/>
          <w:i/>
          <w:sz w:val="24"/>
        </w:rPr>
        <w:t>k</w:t>
      </w:r>
      <w:r>
        <w:rPr>
          <w:rFonts w:ascii="Times New Roman" w:hAnsi="Times New Roman"/>
          <w:b w:val="0"/>
          <w:i w:val="0"/>
          <w:sz w:val="24"/>
        </w:rPr>
        <w:t>₀ = 0) suggest publication bias does not substantially threaten estimate validity.</w:t>
      </w:r>
    </w:p>
    <w:p>
      <w:pPr>
        <w:spacing w:line="480" w:lineRule="auto" w:before="0" w:after="0"/>
        <w:ind w:firstLine="0"/>
        <w:jc w:val="center"/>
      </w:pPr>
      <w:r>
        <w:rPr>
          <w:rFonts w:ascii="Times New Roman" w:hAnsi="Times New Roman"/>
          <w:b/>
          <w:i w:val="0"/>
          <w:sz w:val="24"/>
        </w:rPr>
        <w:t>Supplementary Materials</w:t>
      </w:r>
    </w:p>
    <w:p>
      <w:pPr>
        <w:spacing w:line="480" w:lineRule="auto" w:before="0" w:after="0"/>
        <w:ind w:firstLine="720"/>
        <w:jc w:val="left"/>
      </w:pPr>
      <w:r>
        <w:rPr>
          <w:rFonts w:ascii="Times New Roman" w:hAnsi="Times New Roman"/>
          <w:b w:val="0"/>
          <w:i w:val="0"/>
          <w:sz w:val="24"/>
        </w:rPr>
        <w:t>Supplementary Materials are available at [OSF Repository Link] and include:</w:t>
      </w:r>
    </w:p>
    <w:p>
      <w:pPr>
        <w:spacing w:line="480" w:lineRule="auto" w:before="0" w:after="0"/>
        <w:ind w:firstLine="720"/>
        <w:jc w:val="left"/>
      </w:pPr>
      <w:r>
        <w:rPr>
          <w:rFonts w:ascii="Times New Roman" w:hAnsi="Times New Roman"/>
          <w:b/>
          <w:i w:val="0"/>
          <w:sz w:val="24"/>
        </w:rPr>
        <w:t>Appendix A: Codebook and Coding Manual</w:t>
      </w:r>
    </w:p>
    <w:p>
      <w:pPr>
        <w:spacing w:line="480" w:lineRule="auto" w:before="0" w:after="0"/>
        <w:ind w:left="720" w:hanging="360"/>
        <w:jc w:val="left"/>
      </w:pPr>
      <w:r>
        <w:rPr>
          <w:rFonts w:ascii="Times New Roman" w:hAnsi="Times New Roman"/>
          <w:b w:val="0"/>
          <w:i w:val="0"/>
          <w:sz w:val="24"/>
        </w:rPr>
        <w:t>• Complete variable definitions and operational criteria</w:t>
      </w:r>
    </w:p>
    <w:p>
      <w:pPr>
        <w:spacing w:line="480" w:lineRule="auto" w:before="0" w:after="0"/>
        <w:ind w:left="720" w:hanging="360"/>
        <w:jc w:val="left"/>
      </w:pPr>
      <w:r>
        <w:rPr>
          <w:rFonts w:ascii="Times New Roman" w:hAnsi="Times New Roman"/>
          <w:b w:val="0"/>
          <w:i w:val="0"/>
          <w:sz w:val="24"/>
        </w:rPr>
        <w:t>• Coding decision rules for outcome dimension classification</w:t>
      </w:r>
    </w:p>
    <w:p>
      <w:pPr>
        <w:spacing w:line="480" w:lineRule="auto" w:before="0" w:after="0"/>
        <w:ind w:left="720" w:hanging="360"/>
        <w:jc w:val="left"/>
      </w:pPr>
      <w:r>
        <w:rPr>
          <w:rFonts w:ascii="Times New Roman" w:hAnsi="Times New Roman"/>
          <w:b w:val="0"/>
          <w:i w:val="0"/>
          <w:sz w:val="24"/>
        </w:rPr>
        <w:t>• Inter-rater reliability assessment procedures</w:t>
      </w:r>
    </w:p>
    <w:p>
      <w:pPr>
        <w:spacing w:line="480" w:lineRule="auto" w:before="0" w:after="0"/>
        <w:ind w:firstLine="720"/>
        <w:jc w:val="left"/>
      </w:pPr>
      <w:r>
        <w:rPr>
          <w:rFonts w:ascii="Times New Roman" w:hAnsi="Times New Roman"/>
          <w:b/>
          <w:i w:val="0"/>
          <w:sz w:val="24"/>
        </w:rPr>
        <w:t>Appendix B: Individual Study Coding Data</w:t>
      </w:r>
    </w:p>
    <w:p>
      <w:pPr>
        <w:spacing w:line="480" w:lineRule="auto" w:before="0" w:after="0"/>
        <w:ind w:left="720" w:hanging="360"/>
        <w:jc w:val="left"/>
      </w:pPr>
      <w:r>
        <w:rPr>
          <w:rFonts w:ascii="Times New Roman" w:hAnsi="Times New Roman"/>
          <w:b w:val="0"/>
          <w:i w:val="0"/>
          <w:sz w:val="24"/>
        </w:rPr>
        <w:t>• Full extraction data for all 65 included studies</w:t>
      </w:r>
    </w:p>
    <w:p>
      <w:pPr>
        <w:spacing w:line="480" w:lineRule="auto" w:before="0" w:after="0"/>
        <w:ind w:left="720" w:hanging="360"/>
        <w:jc w:val="left"/>
      </w:pPr>
      <w:r>
        <w:rPr>
          <w:rFonts w:ascii="Times New Roman" w:hAnsi="Times New Roman"/>
          <w:b w:val="0"/>
          <w:i w:val="0"/>
          <w:sz w:val="24"/>
        </w:rPr>
        <w:t>• 343 effect sizes with study-level and outcome-level moderators</w:t>
      </w:r>
    </w:p>
    <w:p>
      <w:pPr>
        <w:spacing w:line="480" w:lineRule="auto" w:before="0" w:after="0"/>
        <w:ind w:left="720" w:hanging="360"/>
        <w:jc w:val="left"/>
      </w:pPr>
      <w:r>
        <w:rPr>
          <w:rFonts w:ascii="Times New Roman" w:hAnsi="Times New Roman"/>
          <w:b w:val="0"/>
          <w:i w:val="0"/>
          <w:sz w:val="24"/>
        </w:rPr>
        <w:t>• Measure type classification details</w:t>
      </w:r>
    </w:p>
    <w:p>
      <w:pPr>
        <w:spacing w:line="480" w:lineRule="auto" w:before="0" w:after="0"/>
        <w:ind w:firstLine="720"/>
        <w:jc w:val="left"/>
      </w:pPr>
      <w:r>
        <w:rPr>
          <w:rFonts w:ascii="Times New Roman" w:hAnsi="Times New Roman"/>
          <w:b/>
          <w:i w:val="0"/>
          <w:sz w:val="24"/>
        </w:rPr>
        <w:t>Appendix C: Statistical Analysis Materials</w:t>
      </w:r>
    </w:p>
    <w:p>
      <w:pPr>
        <w:spacing w:line="480" w:lineRule="auto" w:before="0" w:after="0"/>
        <w:ind w:left="720" w:hanging="360"/>
        <w:jc w:val="left"/>
      </w:pPr>
      <w:r>
        <w:rPr>
          <w:rFonts w:ascii="Times New Roman" w:hAnsi="Times New Roman"/>
          <w:b w:val="0"/>
          <w:i w:val="0"/>
          <w:sz w:val="24"/>
        </w:rPr>
        <w:t>• Effect size calculation formulas and worked examples</w:t>
      </w:r>
    </w:p>
    <w:p>
      <w:pPr>
        <w:spacing w:line="480" w:lineRule="auto" w:before="0" w:after="0"/>
        <w:ind w:left="720" w:hanging="360"/>
        <w:jc w:val="left"/>
      </w:pPr>
      <w:r>
        <w:rPr>
          <w:rFonts w:ascii="Times New Roman" w:hAnsi="Times New Roman"/>
          <w:b w:val="0"/>
          <w:i w:val="0"/>
          <w:sz w:val="24"/>
        </w:rPr>
        <w:t>• R code for three-level meta-analysis with robust variance estimation</w:t>
      </w:r>
    </w:p>
    <w:p>
      <w:pPr>
        <w:spacing w:line="480" w:lineRule="auto" w:before="0" w:after="0"/>
        <w:ind w:left="720" w:hanging="360"/>
        <w:jc w:val="left"/>
      </w:pPr>
      <w:r>
        <w:rPr>
          <w:rFonts w:ascii="Times New Roman" w:hAnsi="Times New Roman"/>
          <w:b w:val="0"/>
          <w:i w:val="0"/>
          <w:sz w:val="24"/>
        </w:rPr>
        <w:t>• Sensitivity analysis results (influence diagnostics, leave-one-out)</w:t>
      </w:r>
    </w:p>
    <w:p>
      <w:pPr>
        <w:spacing w:line="480" w:lineRule="auto" w:before="0" w:after="0"/>
        <w:ind w:firstLine="720"/>
        <w:jc w:val="left"/>
      </w:pPr>
      <w:r>
        <w:rPr>
          <w:rFonts w:ascii="Times New Roman" w:hAnsi="Times New Roman"/>
          <w:b/>
          <w:i w:val="0"/>
          <w:sz w:val="24"/>
        </w:rPr>
        <w:t>Appendix D: PRISMA 2020 Compliance</w:t>
      </w:r>
    </w:p>
    <w:p>
      <w:pPr>
        <w:spacing w:line="480" w:lineRule="auto" w:before="0" w:after="0"/>
        <w:ind w:left="720" w:hanging="360"/>
        <w:jc w:val="left"/>
      </w:pPr>
      <w:r>
        <w:rPr>
          <w:rFonts w:ascii="Times New Roman" w:hAnsi="Times New Roman"/>
          <w:b w:val="0"/>
          <w:i w:val="0"/>
          <w:sz w:val="24"/>
        </w:rPr>
        <w:t>• Full PRISMA 2020 checklist with page references</w:t>
      </w:r>
    </w:p>
    <w:p>
      <w:pPr>
        <w:spacing w:line="480" w:lineRule="auto" w:before="0" w:after="0"/>
        <w:ind w:left="720" w:hanging="360"/>
        <w:jc w:val="left"/>
      </w:pPr>
      <w:r>
        <w:rPr>
          <w:rFonts w:ascii="Times New Roman" w:hAnsi="Times New Roman"/>
          <w:b w:val="0"/>
          <w:i w:val="0"/>
          <w:sz w:val="24"/>
        </w:rPr>
        <w:t>• Search strings for all databases</w:t>
      </w:r>
    </w:p>
    <w:p>
      <w:pPr>
        <w:spacing w:line="480" w:lineRule="auto" w:before="0" w:after="0"/>
        <w:ind w:left="720" w:hanging="360"/>
        <w:jc w:val="left"/>
      </w:pPr>
      <w:r>
        <w:rPr>
          <w:rFonts w:ascii="Times New Roman" w:hAnsi="Times New Roman"/>
          <w:b w:val="0"/>
          <w:i w:val="0"/>
          <w:sz w:val="24"/>
        </w:rPr>
        <w:t>• Screening decision log</w:t>
      </w:r>
    </w:p>
    <w:p>
      <w:pPr>
        <w:spacing w:line="480" w:lineRule="auto" w:before="0" w:after="0"/>
        <w:ind w:firstLine="720"/>
        <w:jc w:val="left"/>
      </w:pPr>
      <w:r>
        <w:rPr>
          <w:rFonts w:ascii="Times New Roman" w:hAnsi="Times New Roman"/>
          <w:b/>
          <w:i w:val="0"/>
          <w:sz w:val="24"/>
        </w:rPr>
        <w:t>Appendix E: Additional Moderator Analyses</w:t>
      </w:r>
    </w:p>
    <w:p>
      <w:pPr>
        <w:spacing w:line="480" w:lineRule="auto" w:before="0" w:after="0"/>
        <w:ind w:left="720" w:hanging="360"/>
        <w:jc w:val="left"/>
      </w:pPr>
      <w:r>
        <w:rPr>
          <w:rFonts w:ascii="Times New Roman" w:hAnsi="Times New Roman"/>
          <w:b w:val="0"/>
          <w:i w:val="0"/>
          <w:sz w:val="24"/>
        </w:rPr>
        <w:t>• Interaction analyses (Outcome × Discipline, Outcome × Tool)</w:t>
      </w:r>
    </w:p>
    <w:p>
      <w:pPr>
        <w:spacing w:line="480" w:lineRule="auto" w:before="0" w:after="0"/>
        <w:ind w:left="720" w:hanging="360"/>
        <w:jc w:val="left"/>
      </w:pPr>
      <w:r>
        <w:rPr>
          <w:rFonts w:ascii="Times New Roman" w:hAnsi="Times New Roman"/>
          <w:b w:val="0"/>
          <w:i w:val="0"/>
          <w:sz w:val="24"/>
        </w:rPr>
        <w:t>• Exploratory subgroup analyses</w:t>
      </w:r>
    </w:p>
    <w:p>
      <w:pPr>
        <w:spacing w:line="480" w:lineRule="auto" w:before="0" w:after="0"/>
        <w:ind w:left="720" w:hanging="360"/>
        <w:jc w:val="left"/>
      </w:pPr>
      <w:r>
        <w:rPr>
          <w:rFonts w:ascii="Times New Roman" w:hAnsi="Times New Roman"/>
          <w:b w:val="0"/>
          <w:i w:val="0"/>
          <w:sz w:val="24"/>
        </w:rPr>
        <w:t>• Meta-regression diagnostics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Simple w:instr=" PAGE ">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4"/>
      </w:rPr>
      <w:t>GENERATIVE AI IN HIGHER EDUCATION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