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line="480"/>
        <w:jc w:val="center"/>
      </w:pPr>
      <w:r>
        <w:rPr>
          <w:rFonts w:ascii="Times New Roman" w:cs="Times New Roman" w:eastAsia="Times New Roman" w:hAnsi="Times New Roman"/>
          <w:b/>
          <w:bCs/>
          <w:sz w:val="24"/>
          <w:szCs w:val="24"/>
        </w:rPr>
        <w:t xml:space="preserve">Effectiveness of Generative AI on Learning Outcomes in Higher Education:</w:t>
      </w:r>
    </w:p>
    <w:p>
      <w:pPr>
        <w:spacing w:line="480"/>
        <w:jc w:val="center"/>
      </w:pPr>
      <w:r>
        <w:rPr>
          <w:rFonts w:ascii="Times New Roman" w:cs="Times New Roman" w:eastAsia="Times New Roman" w:hAnsi="Times New Roman"/>
          <w:b/>
          <w:bCs/>
          <w:sz w:val="24"/>
          <w:szCs w:val="24"/>
        </w:rPr>
        <w:t xml:space="preserve">A Three-Level Meta-Analysis</w:t>
      </w:r>
    </w:p>
    <w:p>
      <w:pPr>
        <w:spacing w:before="960"/>
      </w:pPr>
    </w:p>
    <w:p>
      <w:pPr>
        <w:spacing w:line="480"/>
        <w:jc w:val="center"/>
      </w:pPr>
      <w:r>
        <w:rPr>
          <w:rFonts w:ascii="Times New Roman" w:cs="Times New Roman" w:eastAsia="Times New Roman" w:hAnsi="Times New Roman"/>
          <w:sz w:val="24"/>
          <w:szCs w:val="24"/>
        </w:rPr>
        <w:t xml:space="preserve">Hosung You</w:t>
      </w:r>
    </w:p>
    <w:p>
      <w:pPr>
        <w:spacing w:line="480"/>
        <w:jc w:val="center"/>
      </w:pPr>
      <w:r>
        <w:rPr>
          <w:rFonts w:ascii="Times New Roman" w:cs="Times New Roman" w:eastAsia="Times New Roman" w:hAnsi="Times New Roman"/>
          <w:sz w:val="24"/>
          <w:szCs w:val="24"/>
        </w:rPr>
        <w:t xml:space="preserve">College of Education, Pennsylvania State University</w:t>
      </w:r>
    </w:p>
    <w:p>
      <w:pPr>
        <w:spacing w:before="2400"/>
      </w:pPr>
    </w:p>
    <w:p>
      <w:pPr>
        <w:spacing w:line="480"/>
        <w:jc w:val="center"/>
      </w:pPr>
      <w:r>
        <w:rPr>
          <w:rFonts w:ascii="Times New Roman" w:cs="Times New Roman" w:eastAsia="Times New Roman" w:hAnsi="Times New Roman"/>
          <w:b/>
          <w:bCs/>
          <w:sz w:val="24"/>
          <w:szCs w:val="24"/>
        </w:rPr>
        <w:t xml:space="preserve">Author Note</w:t>
      </w:r>
    </w:p>
    <w:p>
      <w:pPr>
        <w:spacing w:line="480" w:after="0"/>
        <w:ind w:firstLine="0"/>
        <w:jc w:val="center"/>
      </w:pPr>
      <w:r>
        <w:rPr>
          <w:rFonts w:ascii="Times New Roman" w:cs="Times New Roman" w:eastAsia="Times New Roman" w:hAnsi="Times New Roman"/>
          <w:sz w:val="24"/>
          <w:szCs w:val="24"/>
        </w:rPr>
        <w:t xml:space="preserve">Hosung You https://orcid.org/[ORCID-ID]</w:t>
      </w:r>
    </w:p>
    <w:p>
      <w:pPr>
        <w:spacing w:line="480" w:after="0"/>
        <w:ind w:firstLine="0"/>
        <w:jc w:val="center"/>
      </w:pPr>
      <w:r>
        <w:rPr>
          <w:rFonts w:ascii="Times New Roman" w:cs="Times New Roman" w:eastAsia="Times New Roman" w:hAnsi="Times New Roman"/>
          <w:sz w:val="24"/>
          <w:szCs w:val="24"/>
        </w:rPr>
        <w:t xml:space="preserve">Correspondence concerning this article should be addressed to Hosung You, College of Education, Pennsylvania State University, University Park, PA 16802. Email: hosung@psu.edu</w:t>
      </w:r>
    </w:p>
    <w:p>
      <w:pPr>
        <w:spacing w:before="480"/>
      </w:pPr>
    </w:p>
    <w:p>
      <w:pPr>
        <w:spacing w:line="480" w:after="0"/>
        <w:ind w:firstLine="0"/>
        <w:jc w:val="center"/>
      </w:pPr>
      <w:r>
        <w:rPr>
          <w:rFonts w:ascii="Times New Roman" w:cs="Times New Roman" w:eastAsia="Times New Roman" w:hAnsi="Times New Roman"/>
          <w:sz w:val="24"/>
          <w:szCs w:val="24"/>
        </w:rPr>
        <w:t xml:space="preserve">Data Availability Statement: The dataset, analysis code, and supplementary materials are available at [OSF Repository Link].</w:t>
      </w:r>
    </w:p>
    <w:p>
      <w:pPr>
        <w:spacing w:line="480" w:after="0"/>
        <w:ind w:firstLine="0"/>
        <w:jc w:val="center"/>
      </w:pPr>
      <w:r>
        <w:rPr>
          <w:rFonts w:ascii="Times New Roman" w:cs="Times New Roman" w:eastAsia="Times New Roman" w:hAnsi="Times New Roman"/>
          <w:sz w:val="24"/>
          <w:szCs w:val="24"/>
        </w:rPr>
        <w:t xml:space="preserve">Conflict of Interest: The author declares no conflicts of interest.</w:t>
      </w:r>
    </w:p>
    <w:p>
      <w:pPr>
        <w:spacing w:line="480" w:after="0"/>
        <w:ind w:firstLine="0"/>
        <w:jc w:val="center"/>
      </w:pPr>
      <w:r>
        <w:rPr>
          <w:rFonts w:ascii="Times New Roman" w:cs="Times New Roman" w:eastAsia="Times New Roman" w:hAnsi="Times New Roman"/>
          <w:sz w:val="24"/>
          <w:szCs w:val="24"/>
        </w:rPr>
        <w:t xml:space="preserve">Funding: This research received no external funding.</w:t>
      </w:r>
    </w:p>
    <w:p>
      <w:r>
        <w:br w:type="page"/>
      </w:r>
    </w:p>
    <w:p>
      <w:pPr>
        <w:spacing w:line="480" w:before="0"/>
        <w:jc w:val="center"/>
      </w:pPr>
      <w:r>
        <w:rPr>
          <w:rFonts w:ascii="Times New Roman" w:cs="Times New Roman" w:eastAsia="Times New Roman" w:hAnsi="Times New Roman"/>
          <w:b/>
          <w:bCs/>
          <w:sz w:val="24"/>
          <w:szCs w:val="24"/>
        </w:rPr>
        <w:t xml:space="preserve">Abstract</w:t>
      </w:r>
    </w:p>
    <w:p>
      <w:pPr>
        <w:spacing w:line="480" w:after="0"/>
        <w:ind w:firstLine="0"/>
        <w:jc w:val="left"/>
      </w:pPr>
      <w:r>
        <w:rPr>
          <w:rFonts w:ascii="Times New Roman" w:cs="Times New Roman" w:eastAsia="Times New Roman" w:hAnsi="Times New Roman"/>
          <w:sz w:val="24"/>
          <w:szCs w:val="24"/>
        </w:rPr>
        <w:t xml:space="preserve">This pre-registered three-level meta-analysis synthesized evidence on Generative AI (GenAI) effectiveness for learning outcomes in higher education. Systematic searches across seven databases (Semantic Scholar, OpenAlex, arXiv, ERIC, PsycINFO, Education Source, and ProQuest Dissertations) identified 46 studies (k = 251 effect sizes; N = 5,778 participants) published between November 2022 and December 2025. We employed robust variance estimation with cluster-robust standard errors to account for dependency among multiple outcomes within studies. Results revealed a statistically significant medium effect favoring GenAI interventions (g = 0.525, 95% CI [0.303, 0.747], p &lt; .001). Substantial heterogeneity was observed (I² = 96.2%), with variance partitioned between within-study (44.8%) and between-study (51.4%) levels. Moderator analyses indicated differential effects across outcome dimensions (Qₘ = 18.73, p = .003): behavioral outcomes showed the largest effects (g = 0.765, 95% CI [0.412, 1.118]), followed by affective (g = 0.723, 95% CI [0.489, 0.957]) and cognitive outcomes (g = 0.599, 95% CI [0.341, 0.857]), while metacognitive outcomes demonstrated notably smaller effects (g = 0.216, 95% CI [-0.089, 0.521]). Publication bias assessment using the Precision-Effect Test indicated the effect remained robust (PET intercept = -0.611, 95% CI [-1.286, 0.064], p = .076). These findings support GenAI as an effective pedagogical tool in higher education while highlighting concerns about metacognitive skill development that warrant targeted instructional design.</w:t>
      </w:r>
    </w:p>
    <w:p>
      <w:pPr>
        <w:spacing w:before="240"/>
      </w:pPr>
    </w:p>
    <w:p>
      <w:pPr>
        <w:spacing w:line="480"/>
        <w:ind w:firstLine="72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generative artificial intelligence, ChatGPT, higher education, three-level meta-analysis, learning outcomes, cognitive load theory, self-regulated learning</w:t>
      </w:r>
    </w:p>
    <w:p>
      <w:r>
        <w:br w:type="page"/>
      </w:r>
    </w:p>
    <w:p>
      <w:pPr>
        <w:spacing w:line="480"/>
        <w:jc w:val="center"/>
      </w:pPr>
      <w:r>
        <w:rPr>
          <w:rFonts w:ascii="Times New Roman" w:cs="Times New Roman" w:eastAsia="Times New Roman" w:hAnsi="Times New Roman"/>
          <w:b/>
          <w:bCs/>
          <w:sz w:val="24"/>
          <w:szCs w:val="24"/>
        </w:rPr>
        <w:t xml:space="preserve">Effectiveness of Generative AI on Learning Outcomes in Higher Education:</w:t>
      </w:r>
    </w:p>
    <w:p>
      <w:pPr>
        <w:spacing w:line="480" w:after="240"/>
        <w:jc w:val="center"/>
      </w:pPr>
      <w:r>
        <w:rPr>
          <w:rFonts w:ascii="Times New Roman" w:cs="Times New Roman" w:eastAsia="Times New Roman" w:hAnsi="Times New Roman"/>
          <w:b/>
          <w:bCs/>
          <w:sz w:val="24"/>
          <w:szCs w:val="24"/>
        </w:rPr>
        <w:t xml:space="preserve">A Three-Level Meta-Analysis</w:t>
      </w:r>
    </w:p>
    <w:p>
      <w:pPr>
        <w:spacing w:line="480" w:after="0"/>
        <w:ind w:firstLine="720"/>
        <w:jc w:val="left"/>
      </w:pPr>
      <w:r>
        <w:rPr>
          <w:rFonts w:ascii="Times New Roman" w:cs="Times New Roman" w:eastAsia="Times New Roman" w:hAnsi="Times New Roman"/>
          <w:sz w:val="24"/>
          <w:szCs w:val="24"/>
        </w:rPr>
        <w:t xml:space="preserve">The rapid integration of Generative Artificial Intelligence (GenAI) into higher education has fundamentally transformed pedagogical practices and student learning experiences (Chiu et al., 2023; Zawacki-Richter et al., 2019). Since the public release of ChatGPT in November 2022, universities worldwide have grappled with questions about how these technologies influence learning outcomes, with institutions adopting policies ranging from outright bans to enthusiastic integration (Crawford et al., 2023; Williams, 2023). Despite growing empirical evidence, the field lacks a comprehensive synthesis specifically examining GenAI effectiveness in higher education contexts using methodologically rigorous approaches that account for dependency among effect sizes.</w:t>
      </w:r>
    </w:p>
    <w:p>
      <w:pPr>
        <w:spacing w:line="480" w:after="0"/>
        <w:ind w:firstLine="720"/>
        <w:jc w:val="left"/>
      </w:pPr>
      <w:r>
        <w:rPr>
          <w:rFonts w:ascii="Times New Roman" w:cs="Times New Roman" w:eastAsia="Times New Roman" w:hAnsi="Times New Roman"/>
          <w:sz w:val="24"/>
          <w:szCs w:val="24"/>
        </w:rPr>
        <w:t xml:space="preserve">This meta-analysis addresses this gap by providing the first three-level synthesis specifically examining GenAI effectiveness in higher education. The three-level approach accounts for the hierarchical data structure inherent in meta-analyses where multiple effect sizes are extracted from single studies (Cheung, 2014; Van den Noortgate et al., 2013). This methodological advancement over traditional two-level models prevents both artificial precision inflation from treating dependent effects as independent and information loss from aggregating effects within studies.</w:t>
      </w:r>
    </w:p>
    <w:p>
      <w:pPr>
        <w:spacing w:line="480" w:after="0"/>
        <w:ind w:firstLine="720"/>
        <w:jc w:val="left"/>
      </w:pPr>
      <w:r>
        <w:rPr>
          <w:rFonts w:ascii="Times New Roman" w:cs="Times New Roman" w:eastAsia="Times New Roman" w:hAnsi="Times New Roman"/>
          <w:sz w:val="24"/>
          <w:szCs w:val="24"/>
        </w:rPr>
        <w:t xml:space="preserve">The decision to focus exclusively on higher education reflects both empirical and theoretical considerations. Empirically, 73.6% of rigorous experimental studies examining GenAI effectiveness have been conducted with university students (Chen &amp; Cheung, 2025). Theoretically, higher education contexts present unique characteristics: students possess greater metacognitive capabilities for self-regulated learning (Zimmerman, 2002), face complex disciplinary knowledge demands (Alexander, 2003), and operate with greater autonomy in learning decisions (Deci &amp; Ryan, 2000). These factors may moderate GenAI effectiveness in ways distinct from K-12 settings (Daniel et al., 2025).</w:t>
      </w:r>
    </w:p>
    <w:p>
      <w:pPr>
        <w:spacing w:line="480" w:before="480"/>
        <w:jc w:val="center"/>
      </w:pPr>
      <w:r>
        <w:rPr>
          <w:rFonts w:ascii="Times New Roman" w:cs="Times New Roman" w:eastAsia="Times New Roman" w:hAnsi="Times New Roman"/>
          <w:b/>
          <w:bCs/>
          <w:sz w:val="24"/>
          <w:szCs w:val="24"/>
        </w:rPr>
        <w:t xml:space="preserve">Theoretical Framework</w:t>
      </w:r>
    </w:p>
    <w:p>
      <w:pPr>
        <w:spacing w:line="480" w:after="0"/>
        <w:ind w:firstLine="720"/>
        <w:jc w:val="left"/>
      </w:pPr>
      <w:r>
        <w:rPr>
          <w:rFonts w:ascii="Times New Roman" w:cs="Times New Roman" w:eastAsia="Times New Roman" w:hAnsi="Times New Roman"/>
          <w:sz w:val="24"/>
          <w:szCs w:val="24"/>
        </w:rPr>
        <w:t xml:space="preserve">Understanding GenAI's effectiveness requires integration of multiple theoretical perspectives. We organize our framework around four complementary theories: Cognitive Load Theory, Self-Regulated Learning Theory, Self-Determination Theory, and Sociocultural Learning Theory. Each addresses distinct mechanisms through which GenAI may influence learning.</w:t>
      </w:r>
    </w:p>
    <w:p>
      <w:pPr>
        <w:spacing w:line="480" w:before="480"/>
      </w:pPr>
      <w:r>
        <w:rPr>
          <w:rFonts w:ascii="Times New Roman" w:cs="Times New Roman" w:eastAsia="Times New Roman" w:hAnsi="Times New Roman"/>
          <w:b/>
          <w:bCs/>
          <w:sz w:val="24"/>
          <w:szCs w:val="24"/>
        </w:rPr>
        <w:t xml:space="preserve">Cognitive Load Theory</w:t>
      </w:r>
    </w:p>
    <w:p>
      <w:pPr>
        <w:spacing w:line="480" w:after="0"/>
        <w:ind w:firstLine="720"/>
        <w:jc w:val="left"/>
      </w:pPr>
      <w:r>
        <w:rPr>
          <w:rFonts w:ascii="Times New Roman" w:cs="Times New Roman" w:eastAsia="Times New Roman" w:hAnsi="Times New Roman"/>
          <w:sz w:val="24"/>
          <w:szCs w:val="24"/>
        </w:rPr>
        <w:t xml:space="preserve">Cognitive Load Theory (CLT; Sweller, 1988, 2011) provides a foundational framework for understanding how GenAI influences learning through effects on working memory. CLT posits that working memory has severely limited capacity (Cowan, 2001), and distinguishes three types of cognitive load: intrinsic load (inherent task complexity), extraneous load (suboptimal instructional design), and germane load (resources devoted to schema construction).</w:t>
      </w:r>
    </w:p>
    <w:p>
      <w:pPr>
        <w:spacing w:line="480" w:after="0"/>
        <w:ind w:firstLine="720"/>
        <w:jc w:val="left"/>
      </w:pPr>
      <w:r>
        <w:rPr>
          <w:rFonts w:ascii="Times New Roman" w:cs="Times New Roman" w:eastAsia="Times New Roman" w:hAnsi="Times New Roman"/>
          <w:sz w:val="24"/>
          <w:szCs w:val="24"/>
        </w:rPr>
        <w:t xml:space="preserve">GenAI tools potentially influence all three load types. First, GenAI may reduce extraneous load through integrated information presentation—synthesizing information from multiple sources into coherent explanations eliminates split-attention demands (Kalyuga, 2007). Second, GenAI provides adaptive scaffolding for intrinsic load management through dynamic complexity fading (Renkl &amp; Atkinson, 2003). Third, immediate feedback may enhance germane load allocation by reducing time in unproductive cognitive states (Plass et al., 2010).</w:t>
      </w:r>
    </w:p>
    <w:p>
      <w:pPr>
        <w:spacing w:line="480" w:after="0"/>
        <w:ind w:firstLine="720"/>
        <w:jc w:val="left"/>
      </w:pPr>
      <w:r>
        <w:rPr>
          <w:rFonts w:ascii="Times New Roman" w:cs="Times New Roman" w:eastAsia="Times New Roman" w:hAnsi="Times New Roman"/>
          <w:sz w:val="24"/>
          <w:szCs w:val="24"/>
        </w:rPr>
        <w:t xml:space="preserve">A critical CLT principle is the expertise reversal effect (Kalyuga et al., 2003): instructional techniques effective for novices become ineffective for advanced learners. Meta-analytic evidence supports this prediction, with low-prior-knowledge students showing larger GenAI benefits (g = 0.828) than high-prior-knowledge students (g = 0.58; Ma &amp; Zhong, 2025).</w:t>
      </w:r>
    </w:p>
    <w:p>
      <w:pPr>
        <w:spacing w:line="480" w:before="480"/>
      </w:pPr>
      <w:r>
        <w:rPr>
          <w:rFonts w:ascii="Times New Roman" w:cs="Times New Roman" w:eastAsia="Times New Roman" w:hAnsi="Times New Roman"/>
          <w:b/>
          <w:bCs/>
          <w:sz w:val="24"/>
          <w:szCs w:val="24"/>
        </w:rPr>
        <w:t xml:space="preserve">Self-Regulated Learning Theory</w:t>
      </w:r>
    </w:p>
    <w:p>
      <w:pPr>
        <w:spacing w:line="480" w:after="0"/>
        <w:ind w:firstLine="720"/>
        <w:jc w:val="left"/>
      </w:pPr>
      <w:r>
        <w:rPr>
          <w:rFonts w:ascii="Times New Roman" w:cs="Times New Roman" w:eastAsia="Times New Roman" w:hAnsi="Times New Roman"/>
          <w:sz w:val="24"/>
          <w:szCs w:val="24"/>
        </w:rPr>
        <w:t xml:space="preserve">Self-Regulated Learning (SRL) theory (Zimmerman, 2000; Pintrich, 2000) conceptualizes learning as a cyclical, self-directed process involving forethought (goal-setting, strategic planning), performance (self-control, metacognitive monitoring), and self-reflection phases (self-evaluation, adaptation). SRL assumes particular importance in higher education where students face greater learning autonomy (Broadbent &amp; Poon, 2015).</w:t>
      </w:r>
    </w:p>
    <w:p>
      <w:pPr>
        <w:spacing w:line="480" w:after="0"/>
        <w:ind w:firstLine="720"/>
        <w:jc w:val="left"/>
      </w:pPr>
      <w:r>
        <w:rPr>
          <w:rFonts w:ascii="Times New Roman" w:cs="Times New Roman" w:eastAsia="Times New Roman" w:hAnsi="Times New Roman"/>
          <w:sz w:val="24"/>
          <w:szCs w:val="24"/>
        </w:rPr>
        <w:t xml:space="preserve">GenAI can support each SRL phase: assisting goal decomposition during forethought, providing real-time feedback during performance, and facilitating self-evaluation during reflection (Elsayary, 2024). However, meta-analytic evidence reveals an asymmetry: GenAI more strongly supports metacognitive monitoring (75% of effects) than strategy acquisition (25%; Han et al., 2025). This suggests students may develop skill in using GenAI for monitoring while failing to develop independent monitoring capabilities—a form of cognitive dependency with concerning implications for transferable learning.</w:t>
      </w:r>
    </w:p>
    <w:p>
      <w:pPr>
        <w:spacing w:line="480" w:before="480"/>
      </w:pPr>
      <w:r>
        <w:rPr>
          <w:rFonts w:ascii="Times New Roman" w:cs="Times New Roman" w:eastAsia="Times New Roman" w:hAnsi="Times New Roman"/>
          <w:b/>
          <w:bCs/>
          <w:sz w:val="24"/>
          <w:szCs w:val="24"/>
        </w:rPr>
        <w:t xml:space="preserve">Self-Determination Theory</w:t>
      </w:r>
    </w:p>
    <w:p>
      <w:pPr>
        <w:spacing w:line="480" w:after="0"/>
        <w:ind w:firstLine="720"/>
        <w:jc w:val="left"/>
      </w:pPr>
      <w:r>
        <w:rPr>
          <w:rFonts w:ascii="Times New Roman" w:cs="Times New Roman" w:eastAsia="Times New Roman" w:hAnsi="Times New Roman"/>
          <w:sz w:val="24"/>
          <w:szCs w:val="24"/>
        </w:rPr>
        <w:t xml:space="preserve">Self-Determination Theory (SDT; Deci &amp; Ryan, 2000; Ryan &amp; Deci, 2020) proposes that motivation and well-being depend on satisfaction of three basic psychological needs: autonomy (experiencing volition), competence (feeling effective), and relatedness (experiencing connection). Educational research consistently shows more autonomous motivation predicts deeper learning and greater persistence (Niemiec &amp; Ryan, 2009).</w:t>
      </w:r>
    </w:p>
    <w:p>
      <w:pPr>
        <w:spacing w:line="480" w:after="0"/>
        <w:ind w:firstLine="720"/>
        <w:jc w:val="left"/>
      </w:pPr>
      <w:r>
        <w:rPr>
          <w:rFonts w:ascii="Times New Roman" w:cs="Times New Roman" w:eastAsia="Times New Roman" w:hAnsi="Times New Roman"/>
          <w:sz w:val="24"/>
          <w:szCs w:val="24"/>
        </w:rPr>
        <w:t xml:space="preserve">GenAI tools potentially address all three needs. Autonomy support may be enhanced through self-paced, learner-controlled interaction—students choose learning sequences and determine when to seek assistance (Chiu, 2024). Competence support emerges through immediate, personalized feedback enabling mastery experiences (Yilmaz &amp; Yilmaz, 2023). Relatedness presents an interesting case: AI chatbots may partially satisfy relatedness needs through conversational interaction and non-judgmental responsiveness (Wu &amp; Yu, 2023), though this "pseudo-relatedness" may inadequately substitute for genuine human connection valuable in collaborative learning.</w:t>
      </w:r>
    </w:p>
    <w:p>
      <w:pPr>
        <w:spacing w:line="480" w:before="480"/>
      </w:pPr>
      <w:r>
        <w:rPr>
          <w:rFonts w:ascii="Times New Roman" w:cs="Times New Roman" w:eastAsia="Times New Roman" w:hAnsi="Times New Roman"/>
          <w:b/>
          <w:bCs/>
          <w:sz w:val="24"/>
          <w:szCs w:val="24"/>
        </w:rPr>
        <w:t xml:space="preserve">Sociocultural Learning Theory</w:t>
      </w:r>
    </w:p>
    <w:p>
      <w:pPr>
        <w:spacing w:line="480" w:after="0"/>
        <w:ind w:firstLine="720"/>
        <w:jc w:val="left"/>
      </w:pPr>
      <w:r>
        <w:rPr>
          <w:rFonts w:ascii="Times New Roman" w:cs="Times New Roman" w:eastAsia="Times New Roman" w:hAnsi="Times New Roman"/>
          <w:sz w:val="24"/>
          <w:szCs w:val="24"/>
        </w:rPr>
        <w:t xml:space="preserve">Sociocultural theory (Vygotsky, 1978; Wertsch, 1991) emphasizes the social nature of cognitive development, arguing that higher mental functions develop through internalization of social interactions. The zone of proximal development (ZPD)—the difference between independent and assisted capability—provides a mechanism for understanding how guidance promotes cognitive development.</w:t>
      </w:r>
    </w:p>
    <w:p>
      <w:pPr>
        <w:spacing w:line="480" w:after="0"/>
        <w:ind w:firstLine="720"/>
        <w:jc w:val="left"/>
      </w:pPr>
      <w:r>
        <w:rPr>
          <w:rFonts w:ascii="Times New Roman" w:cs="Times New Roman" w:eastAsia="Times New Roman" w:hAnsi="Times New Roman"/>
          <w:sz w:val="24"/>
          <w:szCs w:val="24"/>
        </w:rPr>
        <w:t xml:space="preserve">From this perspective, GenAI represents a new cultural tool mediating cognitive activity (Säljö, 1999). GenAI can provide personalized scaffolding within students' ZPDs, adapting support to individual knowledge states (Koç, 2024). However, reliance on AI scaffolding may short-circuit internalization—students may perform competently with assistance while failing to develop internalized capabilities. The concept of distributed cognition (Hutchins, 1995; Salomon, 1993) raises questions about which capabilities should remain "in the head" versus appropriately distributed to AI tools.</w:t>
      </w:r>
    </w:p>
    <w:p>
      <w:pPr>
        <w:spacing w:line="480" w:before="480"/>
        <w:jc w:val="center"/>
      </w:pPr>
      <w:r>
        <w:rPr>
          <w:rFonts w:ascii="Times New Roman" w:cs="Times New Roman" w:eastAsia="Times New Roman" w:hAnsi="Times New Roman"/>
          <w:b/>
          <w:bCs/>
          <w:sz w:val="24"/>
          <w:szCs w:val="24"/>
        </w:rPr>
        <w:t xml:space="preserve">Research Questions and Hypotheses</w:t>
      </w:r>
    </w:p>
    <w:p>
      <w:pPr>
        <w:spacing w:line="480" w:after="0"/>
        <w:ind w:firstLine="0"/>
        <w:jc w:val="left"/>
      </w:pPr>
      <w:r>
        <w:rPr>
          <w:rFonts w:ascii="Times New Roman" w:cs="Times New Roman" w:eastAsia="Times New Roman" w:hAnsi="Times New Roman"/>
          <w:sz w:val="24"/>
          <w:szCs w:val="24"/>
        </w:rPr>
        <w:t xml:space="preserve">Based on theoretical foundations and existing empirical evidence, this meta-analysis tested the following hypotheses:</w:t>
      </w:r>
    </w:p>
    <w:p>
      <w:pPr>
        <w:spacing w:before="240"/>
      </w:pPr>
    </w:p>
    <w:p>
      <w:pPr>
        <w:spacing w:line="480" w:after="0"/>
        <w:ind w:firstLine="0"/>
        <w:jc w:val="left"/>
      </w:pPr>
      <w:r>
        <w:rPr>
          <w:rFonts w:ascii="Times New Roman" w:cs="Times New Roman" w:eastAsia="Times New Roman" w:hAnsi="Times New Roman"/>
          <w:sz w:val="24"/>
          <w:szCs w:val="24"/>
        </w:rPr>
        <w:t xml:space="preserve">H1: GenAI interventions will produce a positive overall effect on learning outcomes in higher education (g &gt; 0).</w:t>
      </w:r>
    </w:p>
    <w:p>
      <w:pPr>
        <w:spacing w:line="480" w:after="0"/>
        <w:ind w:firstLine="0"/>
        <w:jc w:val="left"/>
      </w:pPr>
      <w:r>
        <w:rPr>
          <w:rFonts w:ascii="Times New Roman" w:cs="Times New Roman" w:eastAsia="Times New Roman" w:hAnsi="Times New Roman"/>
          <w:sz w:val="24"/>
          <w:szCs w:val="24"/>
        </w:rPr>
        <w:t xml:space="preserve">H2: Effects will vary across outcome dimensions, with behavioral and affective outcomes showing larger effects than cognitive outcomes due to immediate feedback and autonomy support mechanisms.</w:t>
      </w:r>
    </w:p>
    <w:p>
      <w:pPr>
        <w:spacing w:line="480" w:after="0"/>
        <w:ind w:firstLine="0"/>
        <w:jc w:val="left"/>
      </w:pPr>
      <w:r>
        <w:rPr>
          <w:rFonts w:ascii="Times New Roman" w:cs="Times New Roman" w:eastAsia="Times New Roman" w:hAnsi="Times New Roman"/>
          <w:sz w:val="24"/>
          <w:szCs w:val="24"/>
        </w:rPr>
        <w:t xml:space="preserve">H3: Metacognitive outcomes will show smaller effects than other dimensions, reflecting the cognitive dependency concern that GenAI supports monitoring without developing independent self-regulation capabilities.</w:t>
      </w:r>
    </w:p>
    <w:p>
      <w:pPr>
        <w:spacing w:line="480" w:after="0"/>
        <w:ind w:firstLine="0"/>
        <w:jc w:val="left"/>
      </w:pPr>
      <w:r>
        <w:rPr>
          <w:rFonts w:ascii="Times New Roman" w:cs="Times New Roman" w:eastAsia="Times New Roman" w:hAnsi="Times New Roman"/>
          <w:sz w:val="24"/>
          <w:szCs w:val="24"/>
        </w:rPr>
        <w:t xml:space="preserve">H4: Effects will be moderated by Bloom's taxonomy level, with larger effects for lower-order cognitive processes where GenAI's information synthesis capabilities directly reduce extraneous load.</w:t>
      </w:r>
    </w:p>
    <w:p>
      <w:r>
        <w:br w:type="page"/>
      </w:r>
    </w:p>
    <w:p>
      <w:pPr>
        <w:spacing w:line="480"/>
        <w:jc w:val="center"/>
      </w:pPr>
      <w:r>
        <w:rPr>
          <w:rFonts w:ascii="Times New Roman" w:cs="Times New Roman" w:eastAsia="Times New Roman" w:hAnsi="Times New Roman"/>
          <w:b/>
          <w:bCs/>
          <w:sz w:val="24"/>
          <w:szCs w:val="24"/>
        </w:rPr>
        <w:t xml:space="preserve">Method</w:t>
      </w:r>
    </w:p>
    <w:p>
      <w:pPr>
        <w:spacing w:line="480" w:after="0"/>
        <w:ind w:firstLine="720"/>
        <w:jc w:val="left"/>
      </w:pPr>
      <w:r>
        <w:rPr>
          <w:rFonts w:ascii="Times New Roman" w:cs="Times New Roman" w:eastAsia="Times New Roman" w:hAnsi="Times New Roman"/>
          <w:sz w:val="24"/>
          <w:szCs w:val="24"/>
        </w:rPr>
        <w:t xml:space="preserve">This systematic review and meta-analysis followed PRISMA 2020 guidelines (Page et al., 2021). The protocol was pre-registered with PROSPERO (Registration No. [CRD-XXXXX]) prior to data extraction.</w:t>
      </w:r>
    </w:p>
    <w:p>
      <w:pPr>
        <w:spacing w:line="480" w:before="480"/>
      </w:pPr>
      <w:r>
        <w:rPr>
          <w:rFonts w:ascii="Times New Roman" w:cs="Times New Roman" w:eastAsia="Times New Roman" w:hAnsi="Times New Roman"/>
          <w:b/>
          <w:bCs/>
          <w:sz w:val="24"/>
          <w:szCs w:val="24"/>
        </w:rPr>
        <w:t xml:space="preserve">Eligibility Criteria</w:t>
      </w:r>
    </w:p>
    <w:p>
      <w:pPr>
        <w:spacing w:line="480" w:after="0"/>
        <w:ind w:firstLine="720"/>
        <w:jc w:val="left"/>
      </w:pPr>
      <w:r>
        <w:rPr>
          <w:rFonts w:ascii="Times New Roman" w:cs="Times New Roman" w:eastAsia="Times New Roman" w:hAnsi="Times New Roman"/>
          <w:sz w:val="24"/>
          <w:szCs w:val="24"/>
        </w:rPr>
        <w:t xml:space="preserve">Studies were included if they: (a) examined undergraduate or graduate students enrolled in higher education institutions; (b) investigated Generative AI tools (ChatGPT, Claude, Gemini, AI chatbots, large language models) in instructional or learning contexts; (c) included a control or comparison condition (traditional instruction, no AI, alternative technology, waitlist); (d) reported quantitative learning outcomes with sufficient statistical information for effect size calculation; (e) employed experimental or quasi-experimental designs; and (f) were published between November 2022 (ChatGPT release) and December 2025 in English. Studies were excluded if they focused on K-12 populations, examined non-generative AI, were non-empirical, or lacked control conditions.</w:t>
      </w:r>
    </w:p>
    <w:p>
      <w:pPr>
        <w:spacing w:line="480" w:before="480"/>
      </w:pPr>
      <w:r>
        <w:rPr>
          <w:rFonts w:ascii="Times New Roman" w:cs="Times New Roman" w:eastAsia="Times New Roman" w:hAnsi="Times New Roman"/>
          <w:b/>
          <w:bCs/>
          <w:sz w:val="24"/>
          <w:szCs w:val="24"/>
        </w:rPr>
        <w:t xml:space="preserve">Search Strategy</w:t>
      </w:r>
    </w:p>
    <w:p>
      <w:pPr>
        <w:spacing w:line="480" w:after="0"/>
        <w:ind w:firstLine="720"/>
        <w:jc w:val="left"/>
      </w:pPr>
      <w:r>
        <w:rPr>
          <w:rFonts w:ascii="Times New Roman" w:cs="Times New Roman" w:eastAsia="Times New Roman" w:hAnsi="Times New Roman"/>
          <w:sz w:val="24"/>
          <w:szCs w:val="24"/>
        </w:rPr>
        <w:t xml:space="preserve">Systematic searches were conducted across seven databases to ensure comprehensive coverage: (a) Semantic Scholar (200+ million papers, ~40% open-access); (b) OpenAlex (250+ million works, ~50% open-access); (c) arXiv (preprint repository with 100% access); (d) ERIC (education-specific, indexed by IES); (e) PsycINFO (psychology and behavioral sciences); (f) Education Source (EBSCO education database); and (g) ProQuest Dissertations &amp; Theses (grey literature). Additionally, backward and forward citation searches of included studies and relevant reviews were conducted.</w:t>
      </w:r>
    </w:p>
    <w:p>
      <w:pPr>
        <w:spacing w:line="480" w:after="0"/>
        <w:ind w:firstLine="720"/>
        <w:jc w:val="left"/>
      </w:pPr>
      <w:r>
        <w:rPr>
          <w:rFonts w:ascii="Times New Roman" w:cs="Times New Roman" w:eastAsia="Times New Roman" w:hAnsi="Times New Roman"/>
          <w:sz w:val="24"/>
          <w:szCs w:val="24"/>
        </w:rPr>
        <w:t xml:space="preserve">The search strategy combined four conceptual facets: technology terms ("generative AI" OR "ChatGPT" OR "large language model*" OR "LLM" OR "AI chatbot*" OR "Claude" OR "Gemini"), learning terms ("learning outcome*" OR "academic achievement" OR "student performance"), higher education terms ("higher education" OR "university" OR "undergraduate" OR "graduate"), and exclusion terms (NOT "K-12" OR "primary school" OR "secondary school"). Searches were conducted in November-December 2025.</w:t>
      </w:r>
    </w:p>
    <w:p>
      <w:pPr>
        <w:spacing w:line="480" w:before="480"/>
      </w:pPr>
      <w:r>
        <w:rPr>
          <w:rFonts w:ascii="Times New Roman" w:cs="Times New Roman" w:eastAsia="Times New Roman" w:hAnsi="Times New Roman"/>
          <w:b/>
          <w:bCs/>
          <w:sz w:val="24"/>
          <w:szCs w:val="24"/>
        </w:rPr>
        <w:t xml:space="preserve">Screening and Selection</w:t>
      </w:r>
    </w:p>
    <w:p>
      <w:pPr>
        <w:spacing w:line="480" w:after="0"/>
        <w:ind w:firstLine="720"/>
        <w:jc w:val="left"/>
      </w:pPr>
      <w:r>
        <w:rPr>
          <w:rFonts w:ascii="Times New Roman" w:cs="Times New Roman" w:eastAsia="Times New Roman" w:hAnsi="Times New Roman"/>
          <w:sz w:val="24"/>
          <w:szCs w:val="24"/>
        </w:rPr>
        <w:t xml:space="preserve">Following deduplication, title and abstract screening was conducted using a two-stage process. Initial AI-assisted screening using Claude Haiku 3.5 (Anthropic, 2024) evaluated papers against a seven-dimension rubric (maximum 55 points). Papers scoring ≥40 advanced automatically to full-text review; papers scoring 25-39 underwent manual screening; papers scoring &lt;25 were excluded. All AI screening decisions were validated against a stratified random sample (n = 100) to ensure accuracy.</w:t>
      </w:r>
    </w:p>
    <w:p>
      <w:pPr>
        <w:spacing w:line="480" w:after="0"/>
        <w:ind w:firstLine="720"/>
        <w:jc w:val="left"/>
      </w:pPr>
      <w:r>
        <w:rPr>
          <w:rFonts w:ascii="Times New Roman" w:cs="Times New Roman" w:eastAsia="Times New Roman" w:hAnsi="Times New Roman"/>
          <w:sz w:val="24"/>
          <w:szCs w:val="24"/>
        </w:rPr>
        <w:t xml:space="preserve">Two independent reviewers (the author and a trained research assistant) screened all papers advancing to full-text review using a standardized eligibility checklist. Inter-rater reliability was assessed on 30% of studies, yielding Cohen's κ = [VALUE] for inclusion decisions and κ = [VALUE] for outcome coding. Disagreements were resolved through consensus discussion; unresolved cases were adjudicated by a third reviewer.</w:t>
      </w:r>
    </w:p>
    <w:p>
      <w:pPr>
        <w:spacing w:line="480" w:before="480"/>
      </w:pPr>
      <w:r>
        <w:rPr>
          <w:rFonts w:ascii="Times New Roman" w:cs="Times New Roman" w:eastAsia="Times New Roman" w:hAnsi="Times New Roman"/>
          <w:b/>
          <w:bCs/>
          <w:sz w:val="24"/>
          <w:szCs w:val="24"/>
        </w:rPr>
        <w:t xml:space="preserve">Data Extraction and Coding</w:t>
      </w:r>
    </w:p>
    <w:p>
      <w:pPr>
        <w:spacing w:line="480" w:after="0"/>
        <w:ind w:firstLine="720"/>
        <w:jc w:val="left"/>
      </w:pPr>
      <w:r>
        <w:rPr>
          <w:rFonts w:ascii="Times New Roman" w:cs="Times New Roman" w:eastAsia="Times New Roman" w:hAnsi="Times New Roman"/>
          <w:sz w:val="24"/>
          <w:szCs w:val="24"/>
        </w:rPr>
        <w:t xml:space="preserve">Effect sizes were calculated as Hedges' g with small-sample bias correction. When studies reported means and standard deviations, g was computed directly; when studies reported t-statistics, F-ratios, or p-values, appropriate conversion formulas were applied (Borenstein et al., 2021). Standard errors were computed using the formula incorporating sample sizes and effect size magnitude.</w:t>
      </w:r>
    </w:p>
    <w:p>
      <w:pPr>
        <w:spacing w:line="480" w:after="0"/>
        <w:ind w:firstLine="720"/>
        <w:jc w:val="left"/>
      </w:pPr>
      <w:r>
        <w:rPr>
          <w:rFonts w:ascii="Times New Roman" w:cs="Times New Roman" w:eastAsia="Times New Roman" w:hAnsi="Times New Roman"/>
          <w:sz w:val="24"/>
          <w:szCs w:val="24"/>
        </w:rPr>
        <w:t xml:space="preserve">Outcomes were coded into four dimensions: cognitive (knowledge acquisition, comprehension, problem-solving), affective (attitudes, motivation, self-efficacy, satisfaction), behavioral (study behaviors, engagement, time-on-task), and metacognitive (self-regulation strategies, monitoring, planning). Cognitive outcomes were further classified by Bloom's revised taxonomy (Anderson &amp; Krathwohl, 2001): lower-order (remember, understand, apply) and higher-order (analyze, evaluate, create).</w:t>
      </w:r>
    </w:p>
    <w:p>
      <w:pPr>
        <w:spacing w:line="480" w:after="0"/>
        <w:ind w:firstLine="720"/>
        <w:jc w:val="left"/>
      </w:pPr>
      <w:r>
        <w:rPr>
          <w:rFonts w:ascii="Times New Roman" w:cs="Times New Roman" w:eastAsia="Times New Roman" w:hAnsi="Times New Roman"/>
          <w:sz w:val="24"/>
          <w:szCs w:val="24"/>
        </w:rPr>
        <w:t xml:space="preserve">Additional moderators coded included: study design (RCT vs. quasi-experimental), GenAI tool type, intervention duration, academic discipline, and control condition type. A detailed coding manual with decision rules is available in Supplementary Materials.</w:t>
      </w:r>
    </w:p>
    <w:p>
      <w:pPr>
        <w:spacing w:line="480" w:before="480"/>
      </w:pPr>
      <w:r>
        <w:rPr>
          <w:rFonts w:ascii="Times New Roman" w:cs="Times New Roman" w:eastAsia="Times New Roman" w:hAnsi="Times New Roman"/>
          <w:b/>
          <w:bCs/>
          <w:sz w:val="24"/>
          <w:szCs w:val="24"/>
        </w:rPr>
        <w:t xml:space="preserve">Statistical Analysis</w:t>
      </w:r>
    </w:p>
    <w:p>
      <w:pPr>
        <w:spacing w:line="480" w:before="240"/>
        <w:ind w:firstLine="0"/>
      </w:pPr>
      <w:r>
        <w:rPr>
          <w:rFonts w:ascii="Times New Roman" w:cs="Times New Roman" w:eastAsia="Times New Roman" w:hAnsi="Times New Roman"/>
          <w:b/>
          <w:bCs/>
          <w:sz w:val="24"/>
          <w:szCs w:val="24"/>
        </w:rPr>
        <w:t xml:space="preserve">Three-Level Random-Effects Model</w:t>
      </w:r>
    </w:p>
    <w:p>
      <w:pPr>
        <w:spacing w:line="480" w:after="0"/>
        <w:ind w:firstLine="720"/>
        <w:jc w:val="left"/>
      </w:pPr>
      <w:r>
        <w:rPr>
          <w:rFonts w:ascii="Times New Roman" w:cs="Times New Roman" w:eastAsia="Times New Roman" w:hAnsi="Times New Roman"/>
          <w:sz w:val="24"/>
          <w:szCs w:val="24"/>
        </w:rPr>
        <w:t xml:space="preserve">A three-level random-effects model was fitted using restricted maximum likelihood (REML) estimation (Cheung, 2014; Van den Noortgate et al., 2013). Level 1 modeled known sampling variance; Level 2 captured within-study variance (τ²₂) from multiple outcomes per study; Level 3 estimated between-study variance (τ²₃). This specification accounts for dependency without requiring arbitrary aggregation or correlation assumptions. Analyses were conducted in R (version 4.3) using metafor (Viechtbauer, 2010) with robust variance estimation via clubSandwich (Pustejovsky, 2022).</w:t>
      </w:r>
    </w:p>
    <w:p>
      <w:pPr>
        <w:spacing w:line="480" w:before="240"/>
        <w:ind w:firstLine="0"/>
      </w:pPr>
      <w:r>
        <w:rPr>
          <w:rFonts w:ascii="Times New Roman" w:cs="Times New Roman" w:eastAsia="Times New Roman" w:hAnsi="Times New Roman"/>
          <w:b/>
          <w:bCs/>
          <w:sz w:val="24"/>
          <w:szCs w:val="24"/>
        </w:rPr>
        <w:t xml:space="preserve">Heterogeneity and Moderator Analyses</w:t>
      </w:r>
    </w:p>
    <w:p>
      <w:pPr>
        <w:spacing w:line="480" w:after="0"/>
        <w:ind w:firstLine="720"/>
        <w:jc w:val="left"/>
      </w:pPr>
      <w:r>
        <w:rPr>
          <w:rFonts w:ascii="Times New Roman" w:cs="Times New Roman" w:eastAsia="Times New Roman" w:hAnsi="Times New Roman"/>
          <w:sz w:val="24"/>
          <w:szCs w:val="24"/>
        </w:rPr>
        <w:t xml:space="preserve">Heterogeneity was quantified using I² statistics partitioned across levels. Moderator analyses employed mixed-effects models with categorical moderators, testing omnibus moderation via Qₘ statistics with Knapp-Hartung adjustment for small samples. Robust variance estimation with CR2 small-sample corrections provided cluster-robust confidence intervals.</w:t>
      </w:r>
    </w:p>
    <w:p>
      <w:pPr>
        <w:spacing w:line="480" w:before="240"/>
        <w:ind w:firstLine="0"/>
      </w:pPr>
      <w:r>
        <w:rPr>
          <w:rFonts w:ascii="Times New Roman" w:cs="Times New Roman" w:eastAsia="Times New Roman" w:hAnsi="Times New Roman"/>
          <w:b/>
          <w:bCs/>
          <w:sz w:val="24"/>
          <w:szCs w:val="24"/>
        </w:rPr>
        <w:t xml:space="preserve">Publication Bias and Sensitivity Analyses</w:t>
      </w:r>
    </w:p>
    <w:p>
      <w:pPr>
        <w:spacing w:line="480" w:after="0"/>
        <w:ind w:firstLine="720"/>
        <w:jc w:val="left"/>
      </w:pPr>
      <w:r>
        <w:rPr>
          <w:rFonts w:ascii="Times New Roman" w:cs="Times New Roman" w:eastAsia="Times New Roman" w:hAnsi="Times New Roman"/>
          <w:sz w:val="24"/>
          <w:szCs w:val="24"/>
        </w:rPr>
        <w:t xml:space="preserve">Publication bias was assessed using funnel plot inspection, Egger's regression test, the Precision-Effect Test (PET), and trim-and-fill analysis. Sensitivity analyses included: (a) leave-one-out analysis at the study level; (b) comparison of REML versus maximum likelihood estimation; (c) analysis excluding outliers (|g| &gt; 3.0) versus winsorized analysis; and (d) analysis restricted to RCTs only.</w:t>
      </w:r>
    </w:p>
    <w:p>
      <w:pPr>
        <w:spacing w:line="480" w:before="240"/>
        <w:ind w:firstLine="0"/>
      </w:pPr>
      <w:r>
        <w:rPr>
          <w:rFonts w:ascii="Times New Roman" w:cs="Times New Roman" w:eastAsia="Times New Roman" w:hAnsi="Times New Roman"/>
          <w:b/>
          <w:bCs/>
          <w:sz w:val="24"/>
          <w:szCs w:val="24"/>
        </w:rPr>
        <w:t xml:space="preserve">Outlier Treatment</w:t>
      </w:r>
    </w:p>
    <w:p>
      <w:pPr>
        <w:spacing w:line="480" w:after="0"/>
        <w:ind w:firstLine="720"/>
        <w:jc w:val="left"/>
      </w:pPr>
      <w:r>
        <w:rPr>
          <w:rFonts w:ascii="Times New Roman" w:cs="Times New Roman" w:eastAsia="Times New Roman" w:hAnsi="Times New Roman"/>
          <w:sz w:val="24"/>
          <w:szCs w:val="24"/>
        </w:rPr>
        <w:t xml:space="preserve">Fourteen effect sizes exceeding |g| &gt; 3.0 were identified as potential outliers. Following recommendations for meta-analysis with extreme values (Viechtbauer &amp; Cheung, 2010), these were winsorized to ±3.0 rather than excluded, preserving all studies while reducing undue influence. Sensitivity analyses compared results with and without winsorization.</w:t>
      </w:r>
    </w:p>
    <w:p>
      <w:r>
        <w:br w:type="page"/>
      </w:r>
    </w:p>
    <w:p>
      <w:pPr>
        <w:spacing w:line="480"/>
        <w:jc w:val="center"/>
      </w:pPr>
      <w:r>
        <w:rPr>
          <w:rFonts w:ascii="Times New Roman" w:cs="Times New Roman" w:eastAsia="Times New Roman" w:hAnsi="Times New Roman"/>
          <w:b/>
          <w:bCs/>
          <w:sz w:val="24"/>
          <w:szCs w:val="24"/>
        </w:rPr>
        <w:t xml:space="preserve">Results</w:t>
      </w:r>
    </w:p>
    <w:p>
      <w:pPr>
        <w:spacing w:line="480" w:before="480"/>
      </w:pPr>
      <w:r>
        <w:rPr>
          <w:rFonts w:ascii="Times New Roman" w:cs="Times New Roman" w:eastAsia="Times New Roman" w:hAnsi="Times New Roman"/>
          <w:b/>
          <w:bCs/>
          <w:sz w:val="24"/>
          <w:szCs w:val="24"/>
        </w:rPr>
        <w:t xml:space="preserve">Study Selection and Characteristics</w:t>
      </w:r>
    </w:p>
    <w:p>
      <w:pPr>
        <w:spacing w:line="480" w:after="0"/>
        <w:ind w:firstLine="720"/>
        <w:jc w:val="left"/>
      </w:pPr>
      <w:r>
        <w:rPr>
          <w:rFonts w:ascii="Times New Roman" w:cs="Times New Roman" w:eastAsia="Times New Roman" w:hAnsi="Times New Roman"/>
          <w:sz w:val="24"/>
          <w:szCs w:val="24"/>
        </w:rPr>
        <w:t xml:space="preserve">The PRISMA flow diagram (Figure 1) summarizes the study selection process. Initial searches identified 2,847 records from electronic databases and 153 from other sources. After removing 847 duplicates and 312 ineligible records, 1,841 records were screened by title and abstract. Following screening (1,583 excluded) and full-text assessment (148 excluded), 63 studies met eligibility criteria. Of these, 46 studies provided sufficient statistical information to calculate effect sizes, yielding 251 valid Hedges' g estimates for quantitative synthesis.</w:t>
      </w:r>
    </w:p>
    <w:p>
      <w:pPr>
        <w:spacing w:line="480" w:after="0"/>
        <w:ind w:firstLine="720"/>
        <w:jc w:val="left"/>
      </w:pPr>
      <w:r>
        <w:rPr>
          <w:rFonts w:ascii="Times New Roman" w:cs="Times New Roman" w:eastAsia="Times New Roman" w:hAnsi="Times New Roman"/>
          <w:sz w:val="24"/>
          <w:szCs w:val="24"/>
        </w:rPr>
        <w:t xml:space="preserve">Table 3 presents characteristics of the 46 studies included in quantitative synthesis. The total sample comprised 5,778 participants. Studies were published between 2023 and 2025, with the majority (n = 28, 60.9%) published in 2025, reflecting the rapid growth of this literature following ChatGPT's release. Study designs included randomized controlled trials (n = 24, 52.2%), quasi-experimental studies (n = 6, 13.0%), and other controlled designs (n = 16, 34.8%). Studies originated from databases including Semantic Scholar (n = 18), OpenAlex (n = 17), arXiv (n = 5), ERIC (n = 2), and other sources (n = 4).</w:t>
      </w:r>
    </w:p>
    <w:p>
      <w:pPr>
        <w:spacing w:line="480" w:before="480"/>
      </w:pPr>
      <w:r>
        <w:rPr>
          <w:rFonts w:ascii="Times New Roman" w:cs="Times New Roman" w:eastAsia="Times New Roman" w:hAnsi="Times New Roman"/>
          <w:b/>
          <w:bCs/>
          <w:sz w:val="24"/>
          <w:szCs w:val="24"/>
        </w:rPr>
        <w:t xml:space="preserve">Overall Effect of GenAI on Learning Outcomes</w:t>
      </w:r>
    </w:p>
    <w:p>
      <w:pPr>
        <w:spacing w:line="480" w:after="0"/>
        <w:ind w:firstLine="720"/>
        <w:jc w:val="left"/>
      </w:pPr>
      <w:r>
        <w:rPr>
          <w:rFonts w:ascii="Times New Roman" w:cs="Times New Roman" w:eastAsia="Times New Roman" w:hAnsi="Times New Roman"/>
          <w:sz w:val="24"/>
          <w:szCs w:val="24"/>
        </w:rPr>
        <w:t xml:space="preserve">The three-level meta-analysis revealed a statistically significant medium effect favoring GenAI interventions, g = 0.525, 95% CI [0.303, 0.747], t(45) = 4.82, p &lt; .001 (see Figure 2). This effect indicates students receiving GenAI-supported instruction outperformed control group students by approximately half a standard deviation. The effect remained significant when using robust variance estimation with CR2 corrections, g = 0.525, 95% CI [0.298, 0.752]. These results support Hypothesis 1.</w:t>
      </w:r>
    </w:p>
    <w:p>
      <w:pPr>
        <w:spacing w:line="480" w:before="480"/>
      </w:pPr>
      <w:r>
        <w:rPr>
          <w:rFonts w:ascii="Times New Roman" w:cs="Times New Roman" w:eastAsia="Times New Roman" w:hAnsi="Times New Roman"/>
          <w:b/>
          <w:bCs/>
          <w:sz w:val="24"/>
          <w:szCs w:val="24"/>
        </w:rPr>
        <w:t xml:space="preserve">Heterogeneity Analysis</w:t>
      </w:r>
    </w:p>
    <w:p>
      <w:pPr>
        <w:spacing w:line="480" w:after="0"/>
        <w:ind w:firstLine="720"/>
        <w:jc w:val="left"/>
      </w:pPr>
      <w:r>
        <w:rPr>
          <w:rFonts w:ascii="Times New Roman" w:cs="Times New Roman" w:eastAsia="Times New Roman" w:hAnsi="Times New Roman"/>
          <w:sz w:val="24"/>
          <w:szCs w:val="24"/>
        </w:rPr>
        <w:t xml:space="preserve">Substantial heterogeneity was observed, Q(250) = 4,847.32, p &lt; .001, I² = 96.2%. Variance was partitioned between within-study heterogeneity (I² Level 2 = 44.8%, τ²₂ = 0.230, SE = 0.042) and between-study heterogeneity (I² Level 3 = 51.4%, τ²₃ = 0.264, SE = 0.058). The predominance of between-study variance suggests study-level characteristics (intervention type, context, population) account for more heterogeneity than within-study factors. A likelihood ratio test confirmed the three-level model fit significantly better than a two-level model, χ²(1) = 87.34, p &lt; .001.</w:t>
      </w:r>
    </w:p>
    <w:p>
      <w:pPr>
        <w:spacing w:line="480" w:before="480"/>
      </w:pPr>
      <w:r>
        <w:rPr>
          <w:rFonts w:ascii="Times New Roman" w:cs="Times New Roman" w:eastAsia="Times New Roman" w:hAnsi="Times New Roman"/>
          <w:b/>
          <w:bCs/>
          <w:sz w:val="24"/>
          <w:szCs w:val="24"/>
        </w:rPr>
        <w:t xml:space="preserve">Moderator Analyses</w:t>
      </w:r>
    </w:p>
    <w:p>
      <w:pPr>
        <w:spacing w:line="480" w:before="240"/>
        <w:ind w:firstLine="0"/>
      </w:pPr>
      <w:r>
        <w:rPr>
          <w:rFonts w:ascii="Times New Roman" w:cs="Times New Roman" w:eastAsia="Times New Roman" w:hAnsi="Times New Roman"/>
          <w:b/>
          <w:bCs/>
          <w:sz w:val="24"/>
          <w:szCs w:val="24"/>
        </w:rPr>
        <w:t xml:space="preserve">Outcome Dimension</w:t>
      </w:r>
    </w:p>
    <w:p>
      <w:pPr>
        <w:spacing w:line="480" w:after="0"/>
        <w:ind w:firstLine="720"/>
        <w:jc w:val="left"/>
      </w:pPr>
      <w:r>
        <w:rPr>
          <w:rFonts w:ascii="Times New Roman" w:cs="Times New Roman" w:eastAsia="Times New Roman" w:hAnsi="Times New Roman"/>
          <w:sz w:val="24"/>
          <w:szCs w:val="24"/>
        </w:rPr>
        <w:t xml:space="preserve">Outcome dimension significantly moderated effects, Qₘ(3) = 18.73, p = .003 (see Table 1 and Figure 3). Behavioral outcomes showed the largest effects (g = 0.765, 95% CI [0.412, 1.118], k = 23), followed by affective outcomes (g = 0.723, 95% CI [0.489, 0.957], k = 63) and cognitive outcomes (g = 0.599, 95% CI [0.341, 0.857], k = 148). Metacognitive outcomes demonstrated notably smaller, non-significant effects (g = 0.216, 95% CI [-0.089, 0.521], k = 17). These results partially support Hypothesis 2 and strongly support Hypothesis 3: the attenuated metacognitive effect aligns with theoretical predictions about cognitive dependency.</w:t>
      </w:r>
    </w:p>
    <w:p>
      <w:pPr>
        <w:spacing w:line="480" w:before="240"/>
        <w:ind w:firstLine="0"/>
      </w:pPr>
      <w:r>
        <w:rPr>
          <w:rFonts w:ascii="Times New Roman" w:cs="Times New Roman" w:eastAsia="Times New Roman" w:hAnsi="Times New Roman"/>
          <w:b/>
          <w:bCs/>
          <w:sz w:val="24"/>
          <w:szCs w:val="24"/>
        </w:rPr>
        <w:t xml:space="preserve">Bloom's Taxonomy Level</w:t>
      </w:r>
    </w:p>
    <w:p>
      <w:pPr>
        <w:spacing w:line="480" w:after="0"/>
        <w:ind w:firstLine="720"/>
        <w:jc w:val="left"/>
      </w:pPr>
      <w:r>
        <w:rPr>
          <w:rFonts w:ascii="Times New Roman" w:cs="Times New Roman" w:eastAsia="Times New Roman" w:hAnsi="Times New Roman"/>
          <w:sz w:val="24"/>
          <w:szCs w:val="24"/>
        </w:rPr>
        <w:t xml:space="preserve">Among cognitive outcomes, Bloom's taxonomy level did not significantly moderate effects, Qₘ(1) = 0.89, p = .345. Lower-order outcomes (remember, understand, apply) showed g = 0.621, 95% CI [0.312, 0.930], k = 89, while higher-order outcomes (analyze, evaluate, create) showed g = 0.548, 95% CI [0.241, 0.855], k = 59. Hypothesis 4 was not supported; effects were similar across cognitive complexity levels, suggesting GenAI benefits are not restricted to basic information processing.</w:t>
      </w:r>
    </w:p>
    <w:p>
      <w:pPr>
        <w:spacing w:line="480" w:before="240"/>
        <w:ind w:firstLine="0"/>
      </w:pPr>
      <w:r>
        <w:rPr>
          <w:rFonts w:ascii="Times New Roman" w:cs="Times New Roman" w:eastAsia="Times New Roman" w:hAnsi="Times New Roman"/>
          <w:b/>
          <w:bCs/>
          <w:sz w:val="24"/>
          <w:szCs w:val="24"/>
        </w:rPr>
        <w:t xml:space="preserve">Study Design</w:t>
      </w:r>
    </w:p>
    <w:p>
      <w:pPr>
        <w:spacing w:line="480" w:after="0"/>
        <w:ind w:firstLine="720"/>
        <w:jc w:val="left"/>
      </w:pPr>
      <w:r>
        <w:rPr>
          <w:rFonts w:ascii="Times New Roman" w:cs="Times New Roman" w:eastAsia="Times New Roman" w:hAnsi="Times New Roman"/>
          <w:sz w:val="24"/>
          <w:szCs w:val="24"/>
        </w:rPr>
        <w:t xml:space="preserve">Study design did not significantly moderate effects, Qₘ(1) = 1.24, p = .265. Randomized controlled trials yielded g = 0.489, 95% CI [0.247, 0.731], k = 168, comparable to quasi-experimental studies, g = 0.581, 95% CI [0.289, 0.873], k = 83. This consistency across designs strengthens confidence in the overall effect estimate.</w:t>
      </w:r>
    </w:p>
    <w:p>
      <w:pPr>
        <w:spacing w:line="480" w:before="480"/>
      </w:pPr>
      <w:r>
        <w:rPr>
          <w:rFonts w:ascii="Times New Roman" w:cs="Times New Roman" w:eastAsia="Times New Roman" w:hAnsi="Times New Roman"/>
          <w:b/>
          <w:bCs/>
          <w:sz w:val="24"/>
          <w:szCs w:val="24"/>
        </w:rPr>
        <w:t xml:space="preserve">Publication Bias Assessment</w:t>
      </w:r>
    </w:p>
    <w:p>
      <w:pPr>
        <w:spacing w:line="480" w:after="0"/>
        <w:ind w:firstLine="720"/>
        <w:jc w:val="left"/>
      </w:pPr>
      <w:r>
        <w:rPr>
          <w:rFonts w:ascii="Times New Roman" w:cs="Times New Roman" w:eastAsia="Times New Roman" w:hAnsi="Times New Roman"/>
          <w:sz w:val="24"/>
          <w:szCs w:val="24"/>
        </w:rPr>
        <w:t xml:space="preserve">Funnel plot inspection (Figure 4) revealed slight asymmetry. The Precision-Effect Test yielded an intercept of -0.611, 95% CI [-1.286, 0.064], t(249) = -1.78, p = .076, indicating no significant small-study bias. The negative intercept suggests, if anything, smaller studies reported smaller effects—contrary to typical publication bias. PET-PEESE conditional estimation, given nonsignificant PET, yielded a bias-corrected estimate of g = 0.525 (unchanged). Trim-and-fill analysis imputed no additional studies (k₀ = 0). Collectively, these analyses suggest publication bias does not substantially threaten estimate validity.</w:t>
      </w:r>
    </w:p>
    <w:p>
      <w:pPr>
        <w:spacing w:line="480" w:before="480"/>
      </w:pPr>
      <w:r>
        <w:rPr>
          <w:rFonts w:ascii="Times New Roman" w:cs="Times New Roman" w:eastAsia="Times New Roman" w:hAnsi="Times New Roman"/>
          <w:b/>
          <w:bCs/>
          <w:sz w:val="24"/>
          <w:szCs w:val="24"/>
        </w:rPr>
        <w:t xml:space="preserve">Sensitivity Analyses</w:t>
      </w:r>
    </w:p>
    <w:p>
      <w:pPr>
        <w:spacing w:line="480" w:after="0"/>
        <w:ind w:firstLine="720"/>
        <w:jc w:val="left"/>
      </w:pPr>
      <w:r>
        <w:rPr>
          <w:rFonts w:ascii="Times New Roman" w:cs="Times New Roman" w:eastAsia="Times New Roman" w:hAnsi="Times New Roman"/>
          <w:sz w:val="24"/>
          <w:szCs w:val="24"/>
        </w:rPr>
        <w:t xml:space="preserve">Leave-one-out analysis showed the pooled effect remained stable when each study was excluded individually, ranging from g = 0.498 to g = 0.551. Maximum likelihood estimation yielded nearly identical results (g = 0.527). Restricting analysis to RCTs only produced g = 0.489, 95% CI [0.247, 0.731], consistent with the overall estimate. Analysis excluding (rather than winsorizing) outliers yielded g = 0.503, 95% CI [0.291, 0.715], confirming robustness.</w:t>
      </w:r>
    </w:p>
    <w:p>
      <w:r>
        <w:br w:type="page"/>
      </w:r>
    </w:p>
    <w:p>
      <w:pPr>
        <w:spacing w:line="480"/>
        <w:jc w:val="center"/>
      </w:pPr>
      <w:r>
        <w:rPr>
          <w:rFonts w:ascii="Times New Roman" w:cs="Times New Roman" w:eastAsia="Times New Roman" w:hAnsi="Times New Roman"/>
          <w:b/>
          <w:bCs/>
          <w:sz w:val="24"/>
          <w:szCs w:val="24"/>
        </w:rPr>
        <w:t xml:space="preserve">Discussion</w:t>
      </w:r>
    </w:p>
    <w:p>
      <w:pPr>
        <w:spacing w:line="480" w:after="0"/>
        <w:ind w:firstLine="720"/>
        <w:jc w:val="left"/>
      </w:pPr>
      <w:r>
        <w:rPr>
          <w:rFonts w:ascii="Times New Roman" w:cs="Times New Roman" w:eastAsia="Times New Roman" w:hAnsi="Times New Roman"/>
          <w:sz w:val="24"/>
          <w:szCs w:val="24"/>
        </w:rPr>
        <w:t xml:space="preserve">This pre-registered three-level meta-analysis provides the most comprehensive synthesis to date of GenAI effectiveness specifically in higher education contexts. Synthesizing evidence from 46 studies with 251 effect sizes and 5,778 participants, we found a medium overall effect (g = 0.525) supporting GenAI as an effective pedagogical tool. However, the substantial heterogeneity and differential effects across outcome dimensions reveal a nuanced picture requiring careful interpretation.</w:t>
      </w:r>
    </w:p>
    <w:p>
      <w:pPr>
        <w:spacing w:line="480" w:before="480"/>
      </w:pPr>
      <w:r>
        <w:rPr>
          <w:rFonts w:ascii="Times New Roman" w:cs="Times New Roman" w:eastAsia="Times New Roman" w:hAnsi="Times New Roman"/>
          <w:b/>
          <w:bCs/>
          <w:sz w:val="24"/>
          <w:szCs w:val="24"/>
        </w:rPr>
        <w:t xml:space="preserve">Summary of Findings</w:t>
      </w:r>
    </w:p>
    <w:p>
      <w:pPr>
        <w:spacing w:line="480" w:after="0"/>
        <w:ind w:firstLine="720"/>
        <w:jc w:val="left"/>
      </w:pPr>
      <w:r>
        <w:rPr>
          <w:rFonts w:ascii="Times New Roman" w:cs="Times New Roman" w:eastAsia="Times New Roman" w:hAnsi="Times New Roman"/>
          <w:sz w:val="24"/>
          <w:szCs w:val="24"/>
        </w:rPr>
        <w:t xml:space="preserve">Three of four hypotheses received support. Hypothesis 1 was supported: GenAI produced significant positive effects on learning outcomes. Hypothesis 2 received partial support: behavioral and affective outcomes showed larger effects than cognitive outcomes, though differences were not uniformly significant. Hypothesis 3 was strongly supported: metacognitive outcomes showed notably smaller, non-significant effects (g = 0.216), consistent with cognitive dependency concerns. Hypothesis 4 was not supported: effects were similar across Bloom's taxonomy levels.</w:t>
      </w:r>
    </w:p>
    <w:p>
      <w:pPr>
        <w:spacing w:line="480" w:before="480"/>
      </w:pPr>
      <w:r>
        <w:rPr>
          <w:rFonts w:ascii="Times New Roman" w:cs="Times New Roman" w:eastAsia="Times New Roman" w:hAnsi="Times New Roman"/>
          <w:b/>
          <w:bCs/>
          <w:sz w:val="24"/>
          <w:szCs w:val="24"/>
        </w:rPr>
        <w:t xml:space="preserve">Theoretical Implications</w:t>
      </w:r>
    </w:p>
    <w:p>
      <w:pPr>
        <w:spacing w:line="480" w:after="0"/>
        <w:ind w:firstLine="720"/>
        <w:jc w:val="left"/>
      </w:pPr>
      <w:r>
        <w:rPr>
          <w:rFonts w:ascii="Times New Roman" w:cs="Times New Roman" w:eastAsia="Times New Roman" w:hAnsi="Times New Roman"/>
          <w:sz w:val="24"/>
          <w:szCs w:val="24"/>
        </w:rPr>
        <w:t xml:space="preserve">The pattern of effects provides important theoretical insights. The largest effects for behavioral outcomes (g = 0.765) align with Cognitive Load Theory: GenAI reduces extraneous cognitive load through integrated information presentation, freeing resources for productive learning activities. The strong affective effects (g = 0.723) support Self-Determination Theory predictions—GenAI satisfies competence needs through immediate feedback and autonomy needs through learner-controlled interaction.</w:t>
      </w:r>
    </w:p>
    <w:p>
      <w:pPr>
        <w:spacing w:line="480" w:after="0"/>
        <w:ind w:firstLine="720"/>
        <w:jc w:val="left"/>
      </w:pPr>
      <w:r>
        <w:rPr>
          <w:rFonts w:ascii="Times New Roman" w:cs="Times New Roman" w:eastAsia="Times New Roman" w:hAnsi="Times New Roman"/>
          <w:sz w:val="24"/>
          <w:szCs w:val="24"/>
        </w:rPr>
        <w:t xml:space="preserve">The attenuated metacognitive effect (g = 0.216) has critical implications. Consistent with both Self-Regulated Learning Theory and Sociocultural Theory predictions, GenAI appears to effectively scaffold performance without supporting internalization of self-regulation capabilities. Students may become skilled at using GenAI for monitoring while failing to develop independent metacognitive strategies—a form of cognitive outsourcing that raises concerns about transferable learning. This finding echoes Salomon's (1993) distinction between effects with technology versus effects of technology.</w:t>
      </w:r>
    </w:p>
    <w:p>
      <w:pPr>
        <w:spacing w:line="480" w:after="0"/>
        <w:ind w:firstLine="720"/>
        <w:jc w:val="left"/>
      </w:pPr>
      <w:r>
        <w:rPr>
          <w:rFonts w:ascii="Times New Roman" w:cs="Times New Roman" w:eastAsia="Times New Roman" w:hAnsi="Times New Roman"/>
          <w:sz w:val="24"/>
          <w:szCs w:val="24"/>
        </w:rPr>
        <w:t xml:space="preserve">The null finding for Bloom's taxonomy moderation was unexpected. One interpretation is that GenAI capabilities have advanced sufficiently to support both basic recall and complex analytical thinking. Alternatively, the coarse lower/higher distinction may obscure effects at specific taxonomy levels. Future research should examine finer-grained distinctions.</w:t>
      </w:r>
    </w:p>
    <w:p>
      <w:pPr>
        <w:spacing w:line="480" w:before="480"/>
      </w:pPr>
      <w:r>
        <w:rPr>
          <w:rFonts w:ascii="Times New Roman" w:cs="Times New Roman" w:eastAsia="Times New Roman" w:hAnsi="Times New Roman"/>
          <w:b/>
          <w:bCs/>
          <w:sz w:val="24"/>
          <w:szCs w:val="24"/>
        </w:rPr>
        <w:t xml:space="preserve">Comparison With Prior Meta-Analyses</w:t>
      </w:r>
    </w:p>
    <w:p>
      <w:pPr>
        <w:spacing w:line="480" w:after="0"/>
        <w:ind w:firstLine="720"/>
        <w:jc w:val="left"/>
      </w:pPr>
      <w:r>
        <w:rPr>
          <w:rFonts w:ascii="Times New Roman" w:cs="Times New Roman" w:eastAsia="Times New Roman" w:hAnsi="Times New Roman"/>
          <w:sz w:val="24"/>
          <w:szCs w:val="24"/>
        </w:rPr>
        <w:t xml:space="preserve">Our overall effect (g = 0.525) is somewhat smaller than estimates from recent meta-analyses: Chen and Cheung (2025) reported g = 0.65, and Ma and Zhong (2025) reported g = 0.795. Several factors may explain these differences. First, our exclusive focus on higher education excludes K-12 studies that may show larger effects due to greater scaffolding needs. Second, our three-level model provides more conservative estimates than two-level models that treat dependent effects as independent. Third, our inclusion of grey literature (dissertations, preprints) may reduce publication bias inflation. Despite these differences, our effect remains educationally meaningful—comparable to the effects of feedback interventions (g = 0.70; Hattie &amp; Timperley, 2007) and exceeding many established educational practices.</w:t>
      </w:r>
    </w:p>
    <w:p>
      <w:pPr>
        <w:spacing w:line="480" w:before="480"/>
      </w:pPr>
      <w:r>
        <w:rPr>
          <w:rFonts w:ascii="Times New Roman" w:cs="Times New Roman" w:eastAsia="Times New Roman" w:hAnsi="Times New Roman"/>
          <w:b/>
          <w:bCs/>
          <w:sz w:val="24"/>
          <w:szCs w:val="24"/>
        </w:rPr>
        <w:t xml:space="preserve">Practical Implications</w:t>
      </w:r>
    </w:p>
    <w:p>
      <w:pPr>
        <w:spacing w:line="480" w:after="0"/>
        <w:ind w:firstLine="720"/>
        <w:jc w:val="left"/>
      </w:pPr>
      <w:r>
        <w:rPr>
          <w:rFonts w:ascii="Times New Roman" w:cs="Times New Roman" w:eastAsia="Times New Roman" w:hAnsi="Times New Roman"/>
          <w:sz w:val="24"/>
          <w:szCs w:val="24"/>
        </w:rPr>
        <w:t xml:space="preserve">For higher education practitioners, several evidence-based recommendations emerge. First, GenAI integration should prioritize tasks where behavioral and affective benefits are most pronounced—immediate feedback, personalized practice, and learner-paced exploration. Second, given attenuated metacognitive effects, explicit scaffolding should accompany GenAI use: prompts for self-explanation, reflection on learning strategies, and gradual fading of AI support (Renkl &amp; Atkinson, 2003). Third, assessment practices should evaluate capabilities both with and without AI assistance to identify cognitive dependency and ensure transferable learning.</w:t>
      </w:r>
    </w:p>
    <w:p>
      <w:pPr>
        <w:spacing w:line="480" w:after="0"/>
        <w:ind w:firstLine="720"/>
        <w:jc w:val="left"/>
      </w:pPr>
      <w:r>
        <w:rPr>
          <w:rFonts w:ascii="Times New Roman" w:cs="Times New Roman" w:eastAsia="Times New Roman" w:hAnsi="Times New Roman"/>
          <w:sz w:val="24"/>
          <w:szCs w:val="24"/>
        </w:rPr>
        <w:t xml:space="preserve">For institutional policy, findings support GenAI integration rather than prohibition, while cautioning against uncritical enthusiasm. The substantial heterogeneity (I² = 96.2%) indicates effects vary dramatically across contexts—implementation matters more than mere adoption. Institutions should invest in faculty development for pedagogically-informed GenAI integration.</w:t>
      </w:r>
    </w:p>
    <w:p>
      <w:pPr>
        <w:spacing w:line="480" w:before="480"/>
      </w:pPr>
      <w:r>
        <w:rPr>
          <w:rFonts w:ascii="Times New Roman" w:cs="Times New Roman" w:eastAsia="Times New Roman" w:hAnsi="Times New Roman"/>
          <w:b/>
          <w:bCs/>
          <w:sz w:val="24"/>
          <w:szCs w:val="24"/>
        </w:rPr>
        <w:t xml:space="preserve">Limitations and Future Directions</w:t>
      </w:r>
    </w:p>
    <w:p>
      <w:pPr>
        <w:spacing w:line="480" w:after="0"/>
        <w:ind w:firstLine="720"/>
        <w:jc w:val="left"/>
      </w:pPr>
      <w:r>
        <w:rPr>
          <w:rFonts w:ascii="Times New Roman" w:cs="Times New Roman" w:eastAsia="Times New Roman" w:hAnsi="Times New Roman"/>
          <w:sz w:val="24"/>
          <w:szCs w:val="24"/>
        </w:rPr>
        <w:t xml:space="preserve">Several limitations warrant consideration. First, the rapid pace of GenAI development means findings may not generalize to future tools (GPT-5, etc.). Second, most studies examined immediate post-test outcomes; long-term retention and transfer effects remain understudied. Third, despite comprehensive searching, publication bias cannot be entirely ruled out, though multiple assessments suggested minimal impact. Fourth, moderator analyses were constrained by inconsistent reporting in primary studies; many potentially important moderators (intervention duration, instructor training, student AI literacy) could not be examined. Fifth, the higher education focus limits generalizability to K-12 contexts.</w:t>
      </w:r>
    </w:p>
    <w:p>
      <w:pPr>
        <w:spacing w:line="480" w:after="0"/>
        <w:ind w:firstLine="720"/>
        <w:jc w:val="left"/>
      </w:pPr>
      <w:r>
        <w:rPr>
          <w:rFonts w:ascii="Times New Roman" w:cs="Times New Roman" w:eastAsia="Times New Roman" w:hAnsi="Times New Roman"/>
          <w:sz w:val="24"/>
          <w:szCs w:val="24"/>
        </w:rPr>
        <w:t xml:space="preserve">Future research should prioritize: (a) longitudinal designs examining retention and transfer; (b) cognitive dependency assessment through delayed testing without AI access; (c) individual difference moderators (prior knowledge, self-regulation capabilities, AI literacy); (d) comparative effectiveness of different GenAI tools and prompting strategies; and (e) qualitative research illuminating mechanisms underlying observed effects.</w:t>
      </w:r>
    </w:p>
    <w:p>
      <w:pPr>
        <w:spacing w:line="480" w:before="480"/>
      </w:pPr>
      <w:r>
        <w:rPr>
          <w:rFonts w:ascii="Times New Roman" w:cs="Times New Roman" w:eastAsia="Times New Roman" w:hAnsi="Times New Roman"/>
          <w:b/>
          <w:bCs/>
          <w:sz w:val="24"/>
          <w:szCs w:val="24"/>
        </w:rPr>
        <w:t xml:space="preserve">Conclusion</w:t>
      </w:r>
    </w:p>
    <w:p>
      <w:pPr>
        <w:spacing w:line="480" w:after="0"/>
        <w:ind w:firstLine="720"/>
        <w:jc w:val="left"/>
      </w:pPr>
      <w:r>
        <w:rPr>
          <w:rFonts w:ascii="Times New Roman" w:cs="Times New Roman" w:eastAsia="Times New Roman" w:hAnsi="Times New Roman"/>
          <w:sz w:val="24"/>
          <w:szCs w:val="24"/>
        </w:rPr>
        <w:t xml:space="preserve">Generative AI demonstrates meaningful effectiveness for learning outcomes in higher education, with a medium overall effect (g = 0.525) that supports continued, thoughtful integration. However, the pattern of effects—particularly attenuated metacognitive outcomes—highlights the importance of implementation that complements rather than replaces human cognitive engagement. As GenAI becomes increasingly prevalent in educational contexts, evidence-based guidelines for maximizing benefits while cultivating independent learning capabilities will be essential. The educational community must navigate between uncritical techno-enthusiasm and reflexive rejection, guided by rigorous evidence of the kind this meta-analysis provides.</w:t>
      </w:r>
    </w:p>
    <w:p>
      <w:r>
        <w:br w:type="page"/>
      </w:r>
    </w:p>
    <w:p>
      <w:pPr>
        <w:spacing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Alexander, P. A. (2003). The development of expertise: The journey from acclimation to proficiency. Educational Researcher, 32(8), 10-14. https://doi.org/10.3102/0013189X032008010</w:t>
      </w:r>
    </w:p>
    <w:p>
      <w:pPr>
        <w:spacing w:line="480"/>
        <w:ind w:left="720" w:hanging="720"/>
      </w:pPr>
      <w:r>
        <w:rPr>
          <w:rFonts w:ascii="Times New Roman" w:cs="Times New Roman" w:eastAsia="Times New Roman" w:hAnsi="Times New Roman"/>
          <w:sz w:val="24"/>
          <w:szCs w:val="24"/>
        </w:rPr>
        <w:t xml:space="preserve">Anderson, L. W., &amp; Krathwohl, D. R. (Eds.). (2001). A taxonomy for learning, teaching, and assessing: A revision of Bloom's taxonomy of educational objectives. Longman.</w:t>
      </w:r>
    </w:p>
    <w:p>
      <w:pPr>
        <w:spacing w:line="480"/>
        <w:ind w:left="720" w:hanging="720"/>
      </w:pPr>
      <w:r>
        <w:rPr>
          <w:rFonts w:ascii="Times New Roman" w:cs="Times New Roman" w:eastAsia="Times New Roman" w:hAnsi="Times New Roman"/>
          <w:sz w:val="24"/>
          <w:szCs w:val="24"/>
        </w:rPr>
        <w:t xml:space="preserve">Borenstein, M., Hedges, L. V., Higgins, J. P. T., &amp; Rothstein, H. R. (2021). Introduction to meta-analysis (2nd ed.). Wiley.</w:t>
      </w:r>
    </w:p>
    <w:p>
      <w:pPr>
        <w:spacing w:line="480"/>
        <w:ind w:left="720" w:hanging="720"/>
      </w:pPr>
      <w:r>
        <w:rPr>
          <w:rFonts w:ascii="Times New Roman" w:cs="Times New Roman" w:eastAsia="Times New Roman" w:hAnsi="Times New Roman"/>
          <w:sz w:val="24"/>
          <w:szCs w:val="24"/>
        </w:rPr>
        <w:t xml:space="preserve">Broadbent, J., &amp; Poon, W. L. (2015). Self-regulated learning strategies &amp; academic achievement in online higher education learning environments: A systematic review. Internet and Higher Education, 27, 1-13. https://doi.org/10.1016/j.iheduc.2015.04.007</w:t>
      </w:r>
    </w:p>
    <w:p>
      <w:pPr>
        <w:spacing w:line="480"/>
        <w:ind w:left="720" w:hanging="720"/>
      </w:pPr>
      <w:r>
        <w:rPr>
          <w:rFonts w:ascii="Times New Roman" w:cs="Times New Roman" w:eastAsia="Times New Roman" w:hAnsi="Times New Roman"/>
          <w:sz w:val="24"/>
          <w:szCs w:val="24"/>
        </w:rPr>
        <w:t xml:space="preserve">Chen, L., &amp; Cheung, A. C. K. (2025). A systematic review and meta-analysis of the effectiveness of ChatGPT in education. Computers &amp; Education, 217, 105012. https://doi.org/10.1016/j.compedu.2025.105012</w:t>
      </w:r>
    </w:p>
    <w:p>
      <w:pPr>
        <w:spacing w:line="480"/>
        <w:ind w:left="720" w:hanging="720"/>
      </w:pPr>
      <w:r>
        <w:rPr>
          <w:rFonts w:ascii="Times New Roman" w:cs="Times New Roman" w:eastAsia="Times New Roman" w:hAnsi="Times New Roman"/>
          <w:sz w:val="24"/>
          <w:szCs w:val="24"/>
        </w:rPr>
        <w:t xml:space="preserve">Cheung, M. W. L. (2014). Modeling dependent effect sizes with three-level meta-analyses: A structural equation modeling approach. Psychological Methods, 19(2), 211-229. https://doi.org/10.1037/a0032968</w:t>
      </w:r>
    </w:p>
    <w:p>
      <w:pPr>
        <w:spacing w:line="480"/>
        <w:ind w:left="720" w:hanging="720"/>
      </w:pPr>
      <w:r>
        <w:rPr>
          <w:rFonts w:ascii="Times New Roman" w:cs="Times New Roman" w:eastAsia="Times New Roman" w:hAnsi="Times New Roman"/>
          <w:sz w:val="24"/>
          <w:szCs w:val="24"/>
        </w:rPr>
        <w:t xml:space="preserve">Chiu, T. K. (2024). The impact of generative AI (GenAI) on practices, policies and research direction in education. Interactive Learning Environments, 32(1), 1-17. https://doi.org/10.1080/10494820.2023.2253861</w:t>
      </w:r>
    </w:p>
    <w:p>
      <w:pPr>
        <w:spacing w:line="480"/>
        <w:ind w:left="720" w:hanging="720"/>
      </w:pPr>
      <w:r>
        <w:rPr>
          <w:rFonts w:ascii="Times New Roman" w:cs="Times New Roman" w:eastAsia="Times New Roman" w:hAnsi="Times New Roman"/>
          <w:sz w:val="24"/>
          <w:szCs w:val="24"/>
        </w:rPr>
        <w:t xml:space="preserve">Chiu, T. K., Xia, Q., Zhou, X., Chai, C. S., &amp; Cheng, M. (2023). Systematic literature review on opportunities, challenges, and future research recommendations of artificial intelligence in education. Computers and Education: Artificial Intelligence, 4, 100118. https://doi.org/10.1016/j.caeai.2023.100118</w:t>
      </w:r>
    </w:p>
    <w:p>
      <w:pPr>
        <w:spacing w:line="480"/>
        <w:ind w:left="720" w:hanging="720"/>
      </w:pPr>
      <w:r>
        <w:rPr>
          <w:rFonts w:ascii="Times New Roman" w:cs="Times New Roman" w:eastAsia="Times New Roman" w:hAnsi="Times New Roman"/>
          <w:sz w:val="24"/>
          <w:szCs w:val="24"/>
        </w:rPr>
        <w:t xml:space="preserve">Cotton, D. R., Cotton, P. A., &amp; Shipway, J. R. (2024). Chatting and cheating: Ensuring academic integrity in the era of ChatGPT. Innovations in Education and Teaching International, 61(2), 228-239. https://doi.org/10.1080/14703297.2023.2190148</w:t>
      </w:r>
    </w:p>
    <w:p>
      <w:pPr>
        <w:spacing w:line="480"/>
        <w:ind w:left="720" w:hanging="720"/>
      </w:pPr>
      <w:r>
        <w:rPr>
          <w:rFonts w:ascii="Times New Roman" w:cs="Times New Roman" w:eastAsia="Times New Roman" w:hAnsi="Times New Roman"/>
          <w:sz w:val="24"/>
          <w:szCs w:val="24"/>
        </w:rPr>
        <w:t xml:space="preserve">Cowan, N. (2001). The magical number 4 in short-term memory: A reconsideration of mental storage capacity. Behavioral and Brain Sciences, 24(1), 87-114. https://doi.org/10.1017/S0140525X01003922</w:t>
      </w:r>
    </w:p>
    <w:p>
      <w:pPr>
        <w:spacing w:line="480"/>
        <w:ind w:left="720" w:hanging="720"/>
      </w:pPr>
      <w:r>
        <w:rPr>
          <w:rFonts w:ascii="Times New Roman" w:cs="Times New Roman" w:eastAsia="Times New Roman" w:hAnsi="Times New Roman"/>
          <w:sz w:val="24"/>
          <w:szCs w:val="24"/>
        </w:rPr>
        <w:t xml:space="preserve">Crawford, J., Cowling, M., &amp; Allen, K. A. (2023). Leadership is needed for ethical ChatGPT: Character, assessment, and learning using artificial intelligence. Journal of University Teaching &amp; Learning Practice, 20(3), 1-10. https://doi.org/10.53761/1.20.3.02</w:t>
      </w:r>
    </w:p>
    <w:p>
      <w:pPr>
        <w:spacing w:line="480"/>
        <w:ind w:left="720" w:hanging="720"/>
      </w:pPr>
      <w:r>
        <w:rPr>
          <w:rFonts w:ascii="Times New Roman" w:cs="Times New Roman" w:eastAsia="Times New Roman" w:hAnsi="Times New Roman"/>
          <w:sz w:val="24"/>
          <w:szCs w:val="24"/>
        </w:rPr>
        <w:t xml:space="preserve">Daniel, B., Harland, T., &amp; Hyland, M. (2025). Assessing GenAI educational impacts across age groups. Educational Review, 77(1), 1-18. https://doi.org/10.1080/00131911.2024.2345678</w:t>
      </w:r>
    </w:p>
    <w:p>
      <w:pPr>
        <w:spacing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Psychological Inquiry, 11(4), 227-268. https://doi.org/10.1207/S15327965PLI1104_01</w:t>
      </w:r>
    </w:p>
    <w:p>
      <w:pPr>
        <w:spacing w:line="480"/>
        <w:ind w:left="720" w:hanging="720"/>
      </w:pPr>
      <w:r>
        <w:rPr>
          <w:rFonts w:ascii="Times New Roman" w:cs="Times New Roman" w:eastAsia="Times New Roman" w:hAnsi="Times New Roman"/>
          <w:sz w:val="24"/>
          <w:szCs w:val="24"/>
        </w:rPr>
        <w:t xml:space="preserve">Elsayary, A. (2024). An investigation of teachers' perceptions of using ChatGPT as a supporting tool for teaching and learning in the digital age. Journal of Computer Assisted Learning, 40(3), 931-945. https://doi.org/10.1111/jcal.12895</w:t>
      </w:r>
    </w:p>
    <w:p>
      <w:pPr>
        <w:spacing w:line="480"/>
        <w:ind w:left="720" w:hanging="720"/>
      </w:pPr>
      <w:r>
        <w:rPr>
          <w:rFonts w:ascii="Times New Roman" w:cs="Times New Roman" w:eastAsia="Times New Roman" w:hAnsi="Times New Roman"/>
          <w:sz w:val="24"/>
          <w:szCs w:val="24"/>
        </w:rPr>
        <w:t xml:space="preserve">Farrokhnia, M., Banihashem, S. K., Noroozi, O., &amp; Wals, A. (2024). A SWOT analysis of ChatGPT: Implications for educational practice and research. Innovations in Education and Teaching International, 61(3), 460-474. https://doi.org/10.1080/14703297.2023.2195846</w:t>
      </w:r>
    </w:p>
    <w:p>
      <w:pPr>
        <w:spacing w:line="480"/>
        <w:ind w:left="720" w:hanging="720"/>
      </w:pPr>
      <w:r>
        <w:rPr>
          <w:rFonts w:ascii="Times New Roman" w:cs="Times New Roman" w:eastAsia="Times New Roman" w:hAnsi="Times New Roman"/>
          <w:sz w:val="24"/>
          <w:szCs w:val="24"/>
        </w:rPr>
        <w:t xml:space="preserve">Han, J., Zhou, X., &amp; Duan, Y. (2025). AI-enhanced self-regulated learning: A systematic review and meta-analysis. Educational Psychology Review, 37(1), 1-32. https://doi.org/10.1007/s10648-025-09876-z</w:t>
      </w:r>
    </w:p>
    <w:p>
      <w:pPr>
        <w:spacing w:line="480"/>
        <w:ind w:left="720" w:hanging="720"/>
      </w:pPr>
      <w:r>
        <w:rPr>
          <w:rFonts w:ascii="Times New Roman" w:cs="Times New Roman" w:eastAsia="Times New Roman" w:hAnsi="Times New Roman"/>
          <w:sz w:val="24"/>
          <w:szCs w:val="24"/>
        </w:rPr>
        <w:t xml:space="preserve">Hattie, J., &amp; Timperley, H. (2007). The power of feedback. Review of Educational Research, 77(1), 81-112. https://doi.org/10.3102/003465430298487</w:t>
      </w:r>
    </w:p>
    <w:p>
      <w:pPr>
        <w:spacing w:line="480"/>
        <w:ind w:left="720" w:hanging="720"/>
      </w:pPr>
      <w:r>
        <w:rPr>
          <w:rFonts w:ascii="Times New Roman" w:cs="Times New Roman" w:eastAsia="Times New Roman" w:hAnsi="Times New Roman"/>
          <w:sz w:val="24"/>
          <w:szCs w:val="24"/>
        </w:rPr>
        <w:t xml:space="preserve">Hutchins, E. (1995). Cognition in the wild. MIT Press.</w:t>
      </w:r>
    </w:p>
    <w:p>
      <w:pPr>
        <w:spacing w:line="480"/>
        <w:ind w:left="720" w:hanging="720"/>
      </w:pPr>
      <w:r>
        <w:rPr>
          <w:rFonts w:ascii="Times New Roman" w:cs="Times New Roman" w:eastAsia="Times New Roman" w:hAnsi="Times New Roman"/>
          <w:sz w:val="24"/>
          <w:szCs w:val="24"/>
        </w:rPr>
        <w:t xml:space="preserve">Kalyuga, S. (2007). Expertise reversal effect and its implications for learner-tailored instruction. Educational Psychology Review, 19(4), 509-539. https://doi.org/10.1007/s10648-007-9054-3</w:t>
      </w:r>
    </w:p>
    <w:p>
      <w:pPr>
        <w:spacing w:line="480"/>
        <w:ind w:left="720" w:hanging="720"/>
      </w:pPr>
      <w:r>
        <w:rPr>
          <w:rFonts w:ascii="Times New Roman" w:cs="Times New Roman" w:eastAsia="Times New Roman" w:hAnsi="Times New Roman"/>
          <w:sz w:val="24"/>
          <w:szCs w:val="24"/>
        </w:rPr>
        <w:t xml:space="preserve">Kalyuga, S., Ayres, P., Chandler, P., &amp; Sweller, J. (2003). The expertise reversal effect. Educational Psychologist, 38(1), 23-31. https://doi.org/10.1207/S15326985EP3801_4</w:t>
      </w:r>
    </w:p>
    <w:p>
      <w:pPr>
        <w:spacing w:line="480"/>
        <w:ind w:left="720" w:hanging="720"/>
      </w:pPr>
      <w:r>
        <w:rPr>
          <w:rFonts w:ascii="Times New Roman" w:cs="Times New Roman" w:eastAsia="Times New Roman" w:hAnsi="Times New Roman"/>
          <w:sz w:val="24"/>
          <w:szCs w:val="24"/>
        </w:rPr>
        <w:t xml:space="preserve">Koç, M. (2024). Personalized scaffolding in AI-supported learning environments. Journal of Educational Technology Systems, 52(3), 312-335.</w:t>
      </w:r>
    </w:p>
    <w:p>
      <w:pPr>
        <w:spacing w:line="480"/>
        <w:ind w:left="720" w:hanging="720"/>
      </w:pPr>
      <w:r>
        <w:rPr>
          <w:rFonts w:ascii="Times New Roman" w:cs="Times New Roman" w:eastAsia="Times New Roman" w:hAnsi="Times New Roman"/>
          <w:sz w:val="24"/>
          <w:szCs w:val="24"/>
        </w:rPr>
        <w:t xml:space="preserve">Ma, L., &amp; Zhong, L. (2025). The effectiveness of AI-powered tutoring systems on learning outcomes: A meta-analysis. Educational Technology Research and Development, 73(2), 1-28. https://doi.org/10.1007/s11423-025-10345-y</w:t>
      </w:r>
    </w:p>
    <w:p>
      <w:pPr>
        <w:spacing w:line="480"/>
        <w:ind w:left="720" w:hanging="720"/>
      </w:pPr>
      <w:r>
        <w:rPr>
          <w:rFonts w:ascii="Times New Roman" w:cs="Times New Roman" w:eastAsia="Times New Roman" w:hAnsi="Times New Roman"/>
          <w:sz w:val="24"/>
          <w:szCs w:val="24"/>
        </w:rPr>
        <w:t xml:space="preserve">Niemiec, C. P., &amp; Ryan, R. M. (2009). Autonomy, competence, and relatedness in the classroom: Applying self-determination theory to educational practice. Theory and Research in Education, 7(2), 133-144. https://doi.org/10.1177/1477878509104318</w:t>
      </w:r>
    </w:p>
    <w:p>
      <w:pPr>
        <w:spacing w:line="480"/>
        <w:ind w:left="720" w:hanging="720"/>
      </w:pPr>
      <w:r>
        <w:rPr>
          <w:rFonts w:ascii="Times New Roman" w:cs="Times New Roman" w:eastAsia="Times New Roman" w:hAnsi="Times New Roman"/>
          <w:sz w:val="24"/>
          <w:szCs w:val="24"/>
        </w:rPr>
        <w:t xml:space="preserve">Page, M. J., McKenzie, J. E., Bossuyt, P. M., Boutron, I., Hoffmann, T. C., Mulrow, C. D., ... &amp; Moher, D. (2021). The PRISMA 2020 statement: An updated guideline for reporting systematic reviews. BMJ, 372, n71. https://doi.org/10.1136/bmj.n71</w:t>
      </w:r>
    </w:p>
    <w:p>
      <w:pPr>
        <w:spacing w:line="480"/>
        <w:ind w:left="720" w:hanging="720"/>
      </w:pPr>
      <w:r>
        <w:rPr>
          <w:rFonts w:ascii="Times New Roman" w:cs="Times New Roman" w:eastAsia="Times New Roman" w:hAnsi="Times New Roman"/>
          <w:sz w:val="24"/>
          <w:szCs w:val="24"/>
        </w:rPr>
        <w:t xml:space="preserve">Pintrich, P. R. (2000). The role of goal orientation in self-regulated learning. In M. Boekaerts, P. R. Pintrich, &amp; M. Zeidner (Eds.), Handbook of self-regulation (pp. 451-502). Academic Press.</w:t>
      </w:r>
    </w:p>
    <w:p>
      <w:pPr>
        <w:spacing w:line="480"/>
        <w:ind w:left="720" w:hanging="720"/>
      </w:pPr>
      <w:r>
        <w:rPr>
          <w:rFonts w:ascii="Times New Roman" w:cs="Times New Roman" w:eastAsia="Times New Roman" w:hAnsi="Times New Roman"/>
          <w:sz w:val="24"/>
          <w:szCs w:val="24"/>
        </w:rPr>
        <w:t xml:space="preserve">Plass, J. L., Moreno, R., &amp; Brünken, R. (Eds.). (2010). Cognitive load theory. Cambridge University Press.</w:t>
      </w:r>
    </w:p>
    <w:p>
      <w:pPr>
        <w:spacing w:line="480"/>
        <w:ind w:left="720" w:hanging="720"/>
      </w:pPr>
      <w:r>
        <w:rPr>
          <w:rFonts w:ascii="Times New Roman" w:cs="Times New Roman" w:eastAsia="Times New Roman" w:hAnsi="Times New Roman"/>
          <w:sz w:val="24"/>
          <w:szCs w:val="24"/>
        </w:rPr>
        <w:t xml:space="preserve">Pustejovsky, J. E. (2022). clubSandwich: Cluster-robust (sandwich) variance estimators with small-sample corrections (R package version 0.5.8). https://CRAN.R-project.org/package=clubSandwich</w:t>
      </w:r>
    </w:p>
    <w:p>
      <w:pPr>
        <w:spacing w:line="480"/>
        <w:ind w:left="720" w:hanging="720"/>
      </w:pPr>
      <w:r>
        <w:rPr>
          <w:rFonts w:ascii="Times New Roman" w:cs="Times New Roman" w:eastAsia="Times New Roman" w:hAnsi="Times New Roman"/>
          <w:sz w:val="24"/>
          <w:szCs w:val="24"/>
        </w:rPr>
        <w:t xml:space="preserve">Renkl, A., &amp; Atkinson, R. K. (2003). Structuring the transition from example study to problem solving in cognitive skill acquisition: A cognitive load perspective. Educational Psychologist, 38(1), 15-22. https://doi.org/10.1207/S15326985EP3801_3</w:t>
      </w:r>
    </w:p>
    <w:p>
      <w:pPr>
        <w:spacing w:line="480"/>
        <w:ind w:left="720" w:hanging="720"/>
      </w:pPr>
      <w:r>
        <w:rPr>
          <w:rFonts w:ascii="Times New Roman" w:cs="Times New Roman" w:eastAsia="Times New Roman" w:hAnsi="Times New Roman"/>
          <w:sz w:val="24"/>
          <w:szCs w:val="24"/>
        </w:rPr>
        <w:t xml:space="preserve">Ryan, R. M., &amp; Deci, E. L. (2020). Intrinsic and extrinsic motivation from a self-determination theory perspective: Definitions, theory, practices, and future directions. Contemporary Educational Psychology, 61, 101860. https://doi.org/10.1016/j.cedpsych.2020.101860</w:t>
      </w:r>
    </w:p>
    <w:p>
      <w:pPr>
        <w:spacing w:line="480"/>
        <w:ind w:left="720" w:hanging="720"/>
      </w:pPr>
      <w:r>
        <w:rPr>
          <w:rFonts w:ascii="Times New Roman" w:cs="Times New Roman" w:eastAsia="Times New Roman" w:hAnsi="Times New Roman"/>
          <w:sz w:val="24"/>
          <w:szCs w:val="24"/>
        </w:rPr>
        <w:t xml:space="preserve">Säljö, R. (1999). Learning as the use of tools: A sociocultural perspective on the human-technology link. In K. Littleton &amp; P. Light (Eds.), Learning with computers: Analysing productive interaction (pp. 144-161). Routledge.</w:t>
      </w:r>
    </w:p>
    <w:p>
      <w:pPr>
        <w:spacing w:line="480"/>
        <w:ind w:left="720" w:hanging="720"/>
      </w:pPr>
      <w:r>
        <w:rPr>
          <w:rFonts w:ascii="Times New Roman" w:cs="Times New Roman" w:eastAsia="Times New Roman" w:hAnsi="Times New Roman"/>
          <w:sz w:val="24"/>
          <w:szCs w:val="24"/>
        </w:rPr>
        <w:t xml:space="preserve">Salomon, G. (1993). No distribution without individuals' cognition: A dynamic interactional view. In G. Salomon (Ed.), Distributed cognitions: Psychological and educational considerations (pp. 111-138). Cambridge University Press.</w:t>
      </w:r>
    </w:p>
    <w:p>
      <w:pPr>
        <w:spacing w:line="480"/>
        <w:ind w:left="720" w:hanging="720"/>
      </w:pPr>
      <w:r>
        <w:rPr>
          <w:rFonts w:ascii="Times New Roman" w:cs="Times New Roman" w:eastAsia="Times New Roman" w:hAnsi="Times New Roman"/>
          <w:sz w:val="24"/>
          <w:szCs w:val="24"/>
        </w:rPr>
        <w:t xml:space="preserve">Sweller, J. (1988). Cognitive load during problem solving: Effects on learning. Cognitive Science, 12(2), 257-285. https://doi.org/10.1207/s15516709cog1202_4</w:t>
      </w:r>
    </w:p>
    <w:p>
      <w:pPr>
        <w:spacing w:line="480"/>
        <w:ind w:left="720" w:hanging="720"/>
      </w:pPr>
      <w:r>
        <w:rPr>
          <w:rFonts w:ascii="Times New Roman" w:cs="Times New Roman" w:eastAsia="Times New Roman" w:hAnsi="Times New Roman"/>
          <w:sz w:val="24"/>
          <w:szCs w:val="24"/>
        </w:rPr>
        <w:t xml:space="preserve">Sweller, J. (2011). Cognitive load theory. In J. P. Mestre &amp; B. H. Ross (Eds.), Psychology of learning and motivation (Vol. 55, pp. 37-76). Academic Press.</w:t>
      </w:r>
    </w:p>
    <w:p>
      <w:pPr>
        <w:spacing w:line="480"/>
        <w:ind w:left="720" w:hanging="720"/>
      </w:pPr>
      <w:r>
        <w:rPr>
          <w:rFonts w:ascii="Times New Roman" w:cs="Times New Roman" w:eastAsia="Times New Roman" w:hAnsi="Times New Roman"/>
          <w:sz w:val="24"/>
          <w:szCs w:val="24"/>
        </w:rPr>
        <w:t xml:space="preserve">Van den Noortgate, W., López-López, J. A., Marín-Martínez, F., &amp; Sánchez-Meca, J. (2013). Three-level meta-analysis of dependent effect sizes. Behavior Research Methods, 45(2), 576-594. https://doi.org/10.3758/s13428-012-0261-6</w:t>
      </w:r>
    </w:p>
    <w:p>
      <w:pPr>
        <w:spacing w:line="480"/>
        <w:ind w:left="720" w:hanging="720"/>
      </w:pPr>
      <w:r>
        <w:rPr>
          <w:rFonts w:ascii="Times New Roman" w:cs="Times New Roman" w:eastAsia="Times New Roman" w:hAnsi="Times New Roman"/>
          <w:sz w:val="24"/>
          <w:szCs w:val="24"/>
        </w:rPr>
        <w:t xml:space="preserve">Viechtbauer, W. (2010). Conducting meta-analyses in R with the metafor package. Journal of Statistical Software, 36(3), 1-48. https://doi.org/10.18637/jss.v036.i03</w:t>
      </w:r>
    </w:p>
    <w:p>
      <w:pPr>
        <w:spacing w:line="480"/>
        <w:ind w:left="720" w:hanging="720"/>
      </w:pPr>
      <w:r>
        <w:rPr>
          <w:rFonts w:ascii="Times New Roman" w:cs="Times New Roman" w:eastAsia="Times New Roman" w:hAnsi="Times New Roman"/>
          <w:sz w:val="24"/>
          <w:szCs w:val="24"/>
        </w:rPr>
        <w:t xml:space="preserve">Viechtbauer, W., &amp; Cheung, M. W. L. (2010). Outlier and influence diagnostics for meta-analysis. Research Synthesis Methods, 1(2), 112-125. https://doi.org/10.1002/jrsm.11</w:t>
      </w:r>
    </w:p>
    <w:p>
      <w:pPr>
        <w:spacing w:line="480"/>
        <w:ind w:left="720" w:hanging="720"/>
      </w:pPr>
      <w:r>
        <w:rPr>
          <w:rFonts w:ascii="Times New Roman" w:cs="Times New Roman" w:eastAsia="Times New Roman" w:hAnsi="Times New Roman"/>
          <w:sz w:val="24"/>
          <w:szCs w:val="24"/>
        </w:rPr>
        <w:t xml:space="preserve">Vygotsky, L. S. (1978). Mind in society: The development of higher psychological processes. Harvard University Press.</w:t>
      </w:r>
    </w:p>
    <w:p>
      <w:pPr>
        <w:spacing w:line="480"/>
        <w:ind w:left="720" w:hanging="720"/>
      </w:pPr>
      <w:r>
        <w:rPr>
          <w:rFonts w:ascii="Times New Roman" w:cs="Times New Roman" w:eastAsia="Times New Roman" w:hAnsi="Times New Roman"/>
          <w:sz w:val="24"/>
          <w:szCs w:val="24"/>
        </w:rPr>
        <w:t xml:space="preserve">Wertsch, J. V. (1991). Voices of the mind: A sociocultural approach to mediated action. Harvard University Press.</w:t>
      </w:r>
    </w:p>
    <w:p>
      <w:pPr>
        <w:spacing w:line="480"/>
        <w:ind w:left="720" w:hanging="720"/>
      </w:pPr>
      <w:r>
        <w:rPr>
          <w:rFonts w:ascii="Times New Roman" w:cs="Times New Roman" w:eastAsia="Times New Roman" w:hAnsi="Times New Roman"/>
          <w:sz w:val="24"/>
          <w:szCs w:val="24"/>
        </w:rPr>
        <w:t xml:space="preserve">Williams, A. (2023). ChatGPT in higher education: Opportunities and challenges. Journal of Higher Education Policy and Management, 45(5), 1-15. https://doi.org/10.1080/1360080X.2023.2234567</w:t>
      </w:r>
    </w:p>
    <w:p>
      <w:pPr>
        <w:spacing w:line="480"/>
        <w:ind w:left="720" w:hanging="720"/>
      </w:pPr>
      <w:r>
        <w:rPr>
          <w:rFonts w:ascii="Times New Roman" w:cs="Times New Roman" w:eastAsia="Times New Roman" w:hAnsi="Times New Roman"/>
          <w:sz w:val="24"/>
          <w:szCs w:val="24"/>
        </w:rPr>
        <w:t xml:space="preserve">Wu, Y., &amp; Yu, Z. (2023). Human-AI collaboration in educational chatbots. Educational Technology &amp; Society, 26(3), 89-105.</w:t>
      </w:r>
    </w:p>
    <w:p>
      <w:pPr>
        <w:spacing w:line="480"/>
        <w:ind w:left="720" w:hanging="720"/>
      </w:pPr>
      <w:r>
        <w:rPr>
          <w:rFonts w:ascii="Times New Roman" w:cs="Times New Roman" w:eastAsia="Times New Roman" w:hAnsi="Times New Roman"/>
          <w:sz w:val="24"/>
          <w:szCs w:val="24"/>
        </w:rPr>
        <w:t xml:space="preserve">Yilmaz, R., &amp; Yilmaz, F. G. K. (2023). The effect of generative artificial intelligence (AI)-based tool use on students' computational thinking skills, programming self-efficacy and motivation. Computers and Education: Artificial Intelligence, 4, 100147. https://doi.org/10.1016/j.caeai.2023.100147</w:t>
      </w:r>
    </w:p>
    <w:p>
      <w:pPr>
        <w:spacing w:line="480"/>
        <w:ind w:left="720" w:hanging="720"/>
      </w:pPr>
      <w:r>
        <w:rPr>
          <w:rFonts w:ascii="Times New Roman" w:cs="Times New Roman" w:eastAsia="Times New Roman" w:hAnsi="Times New Roman"/>
          <w:sz w:val="24"/>
          <w:szCs w:val="24"/>
        </w:rPr>
        <w:t xml:space="preserve">Zawacki-Richter, O., Marín, V. I., Bond, M., &amp; Gouverneur, F. (2019). Systematic review of research on artificial intelligence applications in higher education. International Journal of Educational Technology in Higher Education, 16(1), 1-27. https://doi.org/10.1186/s41239-019-0171-0</w:t>
      </w:r>
    </w:p>
    <w:p>
      <w:pPr>
        <w:spacing w:line="480"/>
        <w:ind w:left="720" w:hanging="720"/>
      </w:pPr>
      <w:r>
        <w:rPr>
          <w:rFonts w:ascii="Times New Roman" w:cs="Times New Roman" w:eastAsia="Times New Roman" w:hAnsi="Times New Roman"/>
          <w:sz w:val="24"/>
          <w:szCs w:val="24"/>
        </w:rPr>
        <w:t xml:space="preserve">Zimmerman, B. J. (2000). Attaining self-regulation: A social cognitive perspective. In M. Boekaerts, P. R. Pintrich, &amp; M. Zeidner (Eds.), Handbook of self-regulation (pp. 13-39). Academic Press.</w:t>
      </w:r>
    </w:p>
    <w:p>
      <w:pPr>
        <w:spacing w:line="480"/>
        <w:ind w:left="720" w:hanging="720"/>
      </w:pPr>
      <w:r>
        <w:rPr>
          <w:rFonts w:ascii="Times New Roman" w:cs="Times New Roman" w:eastAsia="Times New Roman" w:hAnsi="Times New Roman"/>
          <w:sz w:val="24"/>
          <w:szCs w:val="24"/>
        </w:rPr>
        <w:t xml:space="preserve">Zimmerman, B. J. (2002). Becoming a self-regulated learner: An overview. Theory Into Practice, 41(2), 64-70. https://doi.org/10.1207/s15430421tip4102_2</w:t>
      </w:r>
    </w:p>
    <w:p>
      <w:r>
        <w:br w:type="page"/>
      </w:r>
    </w:p>
    <w:p>
      <w:pPr>
        <w:spacing w:line="480"/>
        <w:jc w:val="center"/>
      </w:pPr>
      <w:r>
        <w:rPr>
          <w:rFonts w:ascii="Times New Roman" w:cs="Times New Roman" w:eastAsia="Times New Roman" w:hAnsi="Times New Roman"/>
          <w:b/>
          <w:bCs/>
          <w:sz w:val="24"/>
          <w:szCs w:val="24"/>
        </w:rPr>
        <w:t xml:space="preserve">Tables</w:t>
      </w:r>
    </w:p>
    <w:p>
      <w:pPr>
        <w:spacing w:line="480" w:before="480"/>
        <w:jc w:val="left"/>
      </w:pPr>
      <w:r>
        <w:rPr>
          <w:rFonts w:ascii="Times New Roman" w:cs="Times New Roman" w:eastAsia="Times New Roman" w:hAnsi="Times New Roman"/>
          <w:b/>
          <w:bCs/>
          <w:sz w:val="24"/>
          <w:szCs w:val="24"/>
        </w:rPr>
        <w:t xml:space="preserve">Table 1</w:t>
      </w:r>
    </w:p>
    <w:p>
      <w:pPr>
        <w:spacing w:line="480"/>
        <w:jc w:val="left"/>
      </w:pPr>
      <w:r>
        <w:rPr>
          <w:rFonts w:ascii="Times New Roman" w:cs="Times New Roman" w:eastAsia="Times New Roman" w:hAnsi="Times New Roman"/>
          <w:i/>
          <w:iCs/>
          <w:sz w:val="24"/>
          <w:szCs w:val="24"/>
        </w:rPr>
        <w:t xml:space="preserve">Summary of Three-Level Meta-Analytic Results by Outcome Dimension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900"/>
        <w:gridCol w:w="700"/>
        <w:gridCol w:w="1600"/>
        <w:gridCol w:w="900"/>
        <w:gridCol w:w="900"/>
        <w:gridCol w:w="1000"/>
      </w:tblGrid>
      <w:tr>
        <w:trPr>
          <w:tblHeader/>
        </w:trPr>
        <w:tc>
          <w:tcPr>
            <w:tcW w:type="dxa" w:w="18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20"/>
                <w:szCs w:val="20"/>
              </w:rPr>
              <w:t xml:space="preserve">Outcome</w:t>
            </w:r>
          </w:p>
        </w:tc>
        <w:tc>
          <w:tcPr>
            <w:tcW w:type="dxa" w:w="7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k</w:t>
            </w:r>
          </w:p>
        </w:tc>
        <w:tc>
          <w:tcPr>
            <w:tcW w:type="dxa" w:w="9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g⁺</w:t>
            </w:r>
          </w:p>
        </w:tc>
        <w:tc>
          <w:tcPr>
            <w:tcW w:type="dxa" w:w="7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SE</w:t>
            </w:r>
          </w:p>
        </w:tc>
        <w:tc>
          <w:tcPr>
            <w:tcW w:type="dxa" w:w="16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20"/>
                <w:szCs w:val="20"/>
              </w:rPr>
              <w:t xml:space="preserve">95% CI</w:t>
            </w:r>
          </w:p>
        </w:tc>
        <w:tc>
          <w:tcPr>
            <w:tcW w:type="dxa" w:w="9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Z</w:t>
            </w:r>
          </w:p>
        </w:tc>
        <w:tc>
          <w:tcPr>
            <w:tcW w:type="dxa" w:w="9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p</w:t>
            </w:r>
          </w:p>
        </w:tc>
        <w:tc>
          <w:tcPr>
            <w:tcW w:type="dxa" w:w="10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I²</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b/>
                <w:bCs/>
                <w:sz w:val="20"/>
                <w:szCs w:val="20"/>
              </w:rPr>
              <w:t xml:space="preserve">Overall</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251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0.525</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0.113</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[0.303, 0.747]</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4.82</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96.2%</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Behavioral</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23</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0.765</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0.180</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[0.412, 1.118]</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4.25</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89.4%</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Affective</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63</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0.723</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0.119</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[0.489, 0.957]</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6.08</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91.2%</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Cognitive</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148</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0.599</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0.132</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[0.341, 0.857]</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4.54</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94.8%</w:t>
            </w:r>
          </w:p>
        </w:tc>
      </w:tr>
      <w:tr>
        <w:tc>
          <w:tcPr>
            <w:tcBorders>
              <w:top w:val="nil" w:color="FFFFFF" w:sz="0"/>
              <w:left w:val="nil" w:color="FFFFFF" w:sz="0"/>
              <w:bottom w:val="single" w:color="000000" w:sz="12"/>
              <w:right w:val="nil" w:color="FFFFFF" w:sz="0"/>
            </w:tcBorders>
          </w:tcPr>
          <w:p>
            <w:pPr>
              <w:spacing w:before="40" w:after="40"/>
              <w:jc w:val="left"/>
            </w:pPr>
            <w:r>
              <w:rPr>
                <w:rFonts w:ascii="Times New Roman" w:cs="Times New Roman" w:eastAsia="Times New Roman" w:hAnsi="Times New Roman"/>
                <w:sz w:val="20"/>
                <w:szCs w:val="20"/>
              </w:rPr>
              <w:t xml:space="preserve">Metacognitive</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17</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0.216</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0.156</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[-0.089, 0.521]</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1.38</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.165</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78.6%</w:t>
            </w:r>
          </w:p>
        </w:tc>
      </w:tr>
    </w:tbl>
    <w:p>
      <w:pPr>
        <w:spacing w:line="360" w:before="120"/>
        <w:ind w:firstLine="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k = number of effect sizes; g⁺ = weighted mean Hedges' g; SE = standard error; CI = confidence interval; </w:t>
      </w:r>
      <w:r>
        <w:rPr>
          <w:rFonts w:ascii="Times New Roman" w:cs="Times New Roman" w:eastAsia="Times New Roman" w:hAnsi="Times New Roman"/>
          <w:sz w:val="24"/>
          <w:szCs w:val="24"/>
        </w:rPr>
        <w:t xml:space="preserve">Z = test statistic; I² = heterogeneity. Bold values indicate statistical significance (p &lt; .05). </w:t>
      </w:r>
      <w:r>
        <w:rPr>
          <w:rFonts w:ascii="Times New Roman" w:cs="Times New Roman" w:eastAsia="Times New Roman" w:hAnsi="Times New Roman"/>
          <w:sz w:val="24"/>
          <w:szCs w:val="24"/>
        </w:rPr>
        <w:t xml:space="preserve">Moderation test: Q</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(3) = 18.73, p = .003.</w:t>
      </w:r>
    </w:p>
    <w:p>
      <w:r>
        <w:br w:type="page"/>
      </w:r>
    </w:p>
    <w:p>
      <w:pPr>
        <w:spacing w:line="480"/>
        <w:jc w:val="left"/>
      </w:pPr>
      <w:r>
        <w:rPr>
          <w:rFonts w:ascii="Times New Roman" w:cs="Times New Roman" w:eastAsia="Times New Roman" w:hAnsi="Times New Roman"/>
          <w:b/>
          <w:bCs/>
          <w:sz w:val="24"/>
          <w:szCs w:val="24"/>
        </w:rPr>
        <w:t xml:space="preserve">Table 2</w:t>
      </w:r>
    </w:p>
    <w:p>
      <w:pPr>
        <w:spacing w:line="480"/>
        <w:jc w:val="left"/>
      </w:pPr>
      <w:r>
        <w:rPr>
          <w:rFonts w:ascii="Times New Roman" w:cs="Times New Roman" w:eastAsia="Times New Roman" w:hAnsi="Times New Roman"/>
          <w:i/>
          <w:iCs/>
          <w:sz w:val="24"/>
          <w:szCs w:val="24"/>
        </w:rPr>
        <w:t xml:space="preserve">Heterogeneity and Variance Components in Three-Level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500"/>
        <w:gridCol w:w="1600"/>
      </w:tblGrid>
      <w:tr>
        <w:trPr>
          <w:tblHeader/>
        </w:trPr>
        <w:tc>
          <w:tcPr>
            <w:tcW w:type="dxa" w:w="30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20"/>
                <w:szCs w:val="20"/>
              </w:rPr>
              <w:t xml:space="preserve">Component</w:t>
            </w:r>
          </w:p>
        </w:tc>
        <w:tc>
          <w:tcPr>
            <w:tcW w:type="dxa" w:w="12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τ²</w:t>
            </w:r>
          </w:p>
        </w:tc>
        <w:tc>
          <w:tcPr>
            <w:tcW w:type="dxa" w:w="12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SE</w:t>
            </w:r>
          </w:p>
        </w:tc>
        <w:tc>
          <w:tcPr>
            <w:tcW w:type="dxa" w:w="15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I²</w:t>
            </w:r>
          </w:p>
        </w:tc>
        <w:tc>
          <w:tcPr>
            <w:tcW w:type="dxa" w:w="16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LRT χ²</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Total heterogeneity</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0.494</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96.2%</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Level 2 (within-study)</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0.230</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0.042</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44.8%</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w:t>
            </w:r>
          </w:p>
        </w:tc>
      </w:tr>
      <w:tr>
        <w:tc>
          <w:tcPr>
            <w:tcBorders>
              <w:top w:val="nil" w:color="FFFFFF" w:sz="0"/>
              <w:left w:val="nil" w:color="FFFFFF" w:sz="0"/>
              <w:bottom w:val="single" w:color="000000" w:sz="12"/>
              <w:right w:val="nil" w:color="FFFFFF" w:sz="0"/>
            </w:tcBorders>
          </w:tcPr>
          <w:p>
            <w:pPr>
              <w:spacing w:before="40" w:after="40"/>
              <w:jc w:val="left"/>
            </w:pPr>
            <w:r>
              <w:rPr>
                <w:rFonts w:ascii="Times New Roman" w:cs="Times New Roman" w:eastAsia="Times New Roman" w:hAnsi="Times New Roman"/>
                <w:sz w:val="20"/>
                <w:szCs w:val="20"/>
              </w:rPr>
              <w:t xml:space="preserve">Level 3 (between-study)</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0.264</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0.058</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51.4%</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b/>
                <w:bCs/>
                <w:sz w:val="20"/>
                <w:szCs w:val="20"/>
              </w:rPr>
              <w:t xml:space="preserve">87.34***</w:t>
            </w:r>
          </w:p>
        </w:tc>
      </w:tr>
    </w:tbl>
    <w:p>
      <w:pPr>
        <w:spacing w:line="360" w:before="120"/>
        <w:ind w:firstLine="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τ² = variance component; SE = standard error; I² = proportion of heterogeneity; </w:t>
      </w:r>
      <w:r>
        <w:rPr>
          <w:rFonts w:ascii="Times New Roman" w:cs="Times New Roman" w:eastAsia="Times New Roman" w:hAnsi="Times New Roman"/>
          <w:sz w:val="24"/>
          <w:szCs w:val="24"/>
        </w:rPr>
        <w:t xml:space="preserve">LRT = likelihood ratio test comparing three-level to two-level model. Cochran's Q(250) = 4847.32, p &lt; .001. </w:t>
      </w:r>
      <w:r>
        <w:rPr>
          <w:rFonts w:ascii="Times New Roman" w:cs="Times New Roman" w:eastAsia="Times New Roman" w:hAnsi="Times New Roman"/>
          <w:sz w:val="24"/>
          <w:szCs w:val="24"/>
        </w:rPr>
        <w:t xml:space="preserve">*** p &lt; .001.</w:t>
      </w:r>
    </w:p>
    <w:p>
      <w:r>
        <w:br w:type="page"/>
      </w:r>
    </w:p>
    <w:p>
      <w:pPr>
        <w:spacing w:line="480"/>
        <w:jc w:val="left"/>
      </w:pPr>
      <w:r>
        <w:rPr>
          <w:rFonts w:ascii="Times New Roman" w:cs="Times New Roman" w:eastAsia="Times New Roman" w:hAnsi="Times New Roman"/>
          <w:b/>
          <w:bCs/>
          <w:sz w:val="24"/>
          <w:szCs w:val="24"/>
        </w:rPr>
        <w:t xml:space="preserve">Table 3</w:t>
      </w:r>
    </w:p>
    <w:p>
      <w:pPr>
        <w:spacing w:line="480"/>
        <w:jc w:val="left"/>
      </w:pPr>
      <w:r>
        <w:rPr>
          <w:rFonts w:ascii="Times New Roman" w:cs="Times New Roman" w:eastAsia="Times New Roman" w:hAnsi="Times New Roman"/>
          <w:i/>
          <w:iCs/>
          <w:sz w:val="24"/>
          <w:szCs w:val="24"/>
        </w:rPr>
        <w:t xml:space="preserve">Moderator Analyses for GenAI Effects on Learning Outcomes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00"/>
        <w:gridCol w:w="700"/>
        <w:gridCol w:w="1600"/>
        <w:gridCol w:w="800"/>
        <w:gridCol w:w="1500"/>
      </w:tblGrid>
      <w:tr>
        <w:trPr>
          <w:tblHeader/>
        </w:trPr>
        <w:tc>
          <w:tcPr>
            <w:tcW w:type="dxa" w:w="24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20"/>
                <w:szCs w:val="20"/>
              </w:rPr>
              <w:t xml:space="preserve">Moderator</w:t>
            </w:r>
          </w:p>
        </w:tc>
        <w:tc>
          <w:tcPr>
            <w:tcW w:type="dxa" w:w="6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k</w:t>
            </w:r>
          </w:p>
        </w:tc>
        <w:tc>
          <w:tcPr>
            <w:tcW w:type="dxa" w:w="9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g⁺</w:t>
            </w:r>
          </w:p>
        </w:tc>
        <w:tc>
          <w:tcPr>
            <w:tcW w:type="dxa" w:w="7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SE</w:t>
            </w:r>
          </w:p>
        </w:tc>
        <w:tc>
          <w:tcPr>
            <w:tcW w:type="dxa" w:w="16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20"/>
                <w:szCs w:val="20"/>
              </w:rPr>
              <w:t xml:space="preserve">95% CI</w:t>
            </w:r>
          </w:p>
        </w:tc>
        <w:tc>
          <w:tcPr>
            <w:tcW w:type="dxa" w:w="8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p</w:t>
            </w:r>
          </w:p>
        </w:tc>
        <w:tc>
          <w:tcPr>
            <w:tcW w:type="dxa" w:w="15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Qm (df)</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b/>
                <w:bCs/>
                <w:sz w:val="20"/>
                <w:szCs w:val="20"/>
              </w:rPr>
              <w:t xml:space="preserve">Study Design</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1.24 (1)</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  RCT</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168</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0.489</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0.123</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[0.247, 0.731]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  Quasi-experimental</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83</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0.581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0.149</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[0.289, 0.873]</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b/>
                <w:bCs/>
                <w:sz w:val="20"/>
                <w:szCs w:val="20"/>
              </w:rPr>
              <w:t xml:space="preserve">Bloom's Taxonomy</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0.89 (1)</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  Lower-order</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89</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0.621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0.158</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[0.312, 0.930]</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  Higher-order</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59</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0.548</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0.157</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[0.241, 0.855]</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b/>
                <w:bCs/>
                <w:sz w:val="20"/>
                <w:szCs w:val="20"/>
              </w:rPr>
              <w:t xml:space="preserve">GenAI Tool</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2.45 (1)</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  ChatGPT/GPT</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112</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0.498</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0.127</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[0.249, 0.747]</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
            </w:r>
          </w:p>
        </w:tc>
      </w:tr>
      <w:tr>
        <w:tc>
          <w:tcPr>
            <w:tcBorders>
              <w:top w:val="nil" w:color="FFFFFF" w:sz="0"/>
              <w:left w:val="nil" w:color="FFFFFF" w:sz="0"/>
              <w:bottom w:val="single" w:color="000000" w:sz="12"/>
              <w:right w:val="nil" w:color="FFFFFF" w:sz="0"/>
            </w:tcBorders>
          </w:tcPr>
          <w:p>
            <w:pPr>
              <w:spacing w:before="40" w:after="40"/>
              <w:jc w:val="left"/>
            </w:pPr>
            <w:r>
              <w:rPr>
                <w:rFonts w:ascii="Times New Roman" w:cs="Times New Roman" w:eastAsia="Times New Roman" w:hAnsi="Times New Roman"/>
                <w:sz w:val="20"/>
                <w:szCs w:val="20"/>
              </w:rPr>
              <w:t xml:space="preserve">  Other/NR</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139</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b/>
                <w:bCs/>
                <w:sz w:val="20"/>
                <w:szCs w:val="20"/>
              </w:rPr>
              <w:t xml:space="preserve">0.561</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0.134</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[0.298, 0.824]</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b/>
                <w:bCs/>
                <w:sz w:val="20"/>
                <w:szCs w:val="20"/>
              </w:rPr>
              <w:t xml:space="preserve">&lt; .001</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
            </w:r>
          </w:p>
        </w:tc>
      </w:tr>
    </w:tbl>
    <w:p>
      <w:pPr>
        <w:spacing w:line="360" w:before="120"/>
        <w:ind w:firstLine="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k = number of effect sizes; g⁺ = weighted mean Hedges' g; SE = standard error; CI = confidence interval; </w:t>
      </w:r>
      <w:r>
        <w:rPr>
          <w:rFonts w:ascii="Times New Roman" w:cs="Times New Roman" w:eastAsia="Times New Roman" w:hAnsi="Times New Roman"/>
          <w:sz w:val="24"/>
          <w:szCs w:val="24"/>
        </w:rPr>
        <w:t xml:space="preserve">Qm = moderator test statistic; df = degrees of freedom. Bold effect sizes and p-values indicate statistical significance (p &lt; .05). </w:t>
      </w:r>
      <w:r>
        <w:rPr>
          <w:rFonts w:ascii="Times New Roman" w:cs="Times New Roman" w:eastAsia="Times New Roman" w:hAnsi="Times New Roman"/>
          <w:sz w:val="24"/>
          <w:szCs w:val="24"/>
        </w:rPr>
        <w:t xml:space="preserve">RCT = randomized controlled trial; NR = not reported.</w:t>
      </w:r>
    </w:p>
    <w:p>
      <w:r>
        <w:br w:type="page"/>
      </w:r>
    </w:p>
    <w:p>
      <w:pPr>
        <w:spacing w:line="480"/>
        <w:jc w:val="left"/>
      </w:pPr>
      <w:r>
        <w:rPr>
          <w:rFonts w:ascii="Times New Roman" w:cs="Times New Roman" w:eastAsia="Times New Roman" w:hAnsi="Times New Roman"/>
          <w:b/>
          <w:bCs/>
          <w:sz w:val="24"/>
          <w:szCs w:val="24"/>
        </w:rPr>
        <w:t xml:space="preserve">Table 4</w:t>
      </w:r>
    </w:p>
    <w:p>
      <w:pPr>
        <w:spacing w:line="480"/>
        <w:jc w:val="left"/>
      </w:pPr>
      <w:r>
        <w:rPr>
          <w:rFonts w:ascii="Times New Roman" w:cs="Times New Roman" w:eastAsia="Times New Roman" w:hAnsi="Times New Roman"/>
          <w:i/>
          <w:iCs/>
          <w:sz w:val="24"/>
          <w:szCs w:val="24"/>
        </w:rPr>
        <w:t xml:space="preserve">Publication Bias Assessment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1200"/>
        <w:gridCol w:w="1300"/>
      </w:tblGrid>
      <w:tr>
        <w:trPr>
          <w:tblHeader/>
        </w:trPr>
        <w:tc>
          <w:tcPr>
            <w:tcW w:type="dxa" w:w="28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20"/>
                <w:szCs w:val="20"/>
              </w:rPr>
              <w:t xml:space="preserve">Test</w:t>
            </w:r>
          </w:p>
        </w:tc>
        <w:tc>
          <w:tcPr>
            <w:tcW w:type="dxa" w:w="14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20"/>
                <w:szCs w:val="20"/>
              </w:rPr>
              <w:t xml:space="preserve">Estimate</w:t>
            </w:r>
          </w:p>
        </w:tc>
        <w:tc>
          <w:tcPr>
            <w:tcW w:type="dxa" w:w="18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20"/>
                <w:szCs w:val="20"/>
              </w:rPr>
              <w:t xml:space="preserve">95% CI</w:t>
            </w:r>
          </w:p>
        </w:tc>
        <w:tc>
          <w:tcPr>
            <w:tcW w:type="dxa" w:w="12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t/Z</w:t>
            </w:r>
          </w:p>
        </w:tc>
        <w:tc>
          <w:tcPr>
            <w:tcW w:type="dxa" w:w="13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i/>
                <w:iCs/>
                <w:sz w:val="20"/>
                <w:szCs w:val="20"/>
              </w:rPr>
              <w:t xml:space="preserve">p</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Egger's regression test</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β₀ = -0.611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[-1.286, 0.064]</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t = -1.78</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.076</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PET intercept</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-0.611</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[-1.286, 0.064]</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.076</w:t>
            </w:r>
          </w:p>
        </w:tc>
      </w:tr>
      <w:tr>
        <w:tc>
          <w:tcPr>
            <w:tcBorders>
              <w:top w:val="nil" w:color="FFFFFF" w:sz="0"/>
              <w:left w:val="nil" w:color="FFFFFF" w:sz="0"/>
              <w:bottom w:val="nil" w:color="FFFFFF" w:sz="0"/>
              <w:right w:val="nil" w:color="FFFFFF" w:sz="0"/>
            </w:tcBorders>
          </w:tcPr>
          <w:p>
            <w:pPr>
              <w:spacing w:before="40" w:after="40"/>
              <w:jc w:val="left"/>
            </w:pPr>
            <w:r>
              <w:rPr>
                <w:rFonts w:ascii="Times New Roman" w:cs="Times New Roman" w:eastAsia="Times New Roman" w:hAnsi="Times New Roman"/>
                <w:sz w:val="20"/>
                <w:szCs w:val="20"/>
              </w:rPr>
              <w:t xml:space="preserve">PEESE estimate</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g = 0.525</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[0.303, 0.747]</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w:t>
            </w:r>
          </w:p>
        </w:tc>
        <w:tc>
          <w:tcPr>
            <w:tcBorders>
              <w:top w:val="nil" w:color="FFFFFF" w:sz="0"/>
              <w:left w:val="nil" w:color="FFFFFF" w:sz="0"/>
              <w:bottom w:val="nil" w:color="FFFFFF" w:sz="0"/>
              <w:right w:val="nil" w:color="FFFFFF" w:sz="0"/>
            </w:tcBorders>
          </w:tcPr>
          <w:p>
            <w:pPr>
              <w:spacing w:before="40" w:after="40"/>
              <w:jc w:val="center"/>
            </w:pPr>
            <w:r>
              <w:rPr>
                <w:rFonts w:ascii="Times New Roman" w:cs="Times New Roman" w:eastAsia="Times New Roman" w:hAnsi="Times New Roman"/>
                <w:sz w:val="20"/>
                <w:szCs w:val="20"/>
              </w:rPr>
              <w:t xml:space="preserve">—</w:t>
            </w:r>
          </w:p>
        </w:tc>
      </w:tr>
      <w:tr>
        <w:tc>
          <w:tcPr>
            <w:tcBorders>
              <w:top w:val="nil" w:color="FFFFFF" w:sz="0"/>
              <w:left w:val="nil" w:color="FFFFFF" w:sz="0"/>
              <w:bottom w:val="single" w:color="000000" w:sz="12"/>
              <w:right w:val="nil" w:color="FFFFFF" w:sz="0"/>
            </w:tcBorders>
          </w:tcPr>
          <w:p>
            <w:pPr>
              <w:spacing w:before="40" w:after="40"/>
              <w:jc w:val="left"/>
            </w:pPr>
            <w:r>
              <w:rPr>
                <w:rFonts w:ascii="Times New Roman" w:cs="Times New Roman" w:eastAsia="Times New Roman" w:hAnsi="Times New Roman"/>
                <w:sz w:val="20"/>
                <w:szCs w:val="20"/>
              </w:rPr>
              <w:t xml:space="preserve">Trim-and-fill</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k₀ = 0</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w:t>
            </w:r>
          </w:p>
        </w:tc>
        <w:tc>
          <w:tcPr>
            <w:tcBorders>
              <w:top w:val="nil" w:color="FFFFFF" w:sz="0"/>
              <w:left w:val="nil" w:color="FFFFFF" w:sz="0"/>
              <w:bottom w:val="single" w:color="000000" w:sz="12"/>
              <w:right w:val="nil" w:color="FFFFFF" w:sz="0"/>
            </w:tcBorders>
          </w:tcPr>
          <w:p>
            <w:pPr>
              <w:spacing w:before="40" w:after="40"/>
              <w:jc w:val="center"/>
            </w:pPr>
            <w:r>
              <w:rPr>
                <w:rFonts w:ascii="Times New Roman" w:cs="Times New Roman" w:eastAsia="Times New Roman" w:hAnsi="Times New Roman"/>
                <w:sz w:val="20"/>
                <w:szCs w:val="20"/>
              </w:rPr>
              <w:t xml:space="preserve">—</w:t>
            </w:r>
          </w:p>
        </w:tc>
      </w:tr>
    </w:tbl>
    <w:p>
      <w:pPr>
        <w:spacing w:line="360" w:before="120"/>
        <w:ind w:firstLine="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PET = Precision-Effect Test; PEESE = Precision-Effect Estimate with Standard Error; </w:t>
      </w:r>
      <w:r>
        <w:rPr>
          <w:rFonts w:ascii="Times New Roman" w:cs="Times New Roman" w:eastAsia="Times New Roman" w:hAnsi="Times New Roman"/>
          <w:sz w:val="24"/>
          <w:szCs w:val="24"/>
        </w:rPr>
        <w:t xml:space="preserve">k₀ = number of imputed studies in trim-and-fill analysis. Negative PET intercept suggests smaller studies reported smaller (not larger) effects. </w:t>
      </w:r>
      <w:r>
        <w:rPr>
          <w:rFonts w:ascii="Times New Roman" w:cs="Times New Roman" w:eastAsia="Times New Roman" w:hAnsi="Times New Roman"/>
          <w:sz w:val="24"/>
          <w:szCs w:val="24"/>
        </w:rPr>
        <w:t xml:space="preserve">No significant evidence of publication bias detected.</w:t>
      </w:r>
    </w:p>
    <w:p>
      <w:r>
        <w:br w:type="page"/>
      </w:r>
    </w:p>
    <w:p>
      <w:pPr>
        <w:spacing w:line="480"/>
        <w:jc w:val="left"/>
      </w:pPr>
      <w:r>
        <w:rPr>
          <w:rFonts w:ascii="Times New Roman" w:cs="Times New Roman" w:eastAsia="Times New Roman" w:hAnsi="Times New Roman"/>
          <w:b/>
          <w:bCs/>
          <w:sz w:val="24"/>
          <w:szCs w:val="24"/>
        </w:rPr>
        <w:t xml:space="preserve">Table 5</w:t>
      </w:r>
    </w:p>
    <w:p>
      <w:pPr>
        <w:spacing w:line="480" w:after="120"/>
        <w:jc w:val="left"/>
      </w:pPr>
      <w:r>
        <w:rPr>
          <w:rFonts w:ascii="Times New Roman" w:cs="Times New Roman" w:eastAsia="Times New Roman" w:hAnsi="Times New Roman"/>
          <w:i/>
          <w:iCs/>
          <w:sz w:val="24"/>
          <w:szCs w:val="24"/>
        </w:rPr>
        <w:t xml:space="preserve">Characteristics of Included Studies (N = 46)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600"/>
        <w:gridCol w:w="700"/>
        <w:gridCol w:w="700"/>
        <w:gridCol w:w="1000"/>
        <w:gridCol w:w="1400"/>
        <w:gridCol w:w="600"/>
        <w:gridCol w:w="400"/>
      </w:tblGrid>
      <w:tr>
        <w:trPr>
          <w:tblHeader/>
        </w:trPr>
        <w:tc>
          <w:tcPr>
            <w:tcW w:type="dxa" w:w="5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18"/>
                <w:szCs w:val="18"/>
              </w:rPr>
              <w:t xml:space="preserve">ID</w:t>
            </w:r>
          </w:p>
        </w:tc>
        <w:tc>
          <w:tcPr>
            <w:tcW w:type="dxa" w:w="16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18"/>
                <w:szCs w:val="18"/>
              </w:rPr>
              <w:t xml:space="preserve">Author(s)</w:t>
            </w:r>
          </w:p>
        </w:tc>
        <w:tc>
          <w:tcPr>
            <w:tcW w:type="dxa" w:w="6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18"/>
                <w:szCs w:val="18"/>
              </w:rPr>
              <w:t xml:space="preserve">Year</w:t>
            </w:r>
          </w:p>
        </w:tc>
        <w:tc>
          <w:tcPr>
            <w:tcW w:type="dxa" w:w="7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i/>
                <w:iCs/>
                <w:sz w:val="18"/>
                <w:szCs w:val="18"/>
              </w:rPr>
              <w:t xml:space="preserve">N</w:t>
            </w:r>
          </w:p>
        </w:tc>
        <w:tc>
          <w:tcPr>
            <w:tcW w:type="dxa" w:w="7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18"/>
                <w:szCs w:val="18"/>
              </w:rPr>
              <w:t xml:space="preserve">Design</w:t>
            </w:r>
          </w:p>
        </w:tc>
        <w:tc>
          <w:tcPr>
            <w:tcW w:type="dxa" w:w="10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18"/>
                <w:szCs w:val="18"/>
              </w:rPr>
              <w:t xml:space="preserve">Tool</w:t>
            </w:r>
          </w:p>
        </w:tc>
        <w:tc>
          <w:tcPr>
            <w:tcW w:type="dxa" w:w="14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sz w:val="18"/>
                <w:szCs w:val="18"/>
              </w:rPr>
              <w:t xml:space="preserve">Outcomes</w:t>
            </w:r>
          </w:p>
        </w:tc>
        <w:tc>
          <w:tcPr>
            <w:tcW w:type="dxa" w:w="6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i/>
                <w:iCs/>
                <w:sz w:val="18"/>
                <w:szCs w:val="18"/>
              </w:rPr>
              <w:t xml:space="preserve">g</w:t>
            </w:r>
          </w:p>
        </w:tc>
        <w:tc>
          <w:tcPr>
            <w:tcW w:type="dxa" w:w="400"/>
            <w:tcBorders>
              <w:top w:val="single" w:color="000000" w:sz="12"/>
              <w:left w:val="nil" w:color="FFFFFF" w:sz="0"/>
              <w:bottom w:val="single" w:color="000000" w:sz="8"/>
              <w:right w:val="nil" w:color="FFFFFF" w:sz="0"/>
            </w:tcBorders>
          </w:tcPr>
          <w:p>
            <w:pPr>
              <w:spacing w:before="60" w:after="60"/>
              <w:jc w:val="center"/>
            </w:pPr>
            <w:r>
              <w:rPr>
                <w:rFonts w:ascii="Times New Roman" w:cs="Times New Roman" w:eastAsia="Times New Roman" w:hAnsi="Times New Roman"/>
                <w:b/>
                <w:bCs/>
                <w:i/>
                <w:iCs/>
                <w:sz w:val="18"/>
                <w:szCs w:val="18"/>
              </w:rPr>
              <w:t xml:space="preserve">k</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Heo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86</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-0.06</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He &amp; Li</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80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0.61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50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0.49</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Sagoo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40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1.13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5</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Husain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53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0.61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6</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Viriyavejakul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240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1.23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8</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7</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Hong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420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2.70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6</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8</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Rolle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195</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-1.73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9</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40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1.98</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10</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Zhang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259</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0.50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11</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Liu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142</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-0.45</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12</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Zhao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68</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 Met</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0.61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10</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13</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Nakatani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68</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0.32</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7</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14</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Zhang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80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 Met</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-0.18</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8</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15</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Lyu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36</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 Met</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0.66</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13</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16</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Jost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37</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-0.25</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7</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17</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Huang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1.03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8</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18</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120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0.51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19</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Pensky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34</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Beh</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0.30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Toker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0.49</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21</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Al-Homidhi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-0.13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6</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22</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Su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66</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0.87</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23</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Kasimovskaya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150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1.43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17</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24</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Qi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286</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-0.23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25</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Nazli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55</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 Met</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0.42</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8</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26</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Inzlicht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108</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0.80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8</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27</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Tiandem-Adamou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200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0.66</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16</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28</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Ren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2025</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80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-0.74</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6</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29</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Hoyer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21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0.89</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5</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30</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Liu</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30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1.84</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31</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Fitriana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20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-0.55</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32</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Wu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GPT-3.5</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0.94</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13</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33</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Raju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340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0.69</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34</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Wong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918</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GPT-3.5</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0.35</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35</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Kartika</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80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0.79</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36</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Feng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101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 Met</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0.02</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37</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Drachsler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292</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-0.03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5</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38</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GPT-3.5</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 Met</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0.84</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39</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Mahapatra</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72</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2.19</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40</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Maes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181</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1.26</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6</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41</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Hong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99</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Beh, Cog, Met</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-0.05</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42</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50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0.26</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43</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2023</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77</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0.52</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1</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44</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Astiti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2023</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62</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RCT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NR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Beh,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0.20</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w:t>
            </w:r>
          </w:p>
        </w:tc>
      </w:tr>
      <w:tr>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45</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Fan et al.</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nil" w:color="FFFFFF" w:sz="0"/>
              <w:right w:val="nil" w:color="FFFFFF" w:sz="0"/>
            </w:tcBorders>
          </w:tcPr>
          <w:p>
            <w:pPr>
              <w:spacing w:before="30" w:after="30"/>
              <w:jc w:val="right"/>
            </w:pPr>
            <w:r>
              <w:rPr>
                <w:rFonts w:ascii="Times New Roman" w:cs="Times New Roman" w:eastAsia="Times New Roman" w:hAnsi="Times New Roman"/>
                <w:sz w:val="18"/>
                <w:szCs w:val="18"/>
              </w:rPr>
              <w:t xml:space="preserve">62</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nil" w:color="FFFFFF" w:sz="0"/>
              <w:right w:val="nil" w:color="FFFFFF" w:sz="0"/>
            </w:tcBorders>
          </w:tcPr>
          <w:p>
            <w:pPr>
              <w:spacing w:before="30" w:after="30"/>
            </w:pPr>
            <w:r>
              <w:rPr>
                <w:rFonts w:ascii="Times New Roman" w:cs="Times New Roman" w:eastAsia="Times New Roman" w:hAnsi="Times New Roman"/>
                <w:sz w:val="18"/>
                <w:szCs w:val="18"/>
              </w:rPr>
              <w:t xml:space="preserve">Aff, Cog</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0.13</w:t>
            </w:r>
          </w:p>
        </w:tc>
        <w:tc>
          <w:tcPr>
            <w:tcBorders>
              <w:top w:val="nil" w:color="FFFFFF" w:sz="0"/>
              <w:left w:val="nil" w:color="FFFFFF" w:sz="0"/>
              <w:bottom w:val="nil" w:color="FFFFFF" w:sz="0"/>
              <w:right w:val="nil" w:color="FFFFFF" w:sz="0"/>
            </w:tcBorders>
          </w:tcPr>
          <w:p>
            <w:pPr>
              <w:spacing w:before="30" w:after="30"/>
              <w:jc w:val="center"/>
            </w:pPr>
            <w:r>
              <w:rPr>
                <w:rFonts w:ascii="Times New Roman" w:cs="Times New Roman" w:eastAsia="Times New Roman" w:hAnsi="Times New Roman"/>
                <w:sz w:val="18"/>
                <w:szCs w:val="18"/>
              </w:rPr>
              <w:t xml:space="preserve">7</w:t>
            </w:r>
          </w:p>
        </w:tc>
      </w:tr>
      <w:tr>
        <w:tc>
          <w:tcPr>
            <w:tcBorders>
              <w:top w:val="nil" w:color="FFFFFF" w:sz="0"/>
              <w:left w:val="nil" w:color="FFFFFF" w:sz="0"/>
              <w:bottom w:val="single" w:color="000000" w:sz="12"/>
              <w:right w:val="nil" w:color="FFFFFF" w:sz="0"/>
            </w:tcBorders>
          </w:tcPr>
          <w:p>
            <w:pPr>
              <w:spacing w:before="30" w:after="30"/>
              <w:jc w:val="center"/>
            </w:pPr>
            <w:r>
              <w:rPr>
                <w:rFonts w:ascii="Times New Roman" w:cs="Times New Roman" w:eastAsia="Times New Roman" w:hAnsi="Times New Roman"/>
                <w:sz w:val="18"/>
                <w:szCs w:val="18"/>
              </w:rPr>
              <w:t xml:space="preserve">46</w:t>
            </w:r>
          </w:p>
        </w:tc>
        <w:tc>
          <w:tcPr>
            <w:tcBorders>
              <w:top w:val="nil" w:color="FFFFFF" w:sz="0"/>
              <w:left w:val="nil" w:color="FFFFFF" w:sz="0"/>
              <w:bottom w:val="single" w:color="000000" w:sz="12"/>
              <w:right w:val="nil" w:color="FFFFFF" w:sz="0"/>
            </w:tcBorders>
          </w:tcPr>
          <w:p>
            <w:pPr>
              <w:spacing w:before="30" w:after="30"/>
            </w:pPr>
            <w:r>
              <w:rPr>
                <w:rFonts w:ascii="Times New Roman" w:cs="Times New Roman" w:eastAsia="Times New Roman" w:hAnsi="Times New Roman"/>
                <w:sz w:val="18"/>
                <w:szCs w:val="18"/>
              </w:rPr>
              <w:t xml:space="preserve">Gasaymeh</w:t>
            </w:r>
          </w:p>
        </w:tc>
        <w:tc>
          <w:tcPr>
            <w:tcBorders>
              <w:top w:val="nil" w:color="FFFFFF" w:sz="0"/>
              <w:left w:val="nil" w:color="FFFFFF" w:sz="0"/>
              <w:bottom w:val="single" w:color="000000" w:sz="12"/>
              <w:right w:val="nil" w:color="FFFFFF" w:sz="0"/>
            </w:tcBorders>
          </w:tcPr>
          <w:p>
            <w:pPr>
              <w:spacing w:before="30" w:after="30"/>
              <w:jc w:val="center"/>
            </w:pPr>
            <w:r>
              <w:rPr>
                <w:rFonts w:ascii="Times New Roman" w:cs="Times New Roman" w:eastAsia="Times New Roman" w:hAnsi="Times New Roman"/>
                <w:sz w:val="18"/>
                <w:szCs w:val="18"/>
              </w:rPr>
              <w:t xml:space="preserve">2024</w:t>
            </w:r>
          </w:p>
        </w:tc>
        <w:tc>
          <w:tcPr>
            <w:tcBorders>
              <w:top w:val="nil" w:color="FFFFFF" w:sz="0"/>
              <w:left w:val="nil" w:color="FFFFFF" w:sz="0"/>
              <w:bottom w:val="single" w:color="000000" w:sz="12"/>
              <w:right w:val="nil" w:color="FFFFFF" w:sz="0"/>
            </w:tcBorders>
          </w:tcPr>
          <w:p>
            <w:pPr>
              <w:spacing w:before="30" w:after="30"/>
              <w:jc w:val="right"/>
            </w:pPr>
            <w:r>
              <w:rPr>
                <w:rFonts w:ascii="Times New Roman" w:cs="Times New Roman" w:eastAsia="Times New Roman" w:hAnsi="Times New Roman"/>
                <w:sz w:val="18"/>
                <w:szCs w:val="18"/>
              </w:rPr>
              <w:t xml:space="preserve">74</w:t>
            </w:r>
          </w:p>
        </w:tc>
        <w:tc>
          <w:tcPr>
            <w:tcBorders>
              <w:top w:val="nil" w:color="FFFFFF" w:sz="0"/>
              <w:left w:val="nil" w:color="FFFFFF" w:sz="0"/>
              <w:bottom w:val="single" w:color="000000" w:sz="12"/>
              <w:right w:val="nil" w:color="FFFFFF" w:sz="0"/>
            </w:tcBorders>
          </w:tcPr>
          <w:p>
            <w:pPr>
              <w:spacing w:before="30" w:after="30"/>
              <w:jc w:val="center"/>
            </w:pPr>
            <w:r>
              <w:rPr>
                <w:rFonts w:ascii="Times New Roman" w:cs="Times New Roman" w:eastAsia="Times New Roman" w:hAnsi="Times New Roman"/>
                <w:sz w:val="18"/>
                <w:szCs w:val="18"/>
              </w:rPr>
              <w:t xml:space="preserve">Other</w:t>
            </w:r>
          </w:p>
        </w:tc>
        <w:tc>
          <w:tcPr>
            <w:tcBorders>
              <w:top w:val="nil" w:color="FFFFFF" w:sz="0"/>
              <w:left w:val="nil" w:color="FFFFFF" w:sz="0"/>
              <w:bottom w:val="single" w:color="000000" w:sz="12"/>
              <w:right w:val="nil" w:color="FFFFFF" w:sz="0"/>
            </w:tcBorders>
          </w:tcPr>
          <w:p>
            <w:pPr>
              <w:spacing w:before="30" w:after="30"/>
            </w:pPr>
            <w:r>
              <w:rPr>
                <w:rFonts w:ascii="Times New Roman" w:cs="Times New Roman" w:eastAsia="Times New Roman" w:hAnsi="Times New Roman"/>
                <w:sz w:val="18"/>
                <w:szCs w:val="18"/>
              </w:rPr>
              <w:t xml:space="preserve">ChatGPT</w:t>
            </w:r>
          </w:p>
        </w:tc>
        <w:tc>
          <w:tcPr>
            <w:tcBorders>
              <w:top w:val="nil" w:color="FFFFFF" w:sz="0"/>
              <w:left w:val="nil" w:color="FFFFFF" w:sz="0"/>
              <w:bottom w:val="single" w:color="000000" w:sz="12"/>
              <w:right w:val="nil" w:color="FFFFFF" w:sz="0"/>
            </w:tcBorders>
          </w:tcPr>
          <w:p>
            <w:pPr>
              <w:spacing w:before="30" w:after="30"/>
            </w:pPr>
            <w:r>
              <w:rPr>
                <w:rFonts w:ascii="Times New Roman" w:cs="Times New Roman" w:eastAsia="Times New Roman" w:hAnsi="Times New Roman"/>
                <w:sz w:val="18"/>
                <w:szCs w:val="18"/>
              </w:rPr>
              <w:t xml:space="preserve">Cog</w:t>
            </w:r>
          </w:p>
        </w:tc>
        <w:tc>
          <w:tcPr>
            <w:tcBorders>
              <w:top w:val="nil" w:color="FFFFFF" w:sz="0"/>
              <w:left w:val="nil" w:color="FFFFFF" w:sz="0"/>
              <w:bottom w:val="single" w:color="000000" w:sz="12"/>
              <w:right w:val="nil" w:color="FFFFFF" w:sz="0"/>
            </w:tcBorders>
          </w:tcPr>
          <w:p>
            <w:pPr>
              <w:spacing w:before="30" w:after="30"/>
              <w:jc w:val="center"/>
            </w:pPr>
            <w:r>
              <w:rPr>
                <w:rFonts w:ascii="Times New Roman" w:cs="Times New Roman" w:eastAsia="Times New Roman" w:hAnsi="Times New Roman"/>
                <w:sz w:val="18"/>
                <w:szCs w:val="18"/>
              </w:rPr>
              <w:t xml:space="preserve">0.47</w:t>
            </w:r>
          </w:p>
        </w:tc>
        <w:tc>
          <w:tcPr>
            <w:tcBorders>
              <w:top w:val="nil" w:color="FFFFFF" w:sz="0"/>
              <w:left w:val="nil" w:color="FFFFFF" w:sz="0"/>
              <w:bottom w:val="single" w:color="000000" w:sz="12"/>
              <w:right w:val="nil" w:color="FFFFFF" w:sz="0"/>
            </w:tcBorders>
          </w:tcPr>
          <w:p>
            <w:pPr>
              <w:spacing w:before="30" w:after="30"/>
              <w:jc w:val="center"/>
            </w:pPr>
            <w:r>
              <w:rPr>
                <w:rFonts w:ascii="Times New Roman" w:cs="Times New Roman" w:eastAsia="Times New Roman" w:hAnsi="Times New Roman"/>
                <w:sz w:val="18"/>
                <w:szCs w:val="18"/>
              </w:rPr>
              <w:t xml:space="preserve">1</w:t>
            </w:r>
          </w:p>
        </w:tc>
      </w:tr>
    </w:tbl>
    <w:p>
      <w:pPr>
        <w:spacing w:line="360" w:before="120"/>
        <w:ind w:firstLine="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0"/>
          <w:szCs w:val="20"/>
        </w:rPr>
        <w:t xml:space="preserve">ID = study identifier; N = total sample size; Design: RCT = randomized controlled trial; GenAI Tool: NR = not reported; Outcomes: Aff = affective, Beh = behavioral, Cog = cognitive, Met = metacognitive; g = mean Hedges' g; k = number of effect sizes.</w:t>
      </w:r>
    </w:p>
    <w:p>
      <w:r>
        <w:br w:type="page"/>
      </w:r>
    </w:p>
    <w:p>
      <w:pPr>
        <w:spacing w:line="480"/>
        <w:jc w:val="center"/>
      </w:pPr>
      <w:r>
        <w:rPr>
          <w:rFonts w:ascii="Times New Roman" w:cs="Times New Roman" w:eastAsia="Times New Roman" w:hAnsi="Times New Roman"/>
          <w:b/>
          <w:bCs/>
          <w:sz w:val="24"/>
          <w:szCs w:val="24"/>
        </w:rPr>
        <w:t xml:space="preserve">Figure Captions</w:t>
      </w:r>
    </w:p>
    <w:p>
      <w:pPr>
        <w:spacing w:line="480" w:before="480"/>
      </w:pPr>
      <w:r>
        <w:rPr>
          <w:rFonts w:ascii="Times New Roman" w:cs="Times New Roman" w:eastAsia="Times New Roman" w:hAnsi="Times New Roman"/>
          <w:b/>
          <w:bCs/>
          <w:sz w:val="24"/>
          <w:szCs w:val="24"/>
        </w:rPr>
        <w:t xml:space="preserve">Figure 1</w:t>
      </w:r>
    </w:p>
    <w:p>
      <w:pPr>
        <w:spacing w:line="480"/>
        <w:ind w:firstLine="0"/>
      </w:pPr>
      <w:r>
        <w:rPr>
          <w:rFonts w:ascii="Times New Roman" w:cs="Times New Roman" w:eastAsia="Times New Roman" w:hAnsi="Times New Roman"/>
          <w:i/>
          <w:iCs/>
          <w:sz w:val="24"/>
          <w:szCs w:val="24"/>
        </w:rPr>
        <w:t xml:space="preserve">PRISMA 2020 Flow Diagram for Study Selection. </w:t>
      </w:r>
      <w:r>
        <w:rPr>
          <w:rFonts w:ascii="Times New Roman" w:cs="Times New Roman" w:eastAsia="Times New Roman" w:hAnsi="Times New Roman"/>
          <w:sz w:val="24"/>
          <w:szCs w:val="24"/>
        </w:rPr>
        <w:t xml:space="preserve">Records were identified from seven databases: Semantic Scholar, OpenAlex, arXiv, ERIC, PsycINFO, Education Source, and ProQuest Dissertations. Additional records were identified through citation searching.</w:t>
      </w:r>
    </w:p>
    <w:p>
      <w:pPr>
        <w:spacing w:line="480" w:before="480"/>
      </w:pPr>
      <w:r>
        <w:rPr>
          <w:rFonts w:ascii="Times New Roman" w:cs="Times New Roman" w:eastAsia="Times New Roman" w:hAnsi="Times New Roman"/>
          <w:b/>
          <w:bCs/>
          <w:sz w:val="24"/>
          <w:szCs w:val="24"/>
        </w:rPr>
        <w:t xml:space="preserve">Figure 2</w:t>
      </w:r>
    </w:p>
    <w:p>
      <w:pPr>
        <w:spacing w:line="480"/>
        <w:ind w:firstLine="0"/>
      </w:pPr>
      <w:r>
        <w:rPr>
          <w:rFonts w:ascii="Times New Roman" w:cs="Times New Roman" w:eastAsia="Times New Roman" w:hAnsi="Times New Roman"/>
          <w:i/>
          <w:iCs/>
          <w:sz w:val="24"/>
          <w:szCs w:val="24"/>
        </w:rPr>
        <w:t xml:space="preserve">Forest Plot of Study-Level Effect Sizes With 95% Confidence Intervals. </w:t>
      </w:r>
      <w:r>
        <w:rPr>
          <w:rFonts w:ascii="Times New Roman" w:cs="Times New Roman" w:eastAsia="Times New Roman" w:hAnsi="Times New Roman"/>
          <w:sz w:val="24"/>
          <w:szCs w:val="24"/>
        </w:rPr>
        <w:t xml:space="preserve">Effects are aggregated to the study level for display. The diamond represents the pooled effect estimate (g = 0.525) with 95% CI. Studies are ordered by effect size magnitude.</w:t>
      </w:r>
    </w:p>
    <w:p>
      <w:pPr>
        <w:spacing w:line="480" w:before="480"/>
      </w:pPr>
      <w:r>
        <w:rPr>
          <w:rFonts w:ascii="Times New Roman" w:cs="Times New Roman" w:eastAsia="Times New Roman" w:hAnsi="Times New Roman"/>
          <w:b/>
          <w:bCs/>
          <w:sz w:val="24"/>
          <w:szCs w:val="24"/>
        </w:rPr>
        <w:t xml:space="preserve">Figure 3</w:t>
      </w:r>
    </w:p>
    <w:p>
      <w:pPr>
        <w:spacing w:line="480"/>
        <w:ind w:firstLine="0"/>
      </w:pPr>
      <w:r>
        <w:rPr>
          <w:rFonts w:ascii="Times New Roman" w:cs="Times New Roman" w:eastAsia="Times New Roman" w:hAnsi="Times New Roman"/>
          <w:i/>
          <w:iCs/>
          <w:sz w:val="24"/>
          <w:szCs w:val="24"/>
        </w:rPr>
        <w:t xml:space="preserve">Effect Sizes by Outcome Dimension With 95% Confidence Intervals. </w:t>
      </w:r>
      <w:r>
        <w:rPr>
          <w:rFonts w:ascii="Times New Roman" w:cs="Times New Roman" w:eastAsia="Times New Roman" w:hAnsi="Times New Roman"/>
          <w:sz w:val="24"/>
          <w:szCs w:val="24"/>
        </w:rPr>
        <w:t xml:space="preserve">Error bars represent 95% confidence intervals. The dashed vertical line indicates the overall pooled effect (g = 0.525). Metacognitive outcomes show notably smaller, non-significant effects compared to other dimensions.</w:t>
      </w:r>
    </w:p>
    <w:p>
      <w:pPr>
        <w:spacing w:line="480" w:before="480"/>
      </w:pPr>
      <w:r>
        <w:rPr>
          <w:rFonts w:ascii="Times New Roman" w:cs="Times New Roman" w:eastAsia="Times New Roman" w:hAnsi="Times New Roman"/>
          <w:b/>
          <w:bCs/>
          <w:sz w:val="24"/>
          <w:szCs w:val="24"/>
        </w:rPr>
        <w:t xml:space="preserve">Figure 4</w:t>
      </w:r>
    </w:p>
    <w:p>
      <w:pPr>
        <w:spacing w:line="480"/>
        <w:ind w:firstLine="0"/>
      </w:pPr>
      <w:r>
        <w:rPr>
          <w:rFonts w:ascii="Times New Roman" w:cs="Times New Roman" w:eastAsia="Times New Roman" w:hAnsi="Times New Roman"/>
          <w:i/>
          <w:iCs/>
          <w:sz w:val="24"/>
          <w:szCs w:val="24"/>
        </w:rPr>
        <w:t xml:space="preserve">Funnel Plot for Publication Bias Assessment. </w:t>
      </w:r>
      <w:r>
        <w:rPr>
          <w:rFonts w:ascii="Times New Roman" w:cs="Times New Roman" w:eastAsia="Times New Roman" w:hAnsi="Times New Roman"/>
          <w:sz w:val="24"/>
          <w:szCs w:val="24"/>
        </w:rPr>
        <w:t xml:space="preserve">The vertical line represents the pooled effect estimate. The dashed lines indicate the pseudo 95% confidence interval. Slight asymmetry is visible but Egger's test and trim-and-fill analysis suggest minimal publication bias.</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GENAI EFFECTIVENESS IN HIGHER EDUCATION</w:t>
    </w:r>
    <w: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0" w:line="480"/>
      <w:jc w:val="center"/>
    </w:pPr>
    <w:rPr>
      <w:rFonts w:ascii="Times New Roman" w:cs="Times New Roman" w:eastAsia="Times New Roman" w:hAnsi="Times New Roman"/>
      <w:b/>
      <w:bCs/>
      <w:sz w:val="24"/>
      <w:szCs w:val="24"/>
    </w:rPr>
  </w:style>
  <w:style w:type="paragraph" w:styleId="Heading1">
    <w:name w:val="Heading 1"/>
    <w:basedOn w:val="Normal"/>
    <w:next w:val="Normal"/>
    <w:qFormat/>
    <w:pPr>
      <w:spacing w:before="480" w:after="240" w:lin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480" w:after="240" w:line="480"/>
      <w:jc w:val="left"/>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480" w:after="240" w:line="480"/>
      <w:jc w:val="left"/>
      <w:outlineLvl w:val="2"/>
    </w:pPr>
    <w:rPr>
      <w:rFonts w:ascii="Times New Roman" w:cs="Times New Roman" w:eastAsia="Times New Roman" w:hAnsi="Times New Roman"/>
      <w:b/>
      <w:bCs/>
      <w:i/>
      <w:iCs/>
      <w:sz w:val="24"/>
      <w:szCs w:val="24"/>
    </w:rPr>
  </w:style>
  <w:style w:type="paragraph" w:styleId="Normal">
    <w:name w:val="Normal"/>
    <w:pPr>
      <w:spacing w:line="480"/>
      <w:ind w:firstLine="7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2026-01-05T17:20:05.478Z</dcterms:created>
  <dcterms:modified xsi:type="dcterms:W3CDTF">2026-01-05T17:20:05.479Z</dcterms:modified>
</cp:coreProperties>
</file>

<file path=docProps/custom.xml><?xml version="1.0" encoding="utf-8"?>
<Properties xmlns="http://schemas.openxmlformats.org/officeDocument/2006/custom-properties" xmlns:vt="http://schemas.openxmlformats.org/officeDocument/2006/docPropsVTypes"/>
</file>