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iverga의-bjet-제출용-이론-프레임워크-1페이지-초안"/>
    <w:p>
      <w:pPr>
        <w:pStyle w:val="Heading1"/>
      </w:pPr>
      <w:r>
        <w:t xml:space="preserve">Diverga의 BJET 제출용 이론 프레임워크 1페이지 초안</w:t>
      </w:r>
    </w:p>
    <w:bookmarkStart w:id="9" w:name="핵심-주장"/>
    <w:p>
      <w:pPr>
        <w:pStyle w:val="Heading2"/>
      </w:pPr>
      <w:r>
        <w:t xml:space="preserve">1. 핵심 주장</w:t>
      </w:r>
    </w:p>
    <w:p>
      <w:pPr>
        <w:pStyle w:val="FirstParagraph"/>
      </w:pPr>
      <w:r>
        <w:t xml:space="preserve">Diverga는</w:t>
      </w:r>
      <w:r>
        <w:t xml:space="preserve"> </w:t>
      </w:r>
      <w:r>
        <w:t xml:space="preserve">“사람처럼 말하는 AI”</w:t>
      </w:r>
      <w:r>
        <w:t xml:space="preserve">가 아니라, 학습자가 서로 다른 관점과 근거를 탐색하고 비교하며 스스로 판단하게 만드는</w:t>
      </w:r>
      <w:r>
        <w:t xml:space="preserve"> </w:t>
      </w:r>
      <w:r>
        <w:rPr>
          <w:b/>
          <w:bCs/>
        </w:rPr>
        <w:t xml:space="preserve">human-mediated epistemic tool</w:t>
      </w:r>
      <w:r>
        <w:t xml:space="preserve">로 설계되어야 한다. BJET용 핵심 주장은 다음과 같다.</w:t>
      </w:r>
    </w:p>
    <w:p>
      <w:pPr>
        <w:pStyle w:val="BlockText"/>
      </w:pPr>
      <w:r>
        <w:t xml:space="preserve">학습에서 생성형 AI의 교육적 가치는 자동화 그 자체가 아니라, 인간이 개입하여 관점의 다양성, 대화적 성찰, 판단의 책임을 구조화할 때 강화된다.</w:t>
      </w:r>
    </w:p>
    <w:bookmarkEnd w:id="9"/>
    <w:bookmarkStart w:id="10" w:name="코어-이론-앵커"/>
    <w:p>
      <w:pPr>
        <w:pStyle w:val="Heading2"/>
      </w:pPr>
      <w:r>
        <w:t xml:space="preserve">2. 코어 이론 앵커</w:t>
      </w:r>
    </w:p>
    <w:p>
      <w:pPr>
        <w:pStyle w:val="FirstParagraph"/>
      </w:pPr>
      <w:r>
        <w:t xml:space="preserve">이 프레임워크는 많은 이론을 병렬로 얹지 않고, 아래 세 층으로 고정한다.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BJET에서의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설명 이론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Dialogic pedagogy</w:t>
            </w:r>
          </w:p>
        </w:tc>
        <w:tc>
          <w:tcPr/>
          <w:p>
            <w:pPr>
              <w:pStyle w:val="Compact"/>
            </w:pPr>
            <w:r>
              <w:t xml:space="preserve">학습을 정답 전달이 아니라 관점 간 대화, 긴장, 응답성의 과정으로 본다.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학습 메커니즘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Epistemic agency</w:t>
            </w:r>
          </w:p>
        </w:tc>
        <w:tc>
          <w:tcPr/>
          <w:p>
            <w:pPr>
              <w:pStyle w:val="Compact"/>
            </w:pPr>
            <w:r>
              <w:t xml:space="preserve">학습자가 AI의 출력을 수동 소비하지 않고 선택, 비교, 반박, 재구성한다.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설계 가치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mediation / value-sensitive design</w:t>
            </w:r>
          </w:p>
        </w:tc>
        <w:tc>
          <w:tcPr/>
          <w:p>
            <w:pPr>
              <w:pStyle w:val="Compact"/>
            </w:pPr>
            <w:r>
              <w:t xml:space="preserve">어떤 관점을 제시할지, 어떤 근거를 드러낼지, 무엇을 보류할지에 인간의 책임 있는 개입을 남긴다.</w:t>
            </w:r>
          </w:p>
        </w:tc>
      </w:tr>
    </w:tbl>
    <w:bookmarkEnd w:id="10"/>
    <w:bookmarkStart w:id="11" w:name="개념-구조도"/>
    <w:p>
      <w:pPr>
        <w:pStyle w:val="Heading2"/>
      </w:pPr>
      <w:r>
        <w:t xml:space="preserve">3. 개념 구조도</w:t>
      </w:r>
    </w:p>
    <w:p>
      <w:pPr>
        <w:pStyle w:val="SourceCode"/>
      </w:pPr>
      <w:r>
        <w:rPr>
          <w:rStyle w:val="VerbatimChar"/>
        </w:rPr>
        <w:t xml:space="preserve">Human mediation</w:t>
      </w:r>
      <w:r>
        <w:br/>
      </w:r>
      <w:r>
        <w:rPr>
          <w:rStyle w:val="VerbatimChar"/>
        </w:rPr>
        <w:t xml:space="preserve">  -&gt; 관점 선택과 편집의 가시화</w:t>
      </w:r>
      <w:r>
        <w:br/>
      </w:r>
      <w:r>
        <w:rPr>
          <w:rStyle w:val="VerbatimChar"/>
        </w:rPr>
        <w:t xml:space="preserve">  -&gt; 근거와 출처의 명시</w:t>
      </w:r>
      <w:r>
        <w:br/>
      </w:r>
      <w:r>
        <w:rPr>
          <w:rStyle w:val="VerbatimChar"/>
        </w:rPr>
        <w:t xml:space="preserve">  -&gt; 반론 가능성(contestability)의 제공</w:t>
      </w:r>
      <w:r>
        <w:br/>
      </w:r>
      <w:r>
        <w:br/>
      </w:r>
      <w:r>
        <w:rPr>
          <w:rStyle w:val="VerbatimChar"/>
        </w:rPr>
        <w:t xml:space="preserve">  =&gt; Dialogic divergence</w:t>
      </w:r>
      <w:r>
        <w:br/>
      </w:r>
      <w:r>
        <w:rPr>
          <w:rStyle w:val="VerbatimChar"/>
        </w:rPr>
        <w:t xml:space="preserve">     서로 다른 관점, 프레임, 가치, 근거를 병치</w:t>
      </w:r>
      <w:r>
        <w:br/>
      </w:r>
      <w:r>
        <w:br/>
      </w:r>
      <w:r>
        <w:rPr>
          <w:rStyle w:val="VerbatimChar"/>
        </w:rPr>
        <w:t xml:space="preserve">  =&gt; Epistemic agency</w:t>
      </w:r>
      <w:r>
        <w:br/>
      </w:r>
      <w:r>
        <w:rPr>
          <w:rStyle w:val="VerbatimChar"/>
        </w:rPr>
        <w:t xml:space="preserve">     학습자의 비교, 반박, 통합, 재판단</w:t>
      </w:r>
      <w:r>
        <w:br/>
      </w:r>
      <w:r>
        <w:br/>
      </w:r>
      <w:r>
        <w:rPr>
          <w:rStyle w:val="VerbatimChar"/>
        </w:rPr>
        <w:t xml:space="preserve">  =&gt; Educational outcomes</w:t>
      </w:r>
      <w:r>
        <w:br/>
      </w:r>
      <w:r>
        <w:rPr>
          <w:rStyle w:val="VerbatimChar"/>
        </w:rPr>
        <w:t xml:space="preserve">     더 깊은 성찰, 더 나은 판단 정당화, 과도한 AI 의존 감소</w:t>
      </w:r>
    </w:p>
    <w:bookmarkEnd w:id="11"/>
    <w:bookmarkStart w:id="12" w:name="왜-bjet에-맞는가"/>
    <w:p>
      <w:pPr>
        <w:pStyle w:val="Heading2"/>
      </w:pPr>
      <w:r>
        <w:t xml:space="preserve">4. 왜 BJET에 맞는가</w:t>
      </w:r>
    </w:p>
    <w:p>
      <w:pPr>
        <w:pStyle w:val="Compact"/>
        <w:numPr>
          <w:ilvl w:val="0"/>
          <w:numId w:val="1001"/>
        </w:numPr>
      </w:pPr>
      <w:r>
        <w:t xml:space="preserve">BJET는 교육기술이 실제로</w:t>
      </w:r>
      <w:r>
        <w:t xml:space="preserve"> </w:t>
      </w:r>
      <w:r>
        <w:rPr>
          <w:b/>
          <w:bCs/>
        </w:rPr>
        <w:t xml:space="preserve">어떻게 학습을 개선하는지</w:t>
      </w:r>
      <w:r>
        <w:t xml:space="preserve">를 이론적, 방법론적, 경험적으로 보여주는 논문을 선호한다.</w:t>
      </w:r>
    </w:p>
    <w:p>
      <w:pPr>
        <w:pStyle w:val="Compact"/>
        <w:numPr>
          <w:ilvl w:val="0"/>
          <w:numId w:val="1001"/>
        </w:numPr>
      </w:pPr>
      <w:r>
        <w:t xml:space="preserve">따라서 Diverga의 기여는</w:t>
      </w:r>
      <w:r>
        <w:t xml:space="preserve"> </w:t>
      </w:r>
      <w:r>
        <w:t xml:space="preserve">“새로운 AI 기능”</w:t>
      </w:r>
      <w:r>
        <w:t xml:space="preserve">보다</w:t>
      </w:r>
      <w:r>
        <w:t xml:space="preserve"> </w:t>
      </w:r>
      <w:r>
        <w:rPr>
          <w:b/>
          <w:bCs/>
        </w:rPr>
        <w:t xml:space="preserve">인간 매개를 통해 학습의 질을 어떻게 재설계하는가</w:t>
      </w:r>
      <w:r>
        <w:t xml:space="preserve">에 있어야 한다.</w:t>
      </w:r>
    </w:p>
    <w:p>
      <w:pPr>
        <w:pStyle w:val="Compact"/>
        <w:numPr>
          <w:ilvl w:val="0"/>
          <w:numId w:val="1001"/>
        </w:numPr>
      </w:pPr>
      <w:r>
        <w:t xml:space="preserve">이때 AI의 인간 유사성보다는,</w:t>
      </w:r>
      <w:r>
        <w:t xml:space="preserve"> </w:t>
      </w:r>
      <w:r>
        <w:rPr>
          <w:b/>
          <w:bCs/>
        </w:rPr>
        <w:t xml:space="preserve">대화적 학습을 촉진하는 교육 설계 원리</w:t>
      </w:r>
      <w:r>
        <w:t xml:space="preserve">가 더 중요하다.</w:t>
      </w:r>
    </w:p>
    <w:bookmarkEnd w:id="12"/>
    <w:bookmarkStart w:id="13" w:name="이-프레임워크가-요구하는-연구-질문"/>
    <w:p>
      <w:pPr>
        <w:pStyle w:val="Heading2"/>
      </w:pPr>
      <w:r>
        <w:t xml:space="preserve">5. 이 프레임워크가 요구하는 연구 질문</w:t>
      </w:r>
    </w:p>
    <w:p>
      <w:pPr>
        <w:pStyle w:val="Compact"/>
        <w:numPr>
          <w:ilvl w:val="0"/>
          <w:numId w:val="1002"/>
        </w:numPr>
      </w:pPr>
      <w:r>
        <w:t xml:space="preserve">인간이 매개한 divergence 설계는 학습자의 epistemic agency를 어떻게 촉진하는가?</w:t>
      </w:r>
    </w:p>
    <w:p>
      <w:pPr>
        <w:pStyle w:val="Compact"/>
        <w:numPr>
          <w:ilvl w:val="0"/>
          <w:numId w:val="1002"/>
        </w:numPr>
      </w:pPr>
      <w:r>
        <w:t xml:space="preserve">학습자는 서로 다른 AI-제안 관점과 인간 편집 흔적을 어떻게 해석하고 활용하는가?</w:t>
      </w:r>
    </w:p>
    <w:p>
      <w:pPr>
        <w:pStyle w:val="Compact"/>
        <w:numPr>
          <w:ilvl w:val="0"/>
          <w:numId w:val="1002"/>
        </w:numPr>
      </w:pPr>
      <w:r>
        <w:t xml:space="preserve">이런 설계는 학습자의 성찰적 판단, 근거 기반 토론, AI 의존 방식에 어떤 변화를 만드는가?</w:t>
      </w:r>
    </w:p>
    <w:bookmarkEnd w:id="13"/>
    <w:bookmarkStart w:id="14" w:name="bjet용-권장-방법"/>
    <w:p>
      <w:pPr>
        <w:pStyle w:val="Heading2"/>
      </w:pPr>
      <w:r>
        <w:t xml:space="preserve">6. BJET용 권장 방법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1단계: 질적 탐색</w:t>
      </w:r>
      <w:r>
        <w:t xml:space="preserve"> </w:t>
      </w:r>
      <w:r>
        <w:t xml:space="preserve">포커스 그룹, 전문가 패널, 교사 인터뷰로</w:t>
      </w:r>
      <w:r>
        <w:t xml:space="preserve"> </w:t>
      </w:r>
      <w:r>
        <w:t xml:space="preserve">“어떤 종류의 관점 다양성”</w:t>
      </w:r>
      <w:r>
        <w:t xml:space="preserve">과</w:t>
      </w:r>
      <w:r>
        <w:t xml:space="preserve"> </w:t>
      </w:r>
      <w:r>
        <w:t xml:space="preserve">“어떤 인간 개입”</w:t>
      </w:r>
      <w:r>
        <w:t xml:space="preserve">이 교육적으로 의미 있는지 도출한다.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2단계: 설계기반연구(DBR)</w:t>
      </w:r>
      <w:r>
        <w:t xml:space="preserve"> </w:t>
      </w:r>
      <w:r>
        <w:t xml:space="preserve">초기 프로토타입을 반복 개선하며 설계 원리와 사용 맥락을 정교화한다.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3단계: 경험적 검토</w:t>
      </w:r>
      <w:r>
        <w:t xml:space="preserve"> </w:t>
      </w:r>
      <w:r>
        <w:t xml:space="preserve">학습자 로그, 토론 산출물, 인터뷰, 자기보고를 결합해 agency와 성찰이 어떻게 나타나는지 분석한다.</w:t>
      </w:r>
    </w:p>
    <w:bookmarkEnd w:id="14"/>
    <w:bookmarkStart w:id="15" w:name="반드시-피해야-할-것"/>
    <w:p>
      <w:pPr>
        <w:pStyle w:val="Heading2"/>
      </w:pPr>
      <w:r>
        <w:t xml:space="preserve">7. 반드시 피해야 할 것</w:t>
      </w:r>
    </w:p>
    <w:p>
      <w:pPr>
        <w:pStyle w:val="Compact"/>
        <w:numPr>
          <w:ilvl w:val="0"/>
          <w:numId w:val="1004"/>
        </w:numPr>
      </w:pPr>
      <w:r>
        <w:t xml:space="preserve">agency, trust, engagement, anthropomorphism, diversity를 한 논문에 모두 넣는 것</w:t>
      </w:r>
    </w:p>
    <w:p>
      <w:pPr>
        <w:pStyle w:val="Compact"/>
        <w:numPr>
          <w:ilvl w:val="0"/>
          <w:numId w:val="1004"/>
        </w:numPr>
      </w:pPr>
      <w:r>
        <w:t xml:space="preserve">검증되지 않은 새 척도를 여러 개 동시에 만드는 것</w:t>
      </w:r>
    </w:p>
    <w:p>
      <w:pPr>
        <w:pStyle w:val="Compact"/>
        <w:numPr>
          <w:ilvl w:val="0"/>
          <w:numId w:val="1004"/>
        </w:numPr>
      </w:pPr>
      <w:r>
        <w:t xml:space="preserve">AI가</w:t>
      </w:r>
      <w:r>
        <w:t xml:space="preserve"> </w:t>
      </w:r>
      <w:r>
        <w:t xml:space="preserve">“사람 같아 보이는가”</w:t>
      </w:r>
      <w:r>
        <w:t xml:space="preserve">를 인간 개입의 증거로 착각하는 것</w:t>
      </w:r>
    </w:p>
    <w:p>
      <w:pPr>
        <w:pStyle w:val="Compact"/>
        <w:numPr>
          <w:ilvl w:val="0"/>
          <w:numId w:val="1004"/>
        </w:numPr>
      </w:pPr>
      <w:r>
        <w:t xml:space="preserve">교육적 기여보다 시스템 기능 설명이 앞서는 것</w:t>
      </w:r>
    </w:p>
    <w:bookmarkEnd w:id="15"/>
    <w:bookmarkStart w:id="16" w:name="한-문장으로-요약"/>
    <w:p>
      <w:pPr>
        <w:pStyle w:val="Heading2"/>
      </w:pPr>
      <w:r>
        <w:t xml:space="preserve">8. 한 문장으로 요약</w:t>
      </w:r>
    </w:p>
    <w:p>
      <w:pPr>
        <w:pStyle w:val="FirstParagraph"/>
      </w:pPr>
      <w:r>
        <w:t xml:space="preserve">BJET용 Diverga는</w:t>
      </w:r>
      <w:r>
        <w:t xml:space="preserve"> </w:t>
      </w:r>
      <w:r>
        <w:rPr>
          <w:b/>
          <w:bCs/>
        </w:rPr>
        <w:t xml:space="preserve">AI의 답변 품질</w:t>
      </w:r>
      <w:r>
        <w:t xml:space="preserve">을 증명하는 논문이 아니라,</w:t>
      </w:r>
      <w:r>
        <w:t xml:space="preserve"> </w:t>
      </w:r>
      <w:r>
        <w:rPr>
          <w:b/>
          <w:bCs/>
        </w:rPr>
        <w:t xml:space="preserve">인간이 매개한 다원적 대화 구조가 학습자의 epistemic agency를 어떻게 강화하는지</w:t>
      </w:r>
      <w:r>
        <w:t xml:space="preserve">를 보여주는 논문이어야 한다.</w:t>
      </w:r>
    </w:p>
    <w:bookmarkEnd w:id="16"/>
    <w:bookmarkStart w:id="17" w:name="참고-이론-앵커"/>
    <w:p>
      <w:pPr>
        <w:pStyle w:val="Heading2"/>
      </w:pPr>
      <w:r>
        <w:t xml:space="preserve">참고 이론 앵커</w:t>
      </w:r>
    </w:p>
    <w:p>
      <w:pPr>
        <w:pStyle w:val="Compact"/>
        <w:numPr>
          <w:ilvl w:val="0"/>
          <w:numId w:val="1005"/>
        </w:numPr>
      </w:pPr>
      <w:r>
        <w:t xml:space="preserve">Wegerif &amp; Casebourne, 2025, dialogic foundation for GenAI in pedagogy</w:t>
      </w:r>
    </w:p>
    <w:p>
      <w:pPr>
        <w:pStyle w:val="Compact"/>
        <w:numPr>
          <w:ilvl w:val="0"/>
          <w:numId w:val="1005"/>
        </w:numPr>
      </w:pPr>
      <w:r>
        <w:t xml:space="preserve">Turvey &amp; Pachler, 2025, human-mediated and algorithmically mediated pedagogy</w:t>
      </w:r>
    </w:p>
    <w:p>
      <w:pPr>
        <w:pStyle w:val="Compact"/>
        <w:numPr>
          <w:ilvl w:val="0"/>
          <w:numId w:val="1005"/>
        </w:numPr>
      </w:pPr>
      <w:r>
        <w:t xml:space="preserve">Prieto et al., 2025, value-sensitive design and educational technologies</w:t>
      </w:r>
    </w:p>
    <w:p>
      <w:pPr>
        <w:pStyle w:val="Compact"/>
        <w:numPr>
          <w:ilvl w:val="0"/>
          <w:numId w:val="1005"/>
        </w:numPr>
      </w:pPr>
      <w:r>
        <w:t xml:space="preserve">Xu et al., 2025, metacognitive support in generative AI learning environments</w:t>
      </w:r>
    </w:p>
    <w:p>
      <w:pPr>
        <w:pStyle w:val="Compact"/>
        <w:numPr>
          <w:ilvl w:val="0"/>
          <w:numId w:val="1005"/>
        </w:numPr>
      </w:pPr>
      <w:r>
        <w:t xml:space="preserve">Xing et al., 2026, student agency and AI authority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2026-04-15T18:34:45Z</dcterms:created>
  <dcterms:modified xsi:type="dcterms:W3CDTF">2026-04-15T18:34:45Z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