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i w:val="0"/>
          <w:color w:val="000000"/>
          <w:sz w:val="24"/>
        </w:rPr>
        <w:t>Behavioral Evidence for Trust Calibration Trajectory Theory: A Model-Based Clustering Analysis of AI Reliance Patterns in a Large-Scale Educational Platform</w:t>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val="0"/>
          <w:i w:val="0"/>
          <w:color w:val="000000"/>
          <w:sz w:val="24"/>
        </w:rPr>
        <w:t>Hosung You</w:t>
      </w:r>
    </w:p>
    <w:p>
      <w:pPr>
        <w:spacing w:line="480" w:lineRule="auto" w:before="0" w:after="0"/>
        <w:jc w:val="center"/>
      </w:pPr>
      <w:r>
        <w:rPr>
          <w:rFonts w:ascii="Times New Roman" w:hAnsi="Times New Roman"/>
          <w:b w:val="0"/>
          <w:i w:val="0"/>
          <w:color w:val="000000"/>
          <w:sz w:val="24"/>
        </w:rPr>
        <w:t>College of Education, Pennsylvania State University</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val="0"/>
          <w:i w:val="0"/>
          <w:color w:val="000000"/>
          <w:sz w:val="24"/>
        </w:rPr>
      </w:r>
    </w:p>
    <w:p>
      <w:pPr>
        <w:spacing w:line="480" w:lineRule="auto" w:before="0" w:after="0"/>
        <w:jc w:val="center"/>
      </w:pPr>
      <w:r>
        <w:rPr>
          <w:rFonts w:ascii="Times New Roman" w:hAnsi="Times New Roman"/>
          <w:b/>
          <w:i w:val="0"/>
          <w:color w:val="000000"/>
          <w:sz w:val="24"/>
        </w:rPr>
        <w:t>Author Note</w:t>
      </w:r>
    </w:p>
    <w:p>
      <w:pPr>
        <w:spacing w:line="480" w:lineRule="auto" w:before="0" w:after="0"/>
        <w:ind w:firstLine="720"/>
        <w:jc w:val="left"/>
      </w:pPr>
      <w:r>
        <w:rPr>
          <w:rFonts w:ascii="Times New Roman" w:hAnsi="Times New Roman"/>
          <w:b w:val="0"/>
          <w:i w:val="0"/>
          <w:color w:val="000000"/>
          <w:sz w:val="24"/>
        </w:rPr>
        <w:t>Hosung You https://orcid.org/[ORCID TBD], College of Education, Pennsylvania State University. Correspondence concerning this article should be addressed to Hosung You, College of Education, Pennsylvania State University, University Park, PA 16802. Email: [EMAIL TBD]</w:t>
      </w:r>
    </w:p>
    <w:p>
      <w:r>
        <w:br w:type="page"/>
      </w:r>
    </w:p>
    <w:p>
      <w:pPr>
        <w:spacing w:line="480" w:lineRule="auto" w:before="0" w:after="0"/>
        <w:jc w:val="center"/>
      </w:pPr>
      <w:r>
        <w:rPr>
          <w:rFonts w:ascii="Times New Roman" w:hAnsi="Times New Roman"/>
          <w:b/>
          <w:i w:val="0"/>
          <w:color w:val="000000"/>
          <w:sz w:val="24"/>
        </w:rPr>
        <w:t>Abstract</w:t>
      </w:r>
    </w:p>
    <w:p>
      <w:pPr>
        <w:spacing w:line="480" w:lineRule="auto" w:before="0" w:after="0"/>
        <w:jc w:val="left"/>
      </w:pPr>
      <w:r>
        <w:rPr>
          <w:rFonts w:ascii="Times New Roman" w:hAnsi="Times New Roman"/>
          <w:b w:val="0"/>
          <w:i w:val="0"/>
          <w:color w:val="000000"/>
          <w:sz w:val="24"/>
        </w:rPr>
        <w:t>As artificial intelligence (AI) becomes increasingly embedded in educational systems, understanding how learners calibrate their reliance on AI recommendations remains a critical yet understudied phenomenon. This study investigates longitudinal patterns of AI reliance calibration among learners using a large-scale AI tutoring platform, testing whether theoretically predicted trajectory patterns are observable in behavioral data. Drawing on trust-in-automation theory (Lee &amp; See, 2004) and the concept of appropriate reliance (Schemmer et al., 2023), we operationalize reliance calibration as the evolving alignment between behavioral AI reliance and task performance over time. Using data from 4,568 students in the EdNet KT3 dataset (Choi et al., 2020), we employed two complementary analytical approaches: model-based clustering (MBC) via Gaussian mixture modeling to identify distinct trajectory classes across 10 temporal windows spanning each learner's usage history, and latent class growth analysis (LCGA) to model calibration gap growth curves in a subsample of 3,204 students. The MBC analysis identified six trajectory classes: Gradual Adopters (29.9%), Steady Calibrators (34.6%), Strong Calibrators (18.8%), High Performers with Low Reliance (9.9%), Heavy Adopters (5.3%), and Early Heavy Users (1.5%). The LCGA independently identified four trajectory classes that converged with the MBC findings on the dominance of under-reliance and the existence of convergent and stagnant calibration patterns. Notably, both methods identified a previously untheorized fifth trajectory pattern termed AI Benefit Emergence (ABE), in which AI effectiveness improved but learner reliance lagged behind. Multinomial logistic regression revealed that early explanation-seeking behavior was the strongest predictor of trajectory class membership (|coefficient| = 1.00), achieving 49.4% classification accuracy (approximately three times chance level). These findings provide the first large-scale behavioral evidence for trust calibration trajectory theory, demonstrate the value of methodological triangulation in trajectory research, and extend the theoretical framework with the discovery of the ABE pattern.</w:t>
      </w:r>
    </w:p>
    <w:p>
      <w:pPr>
        <w:spacing w:line="480" w:lineRule="auto" w:before="0" w:after="0"/>
        <w:ind w:firstLine="720"/>
      </w:pPr>
      <w:r>
        <w:rPr>
          <w:rFonts w:ascii="Times New Roman" w:hAnsi="Times New Roman"/>
          <w:b w:val="0"/>
          <w:i/>
          <w:color w:val="000000"/>
          <w:sz w:val="24"/>
        </w:rPr>
        <w:t xml:space="preserve">Keywords: </w:t>
      </w:r>
      <w:r>
        <w:rPr>
          <w:rFonts w:ascii="Times New Roman" w:hAnsi="Times New Roman"/>
          <w:b w:val="0"/>
          <w:i w:val="0"/>
          <w:color w:val="000000"/>
          <w:sz w:val="24"/>
        </w:rPr>
        <w:t>reliance calibration, trust in AI, AI tutoring systems, model-based clustering, latent class growth analysis, learner trajectories, appropriate reliance, educational technology</w:t>
      </w:r>
    </w:p>
    <w:p>
      <w:r>
        <w:br w:type="page"/>
      </w:r>
    </w:p>
    <w:p>
      <w:pPr>
        <w:spacing w:line="480" w:lineRule="auto" w:before="0" w:after="0"/>
        <w:jc w:val="center"/>
      </w:pPr>
      <w:r>
        <w:rPr>
          <w:rFonts w:ascii="Times New Roman" w:hAnsi="Times New Roman"/>
          <w:b/>
          <w:i w:val="0"/>
          <w:color w:val="000000"/>
          <w:sz w:val="24"/>
        </w:rPr>
        <w:t>Behavioral Evidence for Trust Calibration Trajectory Theory: A Model-Based Clustering Analysis of AI Reliance Patterns in a Large-Scale Educational Platform</w:t>
      </w:r>
    </w:p>
    <w:p>
      <w:pPr>
        <w:spacing w:line="480" w:lineRule="auto" w:before="0" w:after="0"/>
        <w:ind w:firstLine="720"/>
        <w:jc w:val="left"/>
      </w:pPr>
      <w:r>
        <w:rPr>
          <w:rFonts w:ascii="Times New Roman" w:hAnsi="Times New Roman"/>
          <w:b w:val="0"/>
          <w:i w:val="0"/>
          <w:color w:val="000000"/>
          <w:sz w:val="24"/>
        </w:rPr>
        <w:t>College of Education, Pennsylvania State University</w:t>
      </w:r>
    </w:p>
    <w:p>
      <w:pPr>
        <w:spacing w:line="480" w:lineRule="auto" w:before="0" w:after="0"/>
        <w:ind w:firstLine="720"/>
        <w:jc w:val="left"/>
      </w:pPr>
      <w:r>
        <w:rPr>
          <w:rFonts w:ascii="Times New Roman" w:hAnsi="Times New Roman"/>
          <w:b/>
          <w:i w:val="0"/>
          <w:color w:val="000000"/>
          <w:sz w:val="24"/>
        </w:rPr>
        <w:t>Target Journal:</w:t>
      </w:r>
      <w:r>
        <w:rPr>
          <w:rFonts w:ascii="Times New Roman" w:hAnsi="Times New Roman"/>
          <w:b w:val="0"/>
          <w:i w:val="0"/>
          <w:color w:val="000000"/>
          <w:sz w:val="24"/>
        </w:rPr>
        <w:t xml:space="preserve"> Computers in Human Behavior</w:t>
      </w:r>
    </w:p>
    <w:p>
      <w:pPr>
        <w:spacing w:line="480" w:lineRule="auto" w:before="0" w:after="0"/>
        <w:ind w:firstLine="720"/>
        <w:jc w:val="left"/>
      </w:pPr>
      <w:r>
        <w:rPr>
          <w:rFonts w:ascii="Times New Roman" w:hAnsi="Times New Roman"/>
          <w:b/>
          <w:i w:val="0"/>
          <w:color w:val="000000"/>
          <w:sz w:val="24"/>
        </w:rPr>
        <w:t>Date:</w:t>
      </w:r>
      <w:r>
        <w:rPr>
          <w:rFonts w:ascii="Times New Roman" w:hAnsi="Times New Roman"/>
          <w:b w:val="0"/>
          <w:i w:val="0"/>
          <w:color w:val="000000"/>
          <w:sz w:val="24"/>
        </w:rPr>
        <w:t xml:space="preserve"> March 2026</w:t>
      </w:r>
    </w:p>
    <w:p>
      <w:pPr>
        <w:spacing w:line="480" w:lineRule="auto" w:before="0" w:after="0"/>
        <w:ind w:firstLine="720"/>
        <w:jc w:val="left"/>
      </w:pPr>
      <w:r>
        <w:rPr>
          <w:rFonts w:ascii="Times New Roman" w:hAnsi="Times New Roman"/>
          <w:b/>
          <w:i w:val="0"/>
          <w:color w:val="000000"/>
          <w:sz w:val="24"/>
        </w:rPr>
        <w:t>Status:</w:t>
      </w:r>
      <w:r>
        <w:rPr>
          <w:rFonts w:ascii="Times New Roman" w:hAnsi="Times New Roman"/>
          <w:b w:val="0"/>
          <w:i w:val="0"/>
          <w:color w:val="000000"/>
          <w:sz w:val="24"/>
        </w:rPr>
        <w:t xml:space="preserve"> Draft v2</w:t>
      </w:r>
    </w:p>
    <w:p>
      <w:r>
        <w:br w:type="page"/>
      </w:r>
    </w:p>
    <w:p>
      <w:pPr>
        <w:spacing w:line="480" w:lineRule="auto" w:before="0" w:after="0"/>
        <w:jc w:val="center"/>
      </w:pPr>
      <w:r>
        <w:rPr>
          <w:rFonts w:ascii="Times New Roman" w:hAnsi="Times New Roman"/>
          <w:b/>
          <w:i w:val="0"/>
          <w:color w:val="000000"/>
          <w:sz w:val="24"/>
        </w:rPr>
        <w:t>Introduction</w:t>
      </w:r>
    </w:p>
    <w:p>
      <w:pPr>
        <w:spacing w:line="480" w:lineRule="auto" w:before="0" w:after="0"/>
        <w:jc w:val="left"/>
      </w:pPr>
      <w:r>
        <w:rPr>
          <w:rFonts w:ascii="Times New Roman" w:hAnsi="Times New Roman"/>
          <w:b/>
          <w:i w:val="0"/>
          <w:color w:val="000000"/>
          <w:sz w:val="24"/>
        </w:rPr>
        <w:t>The Promise and Peril of AI in Education</w:t>
      </w:r>
    </w:p>
    <w:p>
      <w:pPr>
        <w:spacing w:line="480" w:lineRule="auto" w:before="0" w:after="0"/>
        <w:ind w:firstLine="720"/>
        <w:jc w:val="left"/>
      </w:pPr>
      <w:r>
        <w:rPr>
          <w:rFonts w:ascii="Times New Roman" w:hAnsi="Times New Roman"/>
          <w:b w:val="0"/>
          <w:i w:val="0"/>
          <w:color w:val="000000"/>
          <w:sz w:val="24"/>
        </w:rPr>
        <w:t>Artificial intelligence has rapidly transformed the educational landscape, with AI-powered tutoring systems, adaptive learning platforms, and intelligent recommendation engines now serving millions of learners worldwide (Holmes et al., 2022; Zawacki-Richter et al., 2019). These systems promise personalized learning experiences by adapting content difficulty, pacing, and instructional strategies to individual learner characteristics (VanLehn, 2011). Yet the effectiveness of such systems depends not only on the quality of their recommendations but also on how learners interact with and respond to AI-generated guidance (Nazaretsky et al., 2022).</w:t>
      </w:r>
    </w:p>
    <w:p>
      <w:pPr>
        <w:spacing w:line="480" w:lineRule="auto" w:before="0" w:after="0"/>
        <w:ind w:firstLine="720"/>
        <w:jc w:val="left"/>
      </w:pPr>
      <w:r>
        <w:rPr>
          <w:rFonts w:ascii="Times New Roman" w:hAnsi="Times New Roman"/>
          <w:b w:val="0"/>
          <w:i w:val="0"/>
          <w:color w:val="000000"/>
          <w:sz w:val="24"/>
        </w:rPr>
        <w:t>A fundamental challenge emerges at this intersection: learners must develop an appropriate level of reliance on AI recommendations — neither blindly following every suggestion nor categorically ignoring potentially beneficial guidance. This challenge parallels a well-documented problem in human factors research known as the calibration of trust in automation (Lee &amp; See, 2004; Parasuraman &amp; Riley, 1997). When human operators over-trust automated systems, they may fail to detect errors; when they under-trust, they forfeit the benefits of automation. The same dynamics apply in educational contexts, where miscalibrated reliance on AI tutoring can undermine learning outcomes (Kaur et al., 2022).</w:t>
      </w:r>
    </w:p>
    <w:p>
      <w:pPr>
        <w:spacing w:line="480" w:lineRule="auto" w:before="0" w:after="0"/>
        <w:jc w:val="left"/>
      </w:pPr>
      <w:r>
        <w:rPr>
          <w:rFonts w:ascii="Times New Roman" w:hAnsi="Times New Roman"/>
          <w:b/>
          <w:i w:val="0"/>
          <w:color w:val="000000"/>
          <w:sz w:val="24"/>
        </w:rPr>
        <w:t>Reliance Calibration as a Behavioral Construct</w:t>
      </w:r>
    </w:p>
    <w:p>
      <w:pPr>
        <w:spacing w:line="480" w:lineRule="auto" w:before="0" w:after="0"/>
        <w:ind w:firstLine="720"/>
        <w:jc w:val="left"/>
      </w:pPr>
      <w:r>
        <w:rPr>
          <w:rFonts w:ascii="Times New Roman" w:hAnsi="Times New Roman"/>
          <w:b w:val="0"/>
          <w:i w:val="0"/>
          <w:color w:val="000000"/>
          <w:sz w:val="24"/>
        </w:rPr>
        <w:t xml:space="preserve">A critical distinction must be drawn between </w:t>
      </w:r>
      <w:r>
        <w:rPr>
          <w:rFonts w:ascii="Times New Roman" w:hAnsi="Times New Roman"/>
          <w:b w:val="0"/>
          <w:i/>
          <w:color w:val="000000"/>
          <w:sz w:val="24"/>
        </w:rPr>
        <w:t>trust</w:t>
      </w:r>
      <w:r>
        <w:rPr>
          <w:rFonts w:ascii="Times New Roman" w:hAnsi="Times New Roman"/>
          <w:b w:val="0"/>
          <w:i w:val="0"/>
          <w:color w:val="000000"/>
          <w:sz w:val="24"/>
        </w:rPr>
        <w:t xml:space="preserve"> and </w:t>
      </w:r>
      <w:r>
        <w:rPr>
          <w:rFonts w:ascii="Times New Roman" w:hAnsi="Times New Roman"/>
          <w:b w:val="0"/>
          <w:i/>
          <w:color w:val="000000"/>
          <w:sz w:val="24"/>
        </w:rPr>
        <w:t>reliance</w:t>
      </w:r>
      <w:r>
        <w:rPr>
          <w:rFonts w:ascii="Times New Roman" w:hAnsi="Times New Roman"/>
          <w:b w:val="0"/>
          <w:i w:val="0"/>
          <w:color w:val="000000"/>
          <w:sz w:val="24"/>
        </w:rPr>
        <w:t xml:space="preserve">. Following Lee and See's (2004) seminal framework, trust is an attitude — a psychological state reflecting the willingness to be vulnerable to the actions of an automated agent based on the expectation that it will perform a particular action important to the trustor. Reliance, by contrast, is a behavior — the observable act of depending on the automated system's output in decision-making. Trust </w:t>
      </w:r>
      <w:r>
        <w:rPr>
          <w:rFonts w:ascii="Times New Roman" w:hAnsi="Times New Roman"/>
          <w:b w:val="0"/>
          <w:i/>
          <w:color w:val="000000"/>
          <w:sz w:val="24"/>
        </w:rPr>
        <w:t>guides</w:t>
      </w:r>
      <w:r>
        <w:rPr>
          <w:rFonts w:ascii="Times New Roman" w:hAnsi="Times New Roman"/>
          <w:b w:val="0"/>
          <w:i w:val="0"/>
          <w:color w:val="000000"/>
          <w:sz w:val="24"/>
        </w:rPr>
        <w:t xml:space="preserve"> reliance, but the two are not isomorphic: a learner may trust an AI system yet choose not to rely on it for strategic reasons, or may rely on it out of convenience without genuine trust.</w:t>
      </w:r>
    </w:p>
    <w:p>
      <w:pPr>
        <w:spacing w:line="480" w:lineRule="auto" w:before="0" w:after="0"/>
        <w:ind w:firstLine="720"/>
        <w:jc w:val="left"/>
      </w:pPr>
      <w:r>
        <w:rPr>
          <w:rFonts w:ascii="Times New Roman" w:hAnsi="Times New Roman"/>
          <w:b w:val="0"/>
          <w:i w:val="0"/>
          <w:color w:val="000000"/>
          <w:sz w:val="24"/>
        </w:rPr>
        <w:t>This distinction carries important methodological implications. Measuring trust requires access to cognitive and affective states, typically assessed through self-report instruments (e.g., Jian et al., 2000; Körber, 2019). Measuring reliance, however, requires only behavioral observation — the degree to which individuals accept, follow, or depend on system recommendations. In large-scale educational datasets where self-report data are unavailable, behavioral reliance becomes the accessible and appropriate construct.</w:t>
      </w:r>
    </w:p>
    <w:p>
      <w:pPr>
        <w:spacing w:line="480" w:lineRule="auto" w:before="0" w:after="0"/>
        <w:ind w:firstLine="720"/>
        <w:jc w:val="left"/>
      </w:pPr>
      <w:r>
        <w:rPr>
          <w:rFonts w:ascii="Times New Roman" w:hAnsi="Times New Roman"/>
          <w:b w:val="0"/>
          <w:i w:val="0"/>
          <w:color w:val="000000"/>
          <w:sz w:val="24"/>
        </w:rPr>
        <w:t xml:space="preserve">We therefore adopt the term </w:t>
      </w:r>
      <w:r>
        <w:rPr>
          <w:rFonts w:ascii="Times New Roman" w:hAnsi="Times New Roman"/>
          <w:b w:val="0"/>
          <w:i/>
          <w:color w:val="000000"/>
          <w:sz w:val="24"/>
        </w:rPr>
        <w:t>reliance calibration</w:t>
      </w:r>
      <w:r>
        <w:rPr>
          <w:rFonts w:ascii="Times New Roman" w:hAnsi="Times New Roman"/>
          <w:b w:val="0"/>
          <w:i w:val="0"/>
          <w:color w:val="000000"/>
          <w:sz w:val="24"/>
        </w:rPr>
        <w:t xml:space="preserve"> to describe the phenomenon under investigation: the degree to which a learner's behavioral reliance on AI recommendations aligns with their actual performance level over time. This framing is consistent with Schemmer et al.'s (2023) conceptualization of appropriate reliance as a behavioral outcome of trust calibration processes, and with de Visser et al.'s (2020) emphasis on the dynamic, evolving nature of human-automation trust relationships.</w:t>
      </w:r>
    </w:p>
    <w:p>
      <w:pPr>
        <w:spacing w:line="480" w:lineRule="auto" w:before="0" w:after="0"/>
        <w:jc w:val="left"/>
      </w:pPr>
      <w:r>
        <w:rPr>
          <w:rFonts w:ascii="Times New Roman" w:hAnsi="Times New Roman"/>
          <w:b/>
          <w:i w:val="0"/>
          <w:color w:val="000000"/>
          <w:sz w:val="24"/>
        </w:rPr>
        <w:t>Conceptual Framework</w:t>
      </w:r>
    </w:p>
    <w:p>
      <w:pPr>
        <w:spacing w:line="480" w:lineRule="auto" w:before="0" w:after="0"/>
        <w:ind w:firstLine="720"/>
        <w:jc w:val="left"/>
      </w:pPr>
      <w:r>
        <w:rPr>
          <w:rFonts w:ascii="Times New Roman" w:hAnsi="Times New Roman"/>
          <w:b w:val="0"/>
          <w:i w:val="0"/>
          <w:color w:val="000000"/>
          <w:sz w:val="24"/>
        </w:rPr>
        <w:t>This study is situated within a broader research program on trust calibration in AI-assisted learning. The conceptual foundation draws on two key frameworks.</w:t>
      </w:r>
    </w:p>
    <w:p>
      <w:pPr>
        <w:spacing w:line="480" w:lineRule="auto" w:before="0" w:after="0"/>
        <w:ind w:firstLine="720"/>
        <w:jc w:val="left"/>
      </w:pPr>
      <w:r>
        <w:rPr>
          <w:rFonts w:ascii="Times New Roman" w:hAnsi="Times New Roman"/>
          <w:b w:val="0"/>
          <w:i w:val="0"/>
          <w:color w:val="000000"/>
          <w:sz w:val="24"/>
        </w:rPr>
        <w:t xml:space="preserve">First, the </w:t>
      </w:r>
      <w:r>
        <w:rPr>
          <w:rFonts w:ascii="Times New Roman" w:hAnsi="Times New Roman"/>
          <w:b w:val="0"/>
          <w:i/>
          <w:color w:val="000000"/>
          <w:sz w:val="24"/>
        </w:rPr>
        <w:t>Trust-Reliability Matrix</w:t>
      </w:r>
      <w:r>
        <w:rPr>
          <w:rFonts w:ascii="Times New Roman" w:hAnsi="Times New Roman"/>
          <w:b w:val="0"/>
          <w:i w:val="0"/>
          <w:color w:val="000000"/>
          <w:sz w:val="24"/>
        </w:rPr>
        <w:t xml:space="preserve"> conceptualizes the alignment space between a learner's reliance on AI and the system's actual reliability. When reliance matches reliability, calibration is achieved. Deviations in either direction — over-reliance (reliance exceeds reliability) or under-reliance (reliance falls below reliability) — represent miscalibration. This matrix provides a static snapshot of calibration states.</w:t>
      </w:r>
    </w:p>
    <w:p>
      <w:pPr>
        <w:spacing w:line="480" w:lineRule="auto" w:before="0" w:after="0"/>
        <w:ind w:firstLine="720"/>
        <w:jc w:val="left"/>
      </w:pPr>
      <w:r>
        <w:rPr>
          <w:rFonts w:ascii="Times New Roman" w:hAnsi="Times New Roman"/>
          <w:b w:val="0"/>
          <w:i w:val="0"/>
          <w:color w:val="000000"/>
          <w:sz w:val="24"/>
        </w:rPr>
        <w:t>Second, we extend this framework into a dynamic, longitudinal perspective by modeling reliance calibration as a trajectory through a three-dimensional space defined by behavioral reliance (</w:t>
      </w:r>
      <w:r>
        <w:rPr>
          <w:rFonts w:ascii="Times New Roman" w:hAnsi="Times New Roman"/>
          <w:b w:val="0"/>
          <w:i/>
          <w:color w:val="000000"/>
          <w:sz w:val="24"/>
        </w:rPr>
        <w:t>R_b</w:t>
      </w:r>
      <w:r>
        <w:rPr>
          <w:rFonts w:ascii="Times New Roman" w:hAnsi="Times New Roman"/>
          <w:b w:val="0"/>
          <w:i w:val="0"/>
          <w:color w:val="000000"/>
          <w:sz w:val="24"/>
        </w:rPr>
        <w:t>), performance (</w:t>
      </w:r>
      <w:r>
        <w:rPr>
          <w:rFonts w:ascii="Times New Roman" w:hAnsi="Times New Roman"/>
          <w:b w:val="0"/>
          <w:i/>
          <w:color w:val="000000"/>
          <w:sz w:val="24"/>
        </w:rPr>
        <w:t>P</w:t>
      </w:r>
      <w:r>
        <w:rPr>
          <w:rFonts w:ascii="Times New Roman" w:hAnsi="Times New Roman"/>
          <w:b w:val="0"/>
          <w:i w:val="0"/>
          <w:color w:val="000000"/>
          <w:sz w:val="24"/>
        </w:rPr>
        <w:t>), and time (</w:t>
      </w:r>
      <w:r>
        <w:rPr>
          <w:rFonts w:ascii="Times New Roman" w:hAnsi="Times New Roman"/>
          <w:b w:val="0"/>
          <w:i/>
          <w:color w:val="000000"/>
          <w:sz w:val="24"/>
        </w:rPr>
        <w:t>\tau</w:t>
      </w:r>
      <w:r>
        <w:rPr>
          <w:rFonts w:ascii="Times New Roman" w:hAnsi="Times New Roman"/>
          <w:b w:val="0"/>
          <w:i w:val="0"/>
          <w:color w:val="000000"/>
          <w:sz w:val="24"/>
        </w:rPr>
        <w:t xml:space="preserve">). Within this </w:t>
      </w:r>
      <w:r>
        <w:rPr>
          <w:rFonts w:ascii="Times New Roman" w:hAnsi="Times New Roman"/>
          <w:b w:val="0"/>
          <w:i/>
          <w:color w:val="000000"/>
          <w:sz w:val="24"/>
        </w:rPr>
        <w:t>R_b \times P \times \tau</w:t>
      </w:r>
      <w:r>
        <w:rPr>
          <w:rFonts w:ascii="Times New Roman" w:hAnsi="Times New Roman"/>
          <w:b w:val="0"/>
          <w:i w:val="0"/>
          <w:color w:val="000000"/>
          <w:sz w:val="24"/>
        </w:rPr>
        <w:t xml:space="preserve"> space, different trajectory shapes correspond to different calibration dynamics: convergent trajectories (where the gap between </w:t>
      </w:r>
      <w:r>
        <w:rPr>
          <w:rFonts w:ascii="Times New Roman" w:hAnsi="Times New Roman"/>
          <w:b w:val="0"/>
          <w:i/>
          <w:color w:val="000000"/>
          <w:sz w:val="24"/>
        </w:rPr>
        <w:t>R_b</w:t>
      </w:r>
      <w:r>
        <w:rPr>
          <w:rFonts w:ascii="Times New Roman" w:hAnsi="Times New Roman"/>
          <w:b w:val="0"/>
          <w:i w:val="0"/>
          <w:color w:val="000000"/>
          <w:sz w:val="24"/>
        </w:rPr>
        <w:t xml:space="preserve"> and </w:t>
      </w:r>
      <w:r>
        <w:rPr>
          <w:rFonts w:ascii="Times New Roman" w:hAnsi="Times New Roman"/>
          <w:b w:val="0"/>
          <w:i/>
          <w:color w:val="000000"/>
          <w:sz w:val="24"/>
        </w:rPr>
        <w:t>P</w:t>
      </w:r>
      <w:r>
        <w:rPr>
          <w:rFonts w:ascii="Times New Roman" w:hAnsi="Times New Roman"/>
          <w:b w:val="0"/>
          <w:i w:val="0"/>
          <w:color w:val="000000"/>
          <w:sz w:val="24"/>
        </w:rPr>
        <w:t xml:space="preserve"> narrows), divergent trajectories (where the gap widens), stagnant trajectories (where the gap remains constant), and catastrophic trajectories (where a sudden failure disrupts calibration). These theoretically predicted trajectory shapes serve as referents against which empirically observed patterns can be compared. The central question of this study is whether these theoretically predicted patterns are observable in behavioral data from a large-scale educational platform.</w:t>
      </w:r>
    </w:p>
    <w:p>
      <w:pPr>
        <w:spacing w:line="480" w:lineRule="auto" w:before="0" w:after="0"/>
        <w:jc w:val="left"/>
      </w:pPr>
      <w:r>
        <w:rPr>
          <w:rFonts w:ascii="Times New Roman" w:hAnsi="Times New Roman"/>
          <w:b/>
          <w:i w:val="0"/>
          <w:color w:val="000000"/>
          <w:sz w:val="24"/>
        </w:rPr>
        <w:t>The Research Gap</w:t>
      </w:r>
    </w:p>
    <w:p>
      <w:pPr>
        <w:spacing w:line="480" w:lineRule="auto" w:before="0" w:after="0"/>
        <w:ind w:firstLine="720"/>
        <w:jc w:val="left"/>
      </w:pPr>
      <w:r>
        <w:rPr>
          <w:rFonts w:ascii="Times New Roman" w:hAnsi="Times New Roman"/>
          <w:b w:val="0"/>
          <w:i w:val="0"/>
          <w:color w:val="000000"/>
          <w:sz w:val="24"/>
        </w:rPr>
        <w:t>Despite growing interest in trust and reliance on AI in educational settings (Nazaretsky et al., 2022; Siau &amp; Wang, 2018), empirical research on how learners' reliance patterns evolve over time remains sparse. Most existing studies adopt cross-sectional designs, measuring trust or reliance at a single point (or at best, pre-post), and treat learner populations as homogeneous (Kaur et al., 2022). Three specific gaps motivate this study.</w:t>
      </w:r>
    </w:p>
    <w:p>
      <w:pPr>
        <w:spacing w:line="480" w:lineRule="auto" w:before="0" w:after="0"/>
        <w:ind w:firstLine="720"/>
        <w:jc w:val="left"/>
      </w:pPr>
      <w:r>
        <w:rPr>
          <w:rFonts w:ascii="Times New Roman" w:hAnsi="Times New Roman"/>
          <w:b w:val="0"/>
          <w:i w:val="0"/>
          <w:color w:val="000000"/>
          <w:sz w:val="24"/>
        </w:rPr>
        <w:t xml:space="preserve">First, there is a lack of </w:t>
      </w:r>
      <w:r>
        <w:rPr>
          <w:rFonts w:ascii="Times New Roman" w:hAnsi="Times New Roman"/>
          <w:b w:val="0"/>
          <w:i/>
          <w:color w:val="000000"/>
          <w:sz w:val="24"/>
        </w:rPr>
        <w:t>longitudinal trajectory</w:t>
      </w:r>
      <w:r>
        <w:rPr>
          <w:rFonts w:ascii="Times New Roman" w:hAnsi="Times New Roman"/>
          <w:b w:val="0"/>
          <w:i w:val="0"/>
          <w:color w:val="000000"/>
          <w:sz w:val="24"/>
        </w:rPr>
        <w:t xml:space="preserve"> studies examining how reliance calibration unfolds across extended learning episodes. Trust and reliance are inherently dynamic (Lee &amp; See, 2004), yet the temporal evolution of these constructs in educational AI contexts has received limited empirical attention.</w:t>
      </w:r>
    </w:p>
    <w:p>
      <w:pPr>
        <w:spacing w:line="480" w:lineRule="auto" w:before="0" w:after="0"/>
        <w:ind w:firstLine="720"/>
        <w:jc w:val="left"/>
      </w:pPr>
      <w:r>
        <w:rPr>
          <w:rFonts w:ascii="Times New Roman" w:hAnsi="Times New Roman"/>
          <w:b w:val="0"/>
          <w:i w:val="0"/>
          <w:color w:val="000000"/>
          <w:sz w:val="24"/>
        </w:rPr>
        <w:t xml:space="preserve">Second, there is a lack of </w:t>
      </w:r>
      <w:r>
        <w:rPr>
          <w:rFonts w:ascii="Times New Roman" w:hAnsi="Times New Roman"/>
          <w:b w:val="0"/>
          <w:i/>
          <w:color w:val="000000"/>
          <w:sz w:val="24"/>
        </w:rPr>
        <w:t>person-centered</w:t>
      </w:r>
      <w:r>
        <w:rPr>
          <w:rFonts w:ascii="Times New Roman" w:hAnsi="Times New Roman"/>
          <w:b w:val="0"/>
          <w:i w:val="0"/>
          <w:color w:val="000000"/>
          <w:sz w:val="24"/>
        </w:rPr>
        <w:t xml:space="preserve"> approaches that acknowledge heterogeneity in calibration trajectories. Variable-centered methods (e.g., regression) estimate average effects but mask meaningful subgroup differences. Model-based clustering (MBC) and growth mixture modeling (GMM) approaches can uncover qualitatively distinct trajectory classes within seemingly homogeneous populations (Nagin, 2005; Ram &amp; Grimm, 2009).</w:t>
      </w:r>
    </w:p>
    <w:p>
      <w:pPr>
        <w:spacing w:line="480" w:lineRule="auto" w:before="0" w:after="0"/>
        <w:ind w:firstLine="720"/>
        <w:jc w:val="left"/>
      </w:pPr>
      <w:r>
        <w:rPr>
          <w:rFonts w:ascii="Times New Roman" w:hAnsi="Times New Roman"/>
          <w:b w:val="0"/>
          <w:i w:val="0"/>
          <w:color w:val="000000"/>
          <w:sz w:val="24"/>
        </w:rPr>
        <w:t>Third, there is a disconnect between theoretical predictions about calibration dynamics and empirical evidence. While frameworks predict various trajectory shapes (convergent, divergent, stagnant, catastrophic), no study has systematically tested whether these patterns emerge in real-world learner data.</w:t>
      </w:r>
    </w:p>
    <w:p>
      <w:pPr>
        <w:spacing w:line="480" w:lineRule="auto" w:before="0" w:after="0"/>
        <w:jc w:val="left"/>
      </w:pPr>
      <w:r>
        <w:rPr>
          <w:rFonts w:ascii="Times New Roman" w:hAnsi="Times New Roman"/>
          <w:b/>
          <w:i w:val="0"/>
          <w:color w:val="000000"/>
          <w:sz w:val="24"/>
        </w:rPr>
        <w:t>Research Questions and Hypotheses</w:t>
      </w:r>
    </w:p>
    <w:p>
      <w:pPr>
        <w:spacing w:line="480" w:lineRule="auto" w:before="0" w:after="0"/>
        <w:ind w:firstLine="720"/>
        <w:jc w:val="left"/>
      </w:pPr>
      <w:r>
        <w:rPr>
          <w:rFonts w:ascii="Times New Roman" w:hAnsi="Times New Roman"/>
          <w:b w:val="0"/>
          <w:i w:val="0"/>
          <w:color w:val="000000"/>
          <w:sz w:val="24"/>
        </w:rPr>
        <w:t>This study addresses five research questions:</w:t>
      </w:r>
    </w:p>
    <w:p>
      <w:pPr>
        <w:spacing w:line="480" w:lineRule="auto" w:before="0" w:after="0"/>
        <w:ind w:firstLine="720"/>
        <w:jc w:val="left"/>
      </w:pPr>
      <w:r>
        <w:rPr>
          <w:rFonts w:ascii="Times New Roman" w:hAnsi="Times New Roman"/>
          <w:b/>
          <w:i w:val="0"/>
          <w:color w:val="000000"/>
          <w:sz w:val="24"/>
        </w:rPr>
        <w:t>RQ1:</w:t>
      </w:r>
      <w:r>
        <w:rPr>
          <w:rFonts w:ascii="Times New Roman" w:hAnsi="Times New Roman"/>
          <w:b w:val="0"/>
          <w:i w:val="0"/>
          <w:color w:val="000000"/>
          <w:sz w:val="24"/>
        </w:rPr>
        <w:t xml:space="preserve"> How many distinct reliance calibration trajectory classes can be identified among learners using an AI tutoring system, and what characterizes each class?</w:t>
      </w:r>
    </w:p>
    <w:p>
      <w:pPr>
        <w:spacing w:line="480" w:lineRule="auto" w:before="0" w:after="0"/>
        <w:ind w:firstLine="720"/>
        <w:jc w:val="left"/>
      </w:pPr>
      <w:r>
        <w:rPr>
          <w:rFonts w:ascii="Times New Roman" w:hAnsi="Times New Roman"/>
          <w:b/>
          <w:i w:val="0"/>
          <w:color w:val="000000"/>
          <w:sz w:val="24"/>
        </w:rPr>
        <w:t>RQ2:</w:t>
      </w:r>
      <w:r>
        <w:rPr>
          <w:rFonts w:ascii="Times New Roman" w:hAnsi="Times New Roman"/>
          <w:b w:val="0"/>
          <w:i w:val="0"/>
          <w:color w:val="000000"/>
          <w:sz w:val="24"/>
        </w:rPr>
        <w:t xml:space="preserve"> Does latent class growth analysis of calibration gap trajectories replicate the trajectory typology identified by model-based clustering?</w:t>
      </w:r>
    </w:p>
    <w:p>
      <w:pPr>
        <w:spacing w:line="480" w:lineRule="auto" w:before="0" w:after="0"/>
        <w:ind w:firstLine="720"/>
        <w:jc w:val="left"/>
      </w:pPr>
      <w:r>
        <w:rPr>
          <w:rFonts w:ascii="Times New Roman" w:hAnsi="Times New Roman"/>
          <w:b/>
          <w:i w:val="0"/>
          <w:color w:val="000000"/>
          <w:sz w:val="24"/>
        </w:rPr>
        <w:t>RQ3:</w:t>
      </w:r>
      <w:r>
        <w:rPr>
          <w:rFonts w:ascii="Times New Roman" w:hAnsi="Times New Roman"/>
          <w:b w:val="0"/>
          <w:i w:val="0"/>
          <w:color w:val="000000"/>
          <w:sz w:val="24"/>
        </w:rPr>
        <w:t xml:space="preserve"> To what extent do the empirically observed trajectory classes correspond to theoretically predicted calibration patterns (convergent, divergent, stagnant)?</w:t>
      </w:r>
    </w:p>
    <w:p>
      <w:pPr>
        <w:spacing w:line="480" w:lineRule="auto" w:before="0" w:after="0"/>
        <w:ind w:firstLine="720"/>
        <w:jc w:val="left"/>
      </w:pPr>
      <w:r>
        <w:rPr>
          <w:rFonts w:ascii="Times New Roman" w:hAnsi="Times New Roman"/>
          <w:b/>
          <w:i w:val="0"/>
          <w:color w:val="000000"/>
          <w:sz w:val="24"/>
        </w:rPr>
        <w:t>RQ4:</w:t>
      </w:r>
      <w:r>
        <w:rPr>
          <w:rFonts w:ascii="Times New Roman" w:hAnsi="Times New Roman"/>
          <w:b w:val="0"/>
          <w:i w:val="0"/>
          <w:color w:val="000000"/>
          <w:sz w:val="24"/>
        </w:rPr>
        <w:t xml:space="preserve"> Can early learning behaviors predict subsequent trajectory class membership?</w:t>
      </w:r>
    </w:p>
    <w:p>
      <w:pPr>
        <w:spacing w:line="480" w:lineRule="auto" w:before="0" w:after="0"/>
        <w:ind w:firstLine="720"/>
        <w:jc w:val="left"/>
      </w:pPr>
      <w:r>
        <w:rPr>
          <w:rFonts w:ascii="Times New Roman" w:hAnsi="Times New Roman"/>
          <w:b/>
          <w:i w:val="0"/>
          <w:color w:val="000000"/>
          <w:sz w:val="24"/>
        </w:rPr>
        <w:t>RQ5:</w:t>
      </w:r>
      <w:r>
        <w:rPr>
          <w:rFonts w:ascii="Times New Roman" w:hAnsi="Times New Roman"/>
          <w:b w:val="0"/>
          <w:i w:val="0"/>
          <w:color w:val="000000"/>
          <w:sz w:val="24"/>
        </w:rPr>
        <w:t xml:space="preserve"> Do trajectory classes differ in learning outcomes (overall accuracy and accuracy improvement)?</w:t>
      </w:r>
    </w:p>
    <w:p>
      <w:pPr>
        <w:spacing w:line="480" w:lineRule="auto" w:before="0" w:after="0"/>
        <w:ind w:firstLine="720"/>
        <w:jc w:val="left"/>
      </w:pPr>
      <w:r>
        <w:rPr>
          <w:rFonts w:ascii="Times New Roman" w:hAnsi="Times New Roman"/>
          <w:b w:val="0"/>
          <w:i w:val="0"/>
          <w:color w:val="000000"/>
          <w:sz w:val="24"/>
        </w:rPr>
        <w:t>Based on the theoretical framework and prior literature, we advance the following hypotheses:</w:t>
      </w:r>
    </w:p>
    <w:p>
      <w:pPr>
        <w:spacing w:line="480" w:lineRule="auto" w:before="0" w:after="0"/>
        <w:ind w:firstLine="720"/>
        <w:jc w:val="left"/>
      </w:pPr>
      <w:r>
        <w:rPr>
          <w:rFonts w:ascii="Times New Roman" w:hAnsi="Times New Roman"/>
          <w:b/>
          <w:i w:val="0"/>
          <w:color w:val="000000"/>
          <w:sz w:val="24"/>
        </w:rPr>
        <w:t>H1:</w:t>
      </w:r>
      <w:r>
        <w:rPr>
          <w:rFonts w:ascii="Times New Roman" w:hAnsi="Times New Roman"/>
          <w:b w:val="0"/>
          <w:i w:val="0"/>
          <w:color w:val="000000"/>
          <w:sz w:val="24"/>
        </w:rPr>
        <w:t xml:space="preserve"> At least three distinct reliance calibration trajectory classes will emerge, reflecting heterogeneity in how learners calibrate their AI reliance over time.</w:t>
      </w:r>
    </w:p>
    <w:p>
      <w:pPr>
        <w:spacing w:line="480" w:lineRule="auto" w:before="0" w:after="0"/>
        <w:ind w:firstLine="720"/>
        <w:jc w:val="left"/>
      </w:pPr>
      <w:r>
        <w:rPr>
          <w:rFonts w:ascii="Times New Roman" w:hAnsi="Times New Roman"/>
          <w:b/>
          <w:i w:val="0"/>
          <w:color w:val="000000"/>
          <w:sz w:val="24"/>
        </w:rPr>
        <w:t>H2a:</w:t>
      </w:r>
      <w:r>
        <w:rPr>
          <w:rFonts w:ascii="Times New Roman" w:hAnsi="Times New Roman"/>
          <w:b w:val="0"/>
          <w:i w:val="0"/>
          <w:color w:val="000000"/>
          <w:sz w:val="24"/>
        </w:rPr>
        <w:t xml:space="preserve"> At least one class will exhibit a convergent calibration pattern, with the reliance-performance gap narrowing toward zero.</w:t>
      </w:r>
    </w:p>
    <w:p>
      <w:pPr>
        <w:spacing w:line="480" w:lineRule="auto" w:before="0" w:after="0"/>
        <w:ind w:firstLine="720"/>
        <w:jc w:val="left"/>
      </w:pPr>
      <w:r>
        <w:rPr>
          <w:rFonts w:ascii="Times New Roman" w:hAnsi="Times New Roman"/>
          <w:b/>
          <w:i w:val="0"/>
          <w:color w:val="000000"/>
          <w:sz w:val="24"/>
        </w:rPr>
        <w:t>H2b:</w:t>
      </w:r>
      <w:r>
        <w:rPr>
          <w:rFonts w:ascii="Times New Roman" w:hAnsi="Times New Roman"/>
          <w:b w:val="0"/>
          <w:i w:val="0"/>
          <w:color w:val="000000"/>
          <w:sz w:val="24"/>
        </w:rPr>
        <w:t xml:space="preserve"> At least one class will exhibit a stagnant calibration pattern, with the gap remaining relatively constant.</w:t>
      </w:r>
    </w:p>
    <w:p>
      <w:pPr>
        <w:spacing w:line="480" w:lineRule="auto" w:before="0" w:after="0"/>
        <w:ind w:firstLine="720"/>
        <w:jc w:val="left"/>
      </w:pPr>
      <w:r>
        <w:rPr>
          <w:rFonts w:ascii="Times New Roman" w:hAnsi="Times New Roman"/>
          <w:b/>
          <w:i w:val="0"/>
          <w:color w:val="000000"/>
          <w:sz w:val="24"/>
        </w:rPr>
        <w:t>H3:</w:t>
      </w:r>
      <w:r>
        <w:rPr>
          <w:rFonts w:ascii="Times New Roman" w:hAnsi="Times New Roman"/>
          <w:b w:val="0"/>
          <w:i w:val="0"/>
          <w:color w:val="000000"/>
          <w:sz w:val="24"/>
        </w:rPr>
        <w:t xml:space="preserve"> Early explanation-seeking behavior (a proxy for metacognitive engagement) will significantly predict trajectory class membership.</w:t>
      </w:r>
    </w:p>
    <w:p>
      <w:pPr>
        <w:spacing w:line="480" w:lineRule="auto" w:before="0" w:after="0"/>
        <w:ind w:firstLine="720"/>
        <w:jc w:val="left"/>
      </w:pPr>
      <w:r>
        <w:rPr>
          <w:rFonts w:ascii="Times New Roman" w:hAnsi="Times New Roman"/>
          <w:b/>
          <w:i w:val="0"/>
          <w:color w:val="000000"/>
          <w:sz w:val="24"/>
        </w:rPr>
        <w:t>H4:</w:t>
      </w:r>
      <w:r>
        <w:rPr>
          <w:rFonts w:ascii="Times New Roman" w:hAnsi="Times New Roman"/>
          <w:b w:val="0"/>
          <w:i w:val="0"/>
          <w:color w:val="000000"/>
          <w:sz w:val="24"/>
        </w:rPr>
        <w:t xml:space="preserve"> Convergent calibration trajectories will be associated with the best learning outcomes, reflecting the theoretical advantage of calibrated reliance.</w:t>
      </w:r>
    </w:p>
    <w:p>
      <w:pPr>
        <w:spacing w:line="480" w:lineRule="auto" w:before="0" w:after="0"/>
        <w:jc w:val="left"/>
      </w:pPr>
      <w:r>
        <w:rPr>
          <w:rFonts w:ascii="Times New Roman" w:hAnsi="Times New Roman"/>
          <w:b/>
          <w:i w:val="0"/>
          <w:color w:val="000000"/>
          <w:sz w:val="24"/>
        </w:rPr>
        <w:t>Contribution</w:t>
      </w:r>
    </w:p>
    <w:p>
      <w:pPr>
        <w:spacing w:line="480" w:lineRule="auto" w:before="0" w:after="0"/>
        <w:ind w:firstLine="720"/>
        <w:jc w:val="left"/>
      </w:pPr>
      <w:r>
        <w:rPr>
          <w:rFonts w:ascii="Times New Roman" w:hAnsi="Times New Roman"/>
          <w:b w:val="0"/>
          <w:i w:val="0"/>
          <w:color w:val="000000"/>
          <w:sz w:val="24"/>
        </w:rPr>
        <w:t>This study makes four primary contributions. First, it provides the first large-scale, person-centered analysis of reliance calibration trajectories in AI-assisted learning, moving beyond cross-sectional and population-average approaches. Second, it offers behavioral evidence for theoretically predicted calibration dynamics, testing whether patterns derived from trust-in-automation theory are observable in large-scale educational behavioral data. Third, it employs methodological triangulation by applying two complementary approaches — model-based clustering (MBC) and latent class growth analysis (LCGA) — to the same phenomenon, strengthening conclusions through cross-method convergence. Fourth, it reports the inductive discovery of a fifth trajectory pattern, AI Benefit Emergence (ABE), in which the AI system's effectiveness improves but learner reliance lags behind — a pattern not predicted by the original theoretical framework. This paper constitutes the fourth study in a programmatic research effort on trust calibration in AI-assisted education, building on a systematic literature review (Paper 1), a psychometric instrument development study (Paper 2), and a conceptual framework paper (Paper 3). While Papers 1 through 3 established the theoretical and measurement foundations, this paper contributes empirical behavioral evidence, testing whether the patterns predicted by the conceptual framework are observable in large-scale learning data.</w:t>
      </w:r>
    </w:p>
    <w:p>
      <w:r>
        <w:br w:type="page"/>
      </w:r>
    </w:p>
    <w:p>
      <w:pPr>
        <w:spacing w:line="480" w:lineRule="auto" w:before="0" w:after="0"/>
        <w:jc w:val="center"/>
      </w:pPr>
      <w:r>
        <w:rPr>
          <w:rFonts w:ascii="Times New Roman" w:hAnsi="Times New Roman"/>
          <w:b/>
          <w:i w:val="0"/>
          <w:color w:val="000000"/>
          <w:sz w:val="24"/>
        </w:rPr>
        <w:t>Literature Review</w:t>
      </w:r>
    </w:p>
    <w:p>
      <w:pPr>
        <w:spacing w:line="480" w:lineRule="auto" w:before="0" w:after="0"/>
        <w:jc w:val="left"/>
      </w:pPr>
      <w:r>
        <w:rPr>
          <w:rFonts w:ascii="Times New Roman" w:hAnsi="Times New Roman"/>
          <w:b/>
          <w:i w:val="0"/>
          <w:color w:val="000000"/>
          <w:sz w:val="24"/>
        </w:rPr>
        <w:t>Trust in Automation: Foundational Theory</w:t>
      </w:r>
    </w:p>
    <w:p>
      <w:pPr>
        <w:spacing w:line="480" w:lineRule="auto" w:before="0" w:after="0"/>
        <w:ind w:firstLine="720"/>
        <w:jc w:val="left"/>
      </w:pPr>
      <w:r>
        <w:rPr>
          <w:rFonts w:ascii="Times New Roman" w:hAnsi="Times New Roman"/>
          <w:b w:val="0"/>
          <w:i w:val="0"/>
          <w:color w:val="000000"/>
          <w:sz w:val="24"/>
        </w:rPr>
        <w:t>The study of trust in automated systems has a rich history in human factors and ergonomics research. Parasuraman and Riley (1997) established foundational distinctions between misuse (over-reliance on automation), disuse (under-utilization of automation), and abuse (inappropriate application of automation by designers). These concepts have proven remarkably durable, forming the basis for subsequent theorizing about human-automation interaction.</w:t>
      </w:r>
    </w:p>
    <w:p>
      <w:pPr>
        <w:spacing w:line="480" w:lineRule="auto" w:before="0" w:after="0"/>
        <w:ind w:firstLine="720"/>
        <w:jc w:val="left"/>
      </w:pPr>
      <w:r>
        <w:rPr>
          <w:rFonts w:ascii="Times New Roman" w:hAnsi="Times New Roman"/>
          <w:b w:val="0"/>
          <w:i w:val="0"/>
          <w:color w:val="000000"/>
          <w:sz w:val="24"/>
        </w:rPr>
        <w:t>Lee and See (2004) provided the most comprehensive theoretical framework for understanding trust in automation, defining trust as "the attitude that an agent will help achieve an individual's goals in a situation characterized by uncertainty and vulnerability" (p. 54). Critically, their model distinguishes trust (an attitude) from reliance (a behavior), proposing that trust serves as a mediating variable that guides reliance decisions. This distinction implies that trust calibration — the alignment of trust with system trustworthiness — is a necessary but not sufficient condition for appropriate reliance; contextual factors, individual differences, and task characteristics also influence how trust translates into behavior.</w:t>
      </w:r>
    </w:p>
    <w:p>
      <w:pPr>
        <w:spacing w:line="480" w:lineRule="auto" w:before="0" w:after="0"/>
        <w:ind w:firstLine="720"/>
        <w:jc w:val="left"/>
      </w:pPr>
      <w:r>
        <w:rPr>
          <w:rFonts w:ascii="Times New Roman" w:hAnsi="Times New Roman"/>
          <w:b w:val="0"/>
          <w:i w:val="0"/>
          <w:color w:val="000000"/>
          <w:sz w:val="24"/>
        </w:rPr>
        <w:t>Muir (1994) and Muir and Moray (1996) were among the first to examine the dynamics of trust over time, demonstrating that trust increases gradually with positive experience but can decrease precipitously following automation failures. This asymmetry between trust building and trust erosion has been replicated extensively (Dzindolet et al., 2003; Lee &amp; Moray, 1994). More recently, de Visser et al. (2020) introduced the concept of trust repair — mechanisms by which human-automation trust can be restored following a violation — further underscoring the dynamic, evolving nature of trust processes.</w:t>
      </w:r>
    </w:p>
    <w:p>
      <w:pPr>
        <w:spacing w:line="480" w:lineRule="auto" w:before="0" w:after="0"/>
        <w:jc w:val="left"/>
      </w:pPr>
      <w:r>
        <w:rPr>
          <w:rFonts w:ascii="Times New Roman" w:hAnsi="Times New Roman"/>
          <w:b/>
          <w:i w:val="0"/>
          <w:color w:val="000000"/>
          <w:sz w:val="24"/>
        </w:rPr>
        <w:t>Appropriate Reliance and the Calibration Problem</w:t>
      </w:r>
    </w:p>
    <w:p>
      <w:pPr>
        <w:spacing w:line="480" w:lineRule="auto" w:before="0" w:after="0"/>
        <w:ind w:firstLine="720"/>
        <w:jc w:val="left"/>
      </w:pPr>
      <w:r>
        <w:rPr>
          <w:rFonts w:ascii="Times New Roman" w:hAnsi="Times New Roman"/>
          <w:b w:val="0"/>
          <w:i w:val="0"/>
          <w:color w:val="000000"/>
          <w:sz w:val="24"/>
        </w:rPr>
        <w:t xml:space="preserve">While trust theory provides the attitudinal foundation, the behavioral outcome of interest is </w:t>
      </w:r>
      <w:r>
        <w:rPr>
          <w:rFonts w:ascii="Times New Roman" w:hAnsi="Times New Roman"/>
          <w:b w:val="0"/>
          <w:i/>
          <w:color w:val="000000"/>
          <w:sz w:val="24"/>
        </w:rPr>
        <w:t>appropriate reliance</w:t>
      </w:r>
      <w:r>
        <w:rPr>
          <w:rFonts w:ascii="Times New Roman" w:hAnsi="Times New Roman"/>
          <w:b w:val="0"/>
          <w:i w:val="0"/>
          <w:color w:val="000000"/>
          <w:sz w:val="24"/>
        </w:rPr>
        <w:t xml:space="preserve"> — the extent to which individuals rely on automated systems in a manner proportional to system reliability. Schemmer et al. (2023) conducted a comprehensive review of appropriate reliance on AI, identifying key antecedents including system transparency, task complexity, individual differences in propensity to trust, and experience with the system over time.</w:t>
      </w:r>
    </w:p>
    <w:p>
      <w:pPr>
        <w:spacing w:line="480" w:lineRule="auto" w:before="0" w:after="0"/>
        <w:ind w:firstLine="720"/>
        <w:jc w:val="left"/>
      </w:pPr>
      <w:r>
        <w:rPr>
          <w:rFonts w:ascii="Times New Roman" w:hAnsi="Times New Roman"/>
          <w:b w:val="0"/>
          <w:i w:val="0"/>
          <w:color w:val="000000"/>
          <w:sz w:val="24"/>
        </w:rPr>
        <w:t>The calibration problem — maintaining alignment between trust/reliance and actual system capability — has been studied primarily in high-stakes domains such as aviation (Parasuraman &amp; Manzey, 2010), healthcare (Choudhury et al., 2020), and military operations (Chen et al., 2014). In these domains, miscalibration can have life-or-death consequences. Education represents a different but no less important domain: while the stakes per decision are lower, the cumulative effect of systematic miscalibration over hundreds or thousands of learning interactions can substantially shape learning trajectories and skill development.</w:t>
      </w:r>
    </w:p>
    <w:p>
      <w:pPr>
        <w:spacing w:line="480" w:lineRule="auto" w:before="0" w:after="0"/>
        <w:ind w:firstLine="720"/>
        <w:jc w:val="left"/>
      </w:pPr>
      <w:r>
        <w:rPr>
          <w:rFonts w:ascii="Times New Roman" w:hAnsi="Times New Roman"/>
          <w:b w:val="0"/>
          <w:i w:val="0"/>
          <w:color w:val="000000"/>
          <w:sz w:val="24"/>
        </w:rPr>
        <w:t>de Visser et al. (2020) highlighted the temporal dimension of calibration, noting that humans continuously update their mental models of automation reliability through experience. This updating process is not uniform across individuals — personal characteristics, prior experience, and the nature of feedback all influence calibration speed and accuracy. Yet research on individual differences in calibration trajectories remains limited, particularly in educational contexts.</w:t>
      </w:r>
    </w:p>
    <w:p>
      <w:pPr>
        <w:spacing w:line="480" w:lineRule="auto" w:before="0" w:after="0"/>
        <w:jc w:val="left"/>
      </w:pPr>
      <w:r>
        <w:rPr>
          <w:rFonts w:ascii="Times New Roman" w:hAnsi="Times New Roman"/>
          <w:b/>
          <w:i w:val="0"/>
          <w:color w:val="000000"/>
          <w:sz w:val="24"/>
        </w:rPr>
        <w:t>Model-Based Clustering and Mixture Modeling in Educational Research</w:t>
      </w:r>
    </w:p>
    <w:p>
      <w:pPr>
        <w:spacing w:line="480" w:lineRule="auto" w:before="0" w:after="0"/>
        <w:ind w:firstLine="720"/>
        <w:jc w:val="left"/>
      </w:pPr>
      <w:r>
        <w:rPr>
          <w:rFonts w:ascii="Times New Roman" w:hAnsi="Times New Roman"/>
          <w:b w:val="0"/>
          <w:i w:val="0"/>
          <w:color w:val="000000"/>
          <w:sz w:val="24"/>
        </w:rPr>
        <w:t>Model-based clustering (MBC; Fraley &amp; Raftery, 2002; Scrucca et al., 2016) and the related growth mixture modeling (GMM; Muthén, 2004; Nagin, 2005) and latent class growth analysis (LCGA; Nagin &amp; Land, 1993) approaches have become increasingly popular in educational research for identifying latent subgroups that follow qualitatively distinct developmental trajectories. Unlike traditional growth curve models that assume a single population trajectory with individual variation around the mean, these mixture approaches allow for the possibility of multiple latent classes, each with its own trajectory parameters.</w:t>
      </w:r>
    </w:p>
    <w:p>
      <w:pPr>
        <w:spacing w:line="480" w:lineRule="auto" w:before="0" w:after="0"/>
        <w:ind w:firstLine="720"/>
        <w:jc w:val="left"/>
      </w:pPr>
      <w:r>
        <w:rPr>
          <w:rFonts w:ascii="Times New Roman" w:hAnsi="Times New Roman"/>
          <w:b w:val="0"/>
          <w:i w:val="0"/>
          <w:color w:val="000000"/>
          <w:sz w:val="24"/>
        </w:rPr>
        <w:t>Model-based clustering, as implemented in the mclust framework (Scrucca et al., 2016), identifies clusters by fitting finite mixtures of Gaussian distributions to multivariate data. This approach is particularly flexible because it does not require specifying a parametric growth function, instead operating on the full multivariate feature space. By contrast, LCGA (Proust-Lima et al., 2017) explicitly models growth curves within a latent class framework, estimating class-specific intercepts and slopes for a specified outcome variable over time. The two approaches offer complementary strengths: MBC captures complex multivariate patterns across multiple indicators simultaneously, while LCGA directly models temporal change and provides interpretable growth parameters.</w:t>
      </w:r>
    </w:p>
    <w:p>
      <w:pPr>
        <w:spacing w:line="480" w:lineRule="auto" w:before="0" w:after="0"/>
        <w:ind w:firstLine="720"/>
        <w:jc w:val="left"/>
      </w:pPr>
      <w:r>
        <w:rPr>
          <w:rFonts w:ascii="Times New Roman" w:hAnsi="Times New Roman"/>
          <w:b w:val="0"/>
          <w:i w:val="0"/>
          <w:color w:val="000000"/>
          <w:sz w:val="24"/>
        </w:rPr>
        <w:t>In educational contexts, mixture modeling approaches have been applied to study diverse phenomena including reading development (Boscardin et al., 2008), mathematics learning trajectories (Musu-Gillette et al., 2015), engagement patterns in online learning (Guo &amp; Yang, 2021), and self-regulated learning processes (Broadbent &amp; Poon, 2015). These studies consistently demonstrate that treating learner populations as homogeneous obscures meaningful subgroup differences that carry implications for intervention design.</w:t>
      </w:r>
    </w:p>
    <w:p>
      <w:pPr>
        <w:spacing w:line="480" w:lineRule="auto" w:before="0" w:after="0"/>
        <w:ind w:firstLine="720"/>
        <w:jc w:val="left"/>
      </w:pPr>
      <w:r>
        <w:rPr>
          <w:rFonts w:ascii="Times New Roman" w:hAnsi="Times New Roman"/>
          <w:b w:val="0"/>
          <w:i w:val="0"/>
          <w:color w:val="000000"/>
          <w:sz w:val="24"/>
        </w:rPr>
        <w:t>Methodologically, mixture modeling in educational research faces several challenges including model selection (determining the optimal number of classes), class assignment uncertainty (entropy and posterior probability diagnostics), and the risk of extracting spurious classes driven by non-normality rather than genuine subgroups (Bauer &amp; Curran, 2003). Best practices recommend combining statistical fit indices (BIC, AIC, entropy) with substantive interpretability and theoretical grounding when determining the number of classes (Nylund et al., 2007; Ram &amp; Grimm, 2009). The use of multiple analytical approaches — such as combining MBC with LCGA — can further strengthen conclusions by demonstrating convergence (or informative divergence) across methods that make different distributional and structural assumptions.</w:t>
      </w:r>
    </w:p>
    <w:p>
      <w:pPr>
        <w:spacing w:line="480" w:lineRule="auto" w:before="0" w:after="0"/>
        <w:jc w:val="left"/>
      </w:pPr>
      <w:r>
        <w:rPr>
          <w:rFonts w:ascii="Times New Roman" w:hAnsi="Times New Roman"/>
          <w:b/>
          <w:i w:val="0"/>
          <w:color w:val="000000"/>
          <w:sz w:val="24"/>
        </w:rPr>
        <w:t>AI Tutoring Systems and Learner Behavior Research</w:t>
      </w:r>
    </w:p>
    <w:p>
      <w:pPr>
        <w:spacing w:line="480" w:lineRule="auto" w:before="0" w:after="0"/>
        <w:ind w:firstLine="720"/>
        <w:jc w:val="left"/>
      </w:pPr>
      <w:r>
        <w:rPr>
          <w:rFonts w:ascii="Times New Roman" w:hAnsi="Times New Roman"/>
          <w:b w:val="0"/>
          <w:i w:val="0"/>
          <w:color w:val="000000"/>
          <w:sz w:val="24"/>
        </w:rPr>
        <w:t>Intelligent tutoring systems (ITS) have a decades-long history of research demonstrating their effectiveness for personalized learning (VanLehn, 2011; du Boulay, 2016). More recent AI-powered tutoring platforms leverage knowledge tracing algorithms, collaborative filtering, and deep learning to adaptively recommend content to learners (Abdelrahman et al., 2023). Research on learner behavior within these systems has examined patterns of help-seeking (Aleven et al., 2003), hint usage (Baker et al., 2008), persistence and disengagement (Baker et al., 2010), and strategic behavior (Baker et al., 2004).</w:t>
      </w:r>
    </w:p>
    <w:p>
      <w:pPr>
        <w:spacing w:line="480" w:lineRule="auto" w:before="0" w:after="0"/>
        <w:ind w:firstLine="720"/>
        <w:jc w:val="left"/>
      </w:pPr>
      <w:r>
        <w:rPr>
          <w:rFonts w:ascii="Times New Roman" w:hAnsi="Times New Roman"/>
          <w:b w:val="0"/>
          <w:i w:val="0"/>
          <w:color w:val="000000"/>
          <w:sz w:val="24"/>
        </w:rPr>
        <w:t>The EdNet dataset (Choi et al., 2020) represents one of the largest publicly available educational datasets, comprising interaction logs from the Santa AI tutoring platform for standardized test preparation in South Korea. Studies using EdNet have examined knowledge tracing algorithms (Ghosh et al., 2020), question difficulty estimation (Choi et al., 2020), and adaptive learning system design (Shin et al., 2021). However, no prior study has used EdNet — or any comparable large-scale dataset — to examine reliance calibration trajectories.</w:t>
      </w:r>
    </w:p>
    <w:p>
      <w:pPr>
        <w:spacing w:line="480" w:lineRule="auto" w:before="0" w:after="0"/>
        <w:ind w:firstLine="720"/>
        <w:jc w:val="left"/>
      </w:pPr>
      <w:r>
        <w:rPr>
          <w:rFonts w:ascii="Times New Roman" w:hAnsi="Times New Roman"/>
          <w:b w:val="0"/>
          <w:i w:val="0"/>
          <w:color w:val="000000"/>
          <w:sz w:val="24"/>
        </w:rPr>
        <w:t>The current study addresses this gap by applying both model-based clustering and latent class growth analysis to longitudinal patterns of AI reliance and performance in the EdNet dataset, bringing together trust-in-automation theory, person-centered statistical methods, and large-scale educational data analytics.</w:t>
      </w:r>
    </w:p>
    <w:p>
      <w:r>
        <w:br w:type="page"/>
      </w:r>
    </w:p>
    <w:p>
      <w:pPr>
        <w:spacing w:line="480" w:lineRule="auto" w:before="0" w:after="0"/>
        <w:jc w:val="center"/>
      </w:pPr>
      <w:r>
        <w:rPr>
          <w:rFonts w:ascii="Times New Roman" w:hAnsi="Times New Roman"/>
          <w:b/>
          <w:i w:val="0"/>
          <w:color w:val="000000"/>
          <w:sz w:val="24"/>
        </w:rPr>
        <w:t>Method</w:t>
      </w:r>
    </w:p>
    <w:p>
      <w:pPr>
        <w:spacing w:line="480" w:lineRule="auto" w:before="0" w:after="0"/>
        <w:jc w:val="left"/>
      </w:pPr>
      <w:r>
        <w:rPr>
          <w:rFonts w:ascii="Times New Roman" w:hAnsi="Times New Roman"/>
          <w:b/>
          <w:i w:val="0"/>
          <w:color w:val="000000"/>
          <w:sz w:val="24"/>
        </w:rPr>
        <w:t>Data Source</w:t>
      </w:r>
    </w:p>
    <w:p>
      <w:pPr>
        <w:spacing w:line="480" w:lineRule="auto" w:before="0" w:after="0"/>
        <w:ind w:firstLine="720"/>
        <w:jc w:val="left"/>
      </w:pPr>
      <w:r>
        <w:rPr>
          <w:rFonts w:ascii="Times New Roman" w:hAnsi="Times New Roman"/>
          <w:b w:val="0"/>
          <w:i w:val="0"/>
          <w:color w:val="000000"/>
          <w:sz w:val="24"/>
        </w:rPr>
        <w:t>This study used the EdNet KT3 dataset (Choi et al., 2020), a large-scale educational interaction log from the Santa AI tutoring application. Santa is a mobile-based AI tutoring platform designed to help Korean students prepare for the Test of English for International Communication (TOEIC). The platform uses a knowledge tracing algorithm combined with collaborative filtering to generate adaptive recommendations for practice questions and explanatory content. The KT3 variant of the dataset includes detailed interaction-level data encompassing question-answering episodes, adaptive content recommendations (tagged as `adaptive_offer`), explanation-viewing behavior, timestamps, and correctness indicators.</w:t>
      </w:r>
    </w:p>
    <w:p>
      <w:pPr>
        <w:spacing w:line="480" w:lineRule="auto" w:before="0" w:after="0"/>
        <w:ind w:firstLine="720"/>
        <w:jc w:val="left"/>
      </w:pPr>
      <w:r>
        <w:rPr>
          <w:rFonts w:ascii="Times New Roman" w:hAnsi="Times New Roman"/>
          <w:b w:val="0"/>
          <w:i w:val="0"/>
          <w:color w:val="000000"/>
          <w:sz w:val="24"/>
        </w:rPr>
        <w:t>The full KT3 dataset contains records from 297,915 unique students. The dataset is publicly available and has been widely used in educational data mining research (Choi et al., 2020). Because the data were collected as de-identified system logs from a commercial platform, individual informed consent was not required; the dataset was released by the platform developers under a research license.</w:t>
      </w:r>
    </w:p>
    <w:p>
      <w:pPr>
        <w:spacing w:line="480" w:lineRule="auto" w:before="0" w:after="0"/>
        <w:jc w:val="left"/>
      </w:pPr>
      <w:r>
        <w:rPr>
          <w:rFonts w:ascii="Times New Roman" w:hAnsi="Times New Roman"/>
          <w:b/>
          <w:i w:val="0"/>
          <w:color w:val="000000"/>
          <w:sz w:val="24"/>
        </w:rPr>
        <w:t>Participants and Filtering Criteria</w:t>
      </w:r>
    </w:p>
    <w:p>
      <w:pPr>
        <w:spacing w:line="480" w:lineRule="auto" w:before="0" w:after="0"/>
        <w:ind w:firstLine="720"/>
        <w:jc w:val="left"/>
      </w:pPr>
      <w:r>
        <w:rPr>
          <w:rFonts w:ascii="Times New Roman" w:hAnsi="Times New Roman"/>
          <w:b w:val="0"/>
          <w:i w:val="0"/>
          <w:color w:val="000000"/>
          <w:sz w:val="24"/>
        </w:rPr>
        <w:t>From the initial pool of 297,915 students, we applied a series of filtering criteria designed to ensure sufficient data density for longitudinal trajectory analysis while retaining students who meaningfully engaged with the AI adaptive recommendation system. The filtering criteria and their rationale were as follows:</w:t>
      </w:r>
    </w:p>
    <w:p>
      <w:pPr>
        <w:spacing w:line="480" w:lineRule="auto" w:before="0" w:after="0"/>
        <w:ind w:firstLine="720"/>
        <w:jc w:val="left"/>
      </w:pPr>
      <w:r>
        <w:rPr>
          <w:rFonts w:ascii="Times New Roman" w:hAnsi="Times New Roman"/>
          <w:b w:val="0"/>
          <w:i w:val="0"/>
          <w:color w:val="000000"/>
          <w:sz w:val="24"/>
        </w:rPr>
        <w:t>First, students were required to have an adaptive offer engagement ratio of at least 0.10. That is, at least 10% of their total episodes were classified as `adaptive_offer` interactions. This threshold ensured that included students had meaningful exposure to the AI recommendation system, as students with negligible adaptive engagement could not exhibit meaningful reliance calibration patterns. The 10% threshold was chosen to balance inclusivity with analytical validity.</w:t>
      </w:r>
    </w:p>
    <w:p>
      <w:pPr>
        <w:spacing w:line="480" w:lineRule="auto" w:before="0" w:after="0"/>
        <w:ind w:firstLine="720"/>
        <w:jc w:val="left"/>
      </w:pPr>
      <w:r>
        <w:rPr>
          <w:rFonts w:ascii="Times New Roman" w:hAnsi="Times New Roman"/>
          <w:b w:val="0"/>
          <w:i w:val="0"/>
          <w:color w:val="000000"/>
          <w:sz w:val="24"/>
        </w:rPr>
        <w:t>Second, students were required to have completed at least 60 total episodes across their entire usage history. This minimum ensured sufficient data points for dividing the usage history into 10 temporal windows (see Section 3.3.1), with at least 6 episodes per window on average.</w:t>
      </w:r>
    </w:p>
    <w:p>
      <w:pPr>
        <w:spacing w:line="480" w:lineRule="auto" w:before="0" w:after="0"/>
        <w:ind w:firstLine="720"/>
        <w:jc w:val="left"/>
      </w:pPr>
      <w:r>
        <w:rPr>
          <w:rFonts w:ascii="Times New Roman" w:hAnsi="Times New Roman"/>
          <w:b w:val="0"/>
          <w:i w:val="0"/>
          <w:color w:val="000000"/>
          <w:sz w:val="24"/>
        </w:rPr>
        <w:t>Third, beyond the ratio criterion, students were required to have at least 5 absolute adaptive offer episodes. This floor ensured that the behavioral reliance measure (</w:t>
      </w:r>
      <w:r>
        <w:rPr>
          <w:rFonts w:ascii="Times New Roman" w:hAnsi="Times New Roman"/>
          <w:b w:val="0"/>
          <w:i/>
          <w:color w:val="000000"/>
          <w:sz w:val="24"/>
        </w:rPr>
        <w:t>R_b</w:t>
      </w:r>
      <w:r>
        <w:rPr>
          <w:rFonts w:ascii="Times New Roman" w:hAnsi="Times New Roman"/>
          <w:b w:val="0"/>
          <w:i w:val="0"/>
          <w:color w:val="000000"/>
          <w:sz w:val="24"/>
        </w:rPr>
        <w:t>) was based on a non-trivial number of AI recommendation interactions.</w:t>
      </w:r>
    </w:p>
    <w:p>
      <w:pPr>
        <w:spacing w:line="480" w:lineRule="auto" w:before="0" w:after="0"/>
        <w:ind w:firstLine="720"/>
        <w:jc w:val="left"/>
      </w:pPr>
      <w:r>
        <w:rPr>
          <w:rFonts w:ascii="Times New Roman" w:hAnsi="Times New Roman"/>
          <w:b w:val="0"/>
          <w:i w:val="0"/>
          <w:color w:val="000000"/>
          <w:sz w:val="24"/>
        </w:rPr>
        <w:t>Fourth, students were required to have used the platform across at least 1 calendar day. This criterion excluded students whose entire usage history occurred within a single brief session, which would not permit meaningful longitudinal analysis.</w:t>
      </w:r>
    </w:p>
    <w:p>
      <w:pPr>
        <w:spacing w:line="480" w:lineRule="auto" w:before="0" w:after="0"/>
        <w:ind w:firstLine="720"/>
        <w:jc w:val="left"/>
      </w:pPr>
      <w:r>
        <w:rPr>
          <w:rFonts w:ascii="Times New Roman" w:hAnsi="Times New Roman"/>
          <w:b w:val="0"/>
          <w:i w:val="0"/>
          <w:color w:val="000000"/>
          <w:sz w:val="24"/>
        </w:rPr>
        <w:t xml:space="preserve">After applying all four filters, the analytic sample comprised </w:t>
      </w:r>
      <w:r>
        <w:rPr>
          <w:rFonts w:ascii="Times New Roman" w:hAnsi="Times New Roman"/>
          <w:b/>
          <w:i w:val="0"/>
          <w:color w:val="000000"/>
          <w:sz w:val="24"/>
        </w:rPr>
        <w:t>N = 4,568</w:t>
      </w:r>
      <w:r>
        <w:rPr>
          <w:rFonts w:ascii="Times New Roman" w:hAnsi="Times New Roman"/>
          <w:b w:val="0"/>
          <w:i w:val="0"/>
          <w:color w:val="000000"/>
          <w:sz w:val="24"/>
        </w:rPr>
        <w:t xml:space="preserve"> students.</w:t>
      </w:r>
    </w:p>
    <w:p>
      <w:pPr>
        <w:spacing w:line="480" w:lineRule="auto" w:before="0" w:after="0"/>
        <w:jc w:val="left"/>
      </w:pPr>
      <w:r>
        <w:rPr>
          <w:rFonts w:ascii="Times New Roman" w:hAnsi="Times New Roman"/>
          <w:b/>
          <w:i w:val="0"/>
          <w:color w:val="000000"/>
          <w:sz w:val="24"/>
        </w:rPr>
        <w:t>Variables</w:t>
      </w:r>
    </w:p>
    <w:p>
      <w:pPr>
        <w:spacing w:line="480" w:lineRule="auto" w:before="0" w:after="0"/>
        <w:jc w:val="left"/>
      </w:pPr>
      <w:r>
        <w:rPr>
          <w:rFonts w:ascii="Times New Roman" w:hAnsi="Times New Roman"/>
          <w:b/>
          <w:i/>
          <w:color w:val="000000"/>
          <w:sz w:val="24"/>
        </w:rPr>
        <w:t>Temporal Windows</w:t>
      </w:r>
    </w:p>
    <w:p>
      <w:pPr>
        <w:spacing w:line="480" w:lineRule="auto" w:before="0" w:after="0"/>
        <w:ind w:firstLine="720"/>
        <w:jc w:val="left"/>
      </w:pPr>
      <w:r>
        <w:rPr>
          <w:rFonts w:ascii="Times New Roman" w:hAnsi="Times New Roman"/>
          <w:b w:val="0"/>
          <w:i w:val="0"/>
          <w:color w:val="000000"/>
          <w:sz w:val="24"/>
        </w:rPr>
        <w:t>Each student's complete episode sequence was divided into 10 non-overlapping temporal windows based on deciles of their individual episode count. That is, for a student with 100 episodes, window 1 (</w:t>
      </w:r>
      <w:r>
        <w:rPr>
          <w:rFonts w:ascii="Times New Roman" w:hAnsi="Times New Roman"/>
          <w:b w:val="0"/>
          <w:i/>
          <w:color w:val="000000"/>
          <w:sz w:val="24"/>
        </w:rPr>
        <w:t>\tau = 1</w:t>
      </w:r>
      <w:r>
        <w:rPr>
          <w:rFonts w:ascii="Times New Roman" w:hAnsi="Times New Roman"/>
          <w:b w:val="0"/>
          <w:i w:val="0"/>
          <w:color w:val="000000"/>
          <w:sz w:val="24"/>
        </w:rPr>
        <w:t>) comprised episodes 1--10, window 2 (</w:t>
      </w:r>
      <w:r>
        <w:rPr>
          <w:rFonts w:ascii="Times New Roman" w:hAnsi="Times New Roman"/>
          <w:b w:val="0"/>
          <w:i/>
          <w:color w:val="000000"/>
          <w:sz w:val="24"/>
        </w:rPr>
        <w:t>\tau = 2</w:t>
      </w:r>
      <w:r>
        <w:rPr>
          <w:rFonts w:ascii="Times New Roman" w:hAnsi="Times New Roman"/>
          <w:b w:val="0"/>
          <w:i w:val="0"/>
          <w:color w:val="000000"/>
          <w:sz w:val="24"/>
        </w:rPr>
        <w:t>) comprised episodes 11--20, and so on through window 10 (</w:t>
      </w:r>
      <w:r>
        <w:rPr>
          <w:rFonts w:ascii="Times New Roman" w:hAnsi="Times New Roman"/>
          <w:b w:val="0"/>
          <w:i/>
          <w:color w:val="000000"/>
          <w:sz w:val="24"/>
        </w:rPr>
        <w:t>\tau = 10</w:t>
      </w:r>
      <w:r>
        <w:rPr>
          <w:rFonts w:ascii="Times New Roman" w:hAnsi="Times New Roman"/>
          <w:b w:val="0"/>
          <w:i w:val="0"/>
          <w:color w:val="000000"/>
          <w:sz w:val="24"/>
        </w:rPr>
        <w:t>). This within-person normalization ensured that all students were represented on a common temporal scale regardless of differences in total usage volume, facilitating comparison of trajectory shapes across students with different engagement levels.</w:t>
      </w:r>
    </w:p>
    <w:p>
      <w:pPr>
        <w:spacing w:line="480" w:lineRule="auto" w:before="0" w:after="0"/>
        <w:jc w:val="left"/>
      </w:pPr>
      <w:r>
        <w:rPr>
          <w:rFonts w:ascii="Times New Roman" w:hAnsi="Times New Roman"/>
          <w:b/>
          <w:i/>
          <w:color w:val="000000"/>
          <w:sz w:val="24"/>
        </w:rPr>
        <w:t>Behavioral Reliance ($R_b$)</w:t>
      </w:r>
    </w:p>
    <w:p>
      <w:pPr>
        <w:spacing w:line="480" w:lineRule="auto" w:before="0" w:after="0"/>
        <w:ind w:firstLine="720"/>
        <w:jc w:val="left"/>
      </w:pPr>
      <w:r>
        <w:rPr>
          <w:rFonts w:ascii="Times New Roman" w:hAnsi="Times New Roman"/>
          <w:b w:val="0"/>
          <w:i w:val="0"/>
          <w:color w:val="000000"/>
          <w:sz w:val="24"/>
        </w:rPr>
        <w:t xml:space="preserve">For each temporal window </w:t>
      </w:r>
      <w:r>
        <w:rPr>
          <w:rFonts w:ascii="Times New Roman" w:hAnsi="Times New Roman"/>
          <w:b w:val="0"/>
          <w:i/>
          <w:color w:val="000000"/>
          <w:sz w:val="24"/>
        </w:rPr>
        <w:t>\tau</w:t>
      </w:r>
      <w:r>
        <w:rPr>
          <w:rFonts w:ascii="Times New Roman" w:hAnsi="Times New Roman"/>
          <w:b w:val="0"/>
          <w:i w:val="0"/>
          <w:color w:val="000000"/>
          <w:sz w:val="24"/>
        </w:rPr>
        <w:t>, behavioral reliance was operationalized as:</w:t>
      </w:r>
    </w:p>
    <w:p>
      <w:pPr>
        <w:spacing w:line="480" w:lineRule="auto" w:before="0" w:after="0"/>
        <w:jc w:val="center"/>
      </w:pPr>
      <w:r>
        <w:rPr>
          <w:rFonts w:ascii="Times New Roman" w:hAnsi="Times New Roman"/>
          <w:b w:val="0"/>
          <w:i/>
          <w:color w:val="000000"/>
          <w:sz w:val="24"/>
        </w:rPr>
        <w:t>R_b(\tau) = \frac{\text{Number of adaptive\_offer episodes in window } \tau}{\text{Total number of episodes in window } \tau}</w:t>
      </w:r>
    </w:p>
    <w:p>
      <w:pPr>
        <w:spacing w:line="480" w:lineRule="auto" w:before="0" w:after="0"/>
        <w:ind w:firstLine="720"/>
        <w:jc w:val="left"/>
      </w:pPr>
      <w:r>
        <w:rPr>
          <w:rFonts w:ascii="Times New Roman" w:hAnsi="Times New Roman"/>
          <w:b w:val="0"/>
          <w:i w:val="0"/>
          <w:color w:val="000000"/>
          <w:sz w:val="24"/>
        </w:rPr>
        <w:t xml:space="preserve">This measure captures the proportion of a student's activity in a given window that involved engaging with AI-recommended content, bounded between 0 and 1. Higher values indicate greater behavioral reliance on the AI recommendation system. We note that </w:t>
      </w:r>
      <w:r>
        <w:rPr>
          <w:rFonts w:ascii="Times New Roman" w:hAnsi="Times New Roman"/>
          <w:b w:val="0"/>
          <w:i/>
          <w:color w:val="000000"/>
          <w:sz w:val="24"/>
        </w:rPr>
        <w:t>R_b</w:t>
      </w:r>
      <w:r>
        <w:rPr>
          <w:rFonts w:ascii="Times New Roman" w:hAnsi="Times New Roman"/>
          <w:b w:val="0"/>
          <w:i w:val="0"/>
          <w:color w:val="000000"/>
          <w:sz w:val="24"/>
        </w:rPr>
        <w:t xml:space="preserve"> reflects the learner's acceptance of AI-offered content rather than a binary accept/reject decision; the platform surfaces adaptive offers as recommended content, and engaging with this content (versus self-selecting other content) constitutes the behavioral reliance decision.</w:t>
      </w:r>
    </w:p>
    <w:p>
      <w:pPr>
        <w:spacing w:line="480" w:lineRule="auto" w:before="0" w:after="0"/>
        <w:jc w:val="left"/>
      </w:pPr>
      <w:r>
        <w:rPr>
          <w:rFonts w:ascii="Times New Roman" w:hAnsi="Times New Roman"/>
          <w:b/>
          <w:i/>
          <w:color w:val="000000"/>
          <w:sz w:val="24"/>
        </w:rPr>
        <w:t>Performance ($P$)</w:t>
      </w:r>
    </w:p>
    <w:p>
      <w:pPr>
        <w:spacing w:line="480" w:lineRule="auto" w:before="0" w:after="0"/>
        <w:ind w:firstLine="720"/>
        <w:jc w:val="left"/>
      </w:pPr>
      <w:r>
        <w:rPr>
          <w:rFonts w:ascii="Times New Roman" w:hAnsi="Times New Roman"/>
          <w:b w:val="0"/>
          <w:i w:val="0"/>
          <w:color w:val="000000"/>
          <w:sz w:val="24"/>
        </w:rPr>
        <w:t xml:space="preserve">For each temporal window </w:t>
      </w:r>
      <w:r>
        <w:rPr>
          <w:rFonts w:ascii="Times New Roman" w:hAnsi="Times New Roman"/>
          <w:b w:val="0"/>
          <w:i/>
          <w:color w:val="000000"/>
          <w:sz w:val="24"/>
        </w:rPr>
        <w:t>\tau</w:t>
      </w:r>
      <w:r>
        <w:rPr>
          <w:rFonts w:ascii="Times New Roman" w:hAnsi="Times New Roman"/>
          <w:b w:val="0"/>
          <w:i w:val="0"/>
          <w:color w:val="000000"/>
          <w:sz w:val="24"/>
        </w:rPr>
        <w:t>, performance was operationalized as:</w:t>
      </w:r>
    </w:p>
    <w:p>
      <w:pPr>
        <w:spacing w:line="480" w:lineRule="auto" w:before="0" w:after="0"/>
        <w:jc w:val="center"/>
      </w:pPr>
      <w:r>
        <w:rPr>
          <w:rFonts w:ascii="Times New Roman" w:hAnsi="Times New Roman"/>
          <w:b w:val="0"/>
          <w:i/>
          <w:color w:val="000000"/>
          <w:sz w:val="24"/>
        </w:rPr>
        <w:t>P(\tau) = \frac{\text{Number of correct responses in window } \tau}{\text{Total number of question-answering episodes in window } \tau}</w:t>
      </w:r>
    </w:p>
    <w:p>
      <w:pPr>
        <w:spacing w:line="480" w:lineRule="auto" w:before="0" w:after="0"/>
        <w:ind w:firstLine="720"/>
        <w:jc w:val="left"/>
      </w:pPr>
      <w:r>
        <w:rPr>
          <w:rFonts w:ascii="Times New Roman" w:hAnsi="Times New Roman"/>
          <w:b w:val="0"/>
          <w:i w:val="0"/>
          <w:color w:val="000000"/>
          <w:sz w:val="24"/>
        </w:rPr>
        <w:t>This measure captures the proportion of questions answered correctly, bounded between 0 and 1. Higher values indicate better performance.</w:t>
      </w:r>
    </w:p>
    <w:p>
      <w:pPr>
        <w:spacing w:line="480" w:lineRule="auto" w:before="0" w:after="0"/>
        <w:jc w:val="left"/>
      </w:pPr>
      <w:r>
        <w:rPr>
          <w:rFonts w:ascii="Times New Roman" w:hAnsi="Times New Roman"/>
          <w:b/>
          <w:i/>
          <w:color w:val="000000"/>
          <w:sz w:val="24"/>
        </w:rPr>
        <w:t>Reliance-Performance Gap</w:t>
      </w:r>
    </w:p>
    <w:p>
      <w:pPr>
        <w:spacing w:line="480" w:lineRule="auto" w:before="0" w:after="0"/>
        <w:ind w:firstLine="720"/>
        <w:jc w:val="left"/>
      </w:pPr>
      <w:r>
        <w:rPr>
          <w:rFonts w:ascii="Times New Roman" w:hAnsi="Times New Roman"/>
          <w:b w:val="0"/>
          <w:i w:val="0"/>
          <w:color w:val="000000"/>
          <w:sz w:val="24"/>
        </w:rPr>
        <w:t>The signed gap between reliance and performance was computed as:</w:t>
      </w:r>
    </w:p>
    <w:p>
      <w:pPr>
        <w:spacing w:line="480" w:lineRule="auto" w:before="0" w:after="0"/>
        <w:jc w:val="center"/>
      </w:pPr>
      <w:r>
        <w:rPr>
          <w:rFonts w:ascii="Times New Roman" w:hAnsi="Times New Roman"/>
          <w:b w:val="0"/>
          <w:i/>
          <w:color w:val="000000"/>
          <w:sz w:val="24"/>
        </w:rPr>
        <w:t>\text{Gap}(\tau) = R_b(\tau) - P(\tau)</w:t>
      </w:r>
    </w:p>
    <w:p>
      <w:pPr>
        <w:spacing w:line="480" w:lineRule="auto" w:before="0" w:after="0"/>
        <w:ind w:firstLine="720"/>
        <w:jc w:val="left"/>
      </w:pPr>
      <w:r>
        <w:rPr>
          <w:rFonts w:ascii="Times New Roman" w:hAnsi="Times New Roman"/>
          <w:b w:val="0"/>
          <w:i w:val="0"/>
          <w:color w:val="000000"/>
          <w:sz w:val="24"/>
        </w:rPr>
        <w:t>Positive values indicate over-reliance (reliance exceeds performance), negative values indicate under-reliance (performance exceeds reliance), and values near zero indicate calibration. The trajectory of this gap across windows captures the calibration dynamics central to our theoretical framework.</w:t>
      </w:r>
    </w:p>
    <w:p>
      <w:pPr>
        <w:spacing w:line="480" w:lineRule="auto" w:before="0" w:after="0"/>
        <w:jc w:val="left"/>
      </w:pPr>
      <w:r>
        <w:rPr>
          <w:rFonts w:ascii="Times New Roman" w:hAnsi="Times New Roman"/>
          <w:b/>
          <w:i/>
          <w:color w:val="000000"/>
          <w:sz w:val="24"/>
        </w:rPr>
        <w:t>Alternative Performance Operationalization: Adaptive Performance ($P_{\text{adaptive}}$)</w:t>
      </w:r>
    </w:p>
    <w:p>
      <w:pPr>
        <w:spacing w:line="480" w:lineRule="auto" w:before="0" w:after="0"/>
        <w:ind w:firstLine="720"/>
        <w:jc w:val="left"/>
      </w:pPr>
      <w:r>
        <w:rPr>
          <w:rFonts w:ascii="Times New Roman" w:hAnsi="Times New Roman"/>
          <w:b w:val="0"/>
          <w:i w:val="0"/>
          <w:color w:val="000000"/>
          <w:sz w:val="24"/>
        </w:rPr>
        <w:t>To detect calibration patterns that may be invisible under the original operationalization, we introduced an alternative performance measure that isolates student performance on AI-recommended questions specifically. This operationalization was motivated by the recognition that a learner's overall accuracy (</w:t>
      </w:r>
      <w:r>
        <w:rPr>
          <w:rFonts w:ascii="Times New Roman" w:hAnsi="Times New Roman"/>
          <w:b w:val="0"/>
          <w:i/>
          <w:color w:val="000000"/>
          <w:sz w:val="24"/>
        </w:rPr>
        <w:t>P</w:t>
      </w:r>
      <w:r>
        <w:rPr>
          <w:rFonts w:ascii="Times New Roman" w:hAnsi="Times New Roman"/>
          <w:b w:val="0"/>
          <w:i w:val="0"/>
          <w:color w:val="000000"/>
          <w:sz w:val="24"/>
        </w:rPr>
        <w:t>) conflates performance on self-selected questions with performance on AI-recommended questions, potentially masking the degree to which the AI system's recommendations are benefiting the learner.</w:t>
      </w:r>
    </w:p>
    <w:p>
      <w:pPr>
        <w:spacing w:line="480" w:lineRule="auto" w:before="0" w:after="0"/>
        <w:ind w:firstLine="720"/>
        <w:jc w:val="left"/>
      </w:pPr>
      <w:r>
        <w:rPr>
          <w:rFonts w:ascii="Times New Roman" w:hAnsi="Times New Roman"/>
          <w:b w:val="0"/>
          <w:i w:val="0"/>
          <w:color w:val="000000"/>
          <w:sz w:val="24"/>
        </w:rPr>
        <w:t>Adaptive performance was defined as accuracy on AI-recommended questions only:</w:t>
      </w:r>
    </w:p>
    <w:p>
      <w:pPr>
        <w:spacing w:line="480" w:lineRule="auto" w:before="0" w:after="0"/>
        <w:jc w:val="center"/>
      </w:pPr>
      <w:r>
        <w:rPr>
          <w:rFonts w:ascii="Times New Roman" w:hAnsi="Times New Roman"/>
          <w:b w:val="0"/>
          <w:i/>
          <w:color w:val="000000"/>
          <w:sz w:val="24"/>
        </w:rPr>
        <w:t>P_{\text{adaptive}}(\tau) = \frac{\text{Correct responses on adaptive questions in window } \tau}{\text{Total adaptive questions in window } \tau}</w:t>
      </w:r>
    </w:p>
    <w:p>
      <w:pPr>
        <w:spacing w:line="480" w:lineRule="auto" w:before="0" w:after="0"/>
        <w:ind w:firstLine="720"/>
        <w:jc w:val="left"/>
      </w:pPr>
      <w:r>
        <w:rPr>
          <w:rFonts w:ascii="Times New Roman" w:hAnsi="Times New Roman"/>
          <w:b w:val="0"/>
          <w:i w:val="0"/>
          <w:color w:val="000000"/>
          <w:sz w:val="24"/>
        </w:rPr>
        <w:t>Similarly, non-adaptive performance was defined as:</w:t>
      </w:r>
    </w:p>
    <w:p>
      <w:pPr>
        <w:spacing w:line="480" w:lineRule="auto" w:before="0" w:after="0"/>
        <w:jc w:val="center"/>
      </w:pPr>
      <w:r>
        <w:rPr>
          <w:rFonts w:ascii="Times New Roman" w:hAnsi="Times New Roman"/>
          <w:b w:val="0"/>
          <w:i/>
          <w:color w:val="000000"/>
          <w:sz w:val="24"/>
        </w:rPr>
        <w:t>P_{\text{non-adaptive}}(\tau) = \frac{\text{Correct responses on self-selected questions in window } \tau}{\text{Total self-selected questions in window } \tau}</w:t>
      </w:r>
    </w:p>
    <w:p>
      <w:pPr>
        <w:spacing w:line="480" w:lineRule="auto" w:before="0" w:after="0"/>
        <w:ind w:firstLine="720"/>
        <w:jc w:val="left"/>
      </w:pPr>
      <w:r>
        <w:rPr>
          <w:rFonts w:ascii="Times New Roman" w:hAnsi="Times New Roman"/>
          <w:b w:val="0"/>
          <w:i w:val="0"/>
          <w:color w:val="000000"/>
          <w:sz w:val="24"/>
        </w:rPr>
        <w:t>The AI benefit metric was computed as the difference:</w:t>
      </w:r>
    </w:p>
    <w:p>
      <w:pPr>
        <w:spacing w:line="480" w:lineRule="auto" w:before="0" w:after="0"/>
        <w:jc w:val="center"/>
      </w:pPr>
      <w:r>
        <w:rPr>
          <w:rFonts w:ascii="Times New Roman" w:hAnsi="Times New Roman"/>
          <w:b w:val="0"/>
          <w:i/>
          <w:color w:val="000000"/>
          <w:sz w:val="24"/>
        </w:rPr>
        <w:t>\text{AI\_benefit}(\tau) = P_{\text{adaptive}}(\tau) - P_{\text{non-adaptive}}(\tau)</w:t>
      </w:r>
    </w:p>
    <w:p>
      <w:pPr>
        <w:spacing w:line="480" w:lineRule="auto" w:before="0" w:after="0"/>
        <w:ind w:firstLine="720"/>
        <w:jc w:val="left"/>
      </w:pPr>
      <w:r>
        <w:rPr>
          <w:rFonts w:ascii="Times New Roman" w:hAnsi="Times New Roman"/>
          <w:b w:val="0"/>
          <w:i w:val="0"/>
          <w:color w:val="000000"/>
          <w:sz w:val="24"/>
        </w:rPr>
        <w:t xml:space="preserve">Across the sample, the mean </w:t>
      </w:r>
      <w:r>
        <w:rPr>
          <w:rFonts w:ascii="Times New Roman" w:hAnsi="Times New Roman"/>
          <w:b w:val="0"/>
          <w:i/>
          <w:color w:val="000000"/>
          <w:sz w:val="24"/>
        </w:rPr>
        <w:t>P_{\text{adaptive}}</w:t>
      </w:r>
      <w:r>
        <w:rPr>
          <w:rFonts w:ascii="Times New Roman" w:hAnsi="Times New Roman"/>
          <w:b w:val="0"/>
          <w:i w:val="0"/>
          <w:color w:val="000000"/>
          <w:sz w:val="24"/>
        </w:rPr>
        <w:t xml:space="preserve"> was 0.738, the mean </w:t>
      </w:r>
      <w:r>
        <w:rPr>
          <w:rFonts w:ascii="Times New Roman" w:hAnsi="Times New Roman"/>
          <w:b w:val="0"/>
          <w:i/>
          <w:color w:val="000000"/>
          <w:sz w:val="24"/>
        </w:rPr>
        <w:t>P_{\text{non-adaptive}}</w:t>
      </w:r>
      <w:r>
        <w:rPr>
          <w:rFonts w:ascii="Times New Roman" w:hAnsi="Times New Roman"/>
          <w:b w:val="0"/>
          <w:i w:val="0"/>
          <w:color w:val="000000"/>
          <w:sz w:val="24"/>
        </w:rPr>
        <w:t xml:space="preserve"> was 0.554, and the mean AI benefit was +0.187, indicating that students performed substantially better on AI-recommended questions than on self-selected questions. This finding is consistent with the adaptive algorithm successfully identifying questions at an appropriate difficulty level.</w:t>
      </w:r>
    </w:p>
    <w:p>
      <w:pPr>
        <w:spacing w:line="480" w:lineRule="auto" w:before="0" w:after="0"/>
        <w:ind w:firstLine="720"/>
        <w:jc w:val="left"/>
      </w:pPr>
      <w:r>
        <w:rPr>
          <w:rFonts w:ascii="Times New Roman" w:hAnsi="Times New Roman"/>
          <w:b w:val="0"/>
          <w:i w:val="0"/>
          <w:color w:val="000000"/>
          <w:sz w:val="24"/>
        </w:rPr>
        <w:t>The alternative calibration gap was then defined as:</w:t>
      </w:r>
    </w:p>
    <w:p>
      <w:pPr>
        <w:spacing w:line="480" w:lineRule="auto" w:before="0" w:after="0"/>
        <w:jc w:val="center"/>
      </w:pPr>
      <w:r>
        <w:rPr>
          <w:rFonts w:ascii="Times New Roman" w:hAnsi="Times New Roman"/>
          <w:b w:val="0"/>
          <w:i/>
          <w:color w:val="000000"/>
          <w:sz w:val="24"/>
        </w:rPr>
        <w:t>\text{Gap}_{\text{new}}(\tau) = R_b(\tau) - P_{\text{adaptive}}(\tau)</w:t>
      </w:r>
    </w:p>
    <w:p>
      <w:pPr>
        <w:spacing w:line="480" w:lineRule="auto" w:before="0" w:after="0"/>
        <w:ind w:firstLine="720"/>
        <w:jc w:val="left"/>
      </w:pPr>
      <w:r>
        <w:rPr>
          <w:rFonts w:ascii="Times New Roman" w:hAnsi="Times New Roman"/>
          <w:b w:val="0"/>
          <w:i w:val="0"/>
          <w:color w:val="000000"/>
          <w:sz w:val="24"/>
        </w:rPr>
        <w:t xml:space="preserve">This reformulation captures a wider range of variation because </w:t>
      </w:r>
      <w:r>
        <w:rPr>
          <w:rFonts w:ascii="Times New Roman" w:hAnsi="Times New Roman"/>
          <w:b w:val="0"/>
          <w:i/>
          <w:color w:val="000000"/>
          <w:sz w:val="24"/>
        </w:rPr>
        <w:t>P_{\text{adaptive}}</w:t>
      </w:r>
      <w:r>
        <w:rPr>
          <w:rFonts w:ascii="Times New Roman" w:hAnsi="Times New Roman"/>
          <w:b w:val="0"/>
          <w:i w:val="0"/>
          <w:color w:val="000000"/>
          <w:sz w:val="24"/>
        </w:rPr>
        <w:t xml:space="preserve"> tends to be higher than overall </w:t>
      </w:r>
      <w:r>
        <w:rPr>
          <w:rFonts w:ascii="Times New Roman" w:hAnsi="Times New Roman"/>
          <w:b w:val="0"/>
          <w:i/>
          <w:color w:val="000000"/>
          <w:sz w:val="24"/>
        </w:rPr>
        <w:t>P</w:t>
      </w:r>
      <w:r>
        <w:rPr>
          <w:rFonts w:ascii="Times New Roman" w:hAnsi="Times New Roman"/>
          <w:b w:val="0"/>
          <w:i w:val="0"/>
          <w:color w:val="000000"/>
          <w:sz w:val="24"/>
        </w:rPr>
        <w:t xml:space="preserve">, producing more negative gap values and greater sensitivity to patterns where the AI system's effectiveness changes over time. Approximately 23.8% of student-window observations were missing </w:t>
      </w:r>
      <w:r>
        <w:rPr>
          <w:rFonts w:ascii="Times New Roman" w:hAnsi="Times New Roman"/>
          <w:b w:val="0"/>
          <w:i/>
          <w:color w:val="000000"/>
          <w:sz w:val="24"/>
        </w:rPr>
        <w:t>P_{\text{adaptive}}</w:t>
      </w:r>
      <w:r>
        <w:rPr>
          <w:rFonts w:ascii="Times New Roman" w:hAnsi="Times New Roman"/>
          <w:b w:val="0"/>
          <w:i w:val="0"/>
          <w:color w:val="000000"/>
          <w:sz w:val="24"/>
        </w:rPr>
        <w:t xml:space="preserve"> values because no adaptive questions were attempted in those windows, necessitating a reduced subsample for analyses using this operationalization.</w:t>
      </w:r>
    </w:p>
    <w:p>
      <w:pPr>
        <w:spacing w:line="480" w:lineRule="auto" w:before="0" w:after="0"/>
        <w:jc w:val="left"/>
      </w:pPr>
      <w:r>
        <w:rPr>
          <w:rFonts w:ascii="Times New Roman" w:hAnsi="Times New Roman"/>
          <w:b/>
          <w:i/>
          <w:color w:val="000000"/>
          <w:sz w:val="24"/>
        </w:rPr>
        <w:t>Early Behavior Features (for RQ4)</w:t>
      </w:r>
    </w:p>
    <w:p>
      <w:pPr>
        <w:spacing w:line="480" w:lineRule="auto" w:before="0" w:after="0"/>
        <w:ind w:firstLine="720"/>
        <w:jc w:val="left"/>
      </w:pPr>
      <w:r>
        <w:rPr>
          <w:rFonts w:ascii="Times New Roman" w:hAnsi="Times New Roman"/>
          <w:b w:val="0"/>
          <w:i w:val="0"/>
          <w:color w:val="000000"/>
          <w:sz w:val="24"/>
        </w:rPr>
        <w:t>To investigate whether early behavior predicted subsequent trajectory class membership (RQ4), we extracted several features from the first temporal window (</w:t>
      </w:r>
      <w:r>
        <w:rPr>
          <w:rFonts w:ascii="Times New Roman" w:hAnsi="Times New Roman"/>
          <w:b w:val="0"/>
          <w:i/>
          <w:color w:val="000000"/>
          <w:sz w:val="24"/>
        </w:rPr>
        <w:t>\tau = 1</w:t>
      </w:r>
      <w:r>
        <w:rPr>
          <w:rFonts w:ascii="Times New Roman" w:hAnsi="Times New Roman"/>
          <w:b w:val="0"/>
          <w:i w:val="0"/>
          <w:color w:val="000000"/>
          <w:sz w:val="24"/>
        </w:rPr>
        <w:t>) and, where applicable, from the first two windows (</w:t>
      </w:r>
      <w:r>
        <w:rPr>
          <w:rFonts w:ascii="Times New Roman" w:hAnsi="Times New Roman"/>
          <w:b w:val="0"/>
          <w:i/>
          <w:color w:val="000000"/>
          <w:sz w:val="24"/>
        </w:rPr>
        <w:t>\tau = 1, 2</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val="0"/>
          <w:i w:val="0"/>
          <w:color w:val="000000"/>
          <w:sz w:val="24"/>
        </w:rPr>
        <w:t xml:space="preserve">Early reliance rate (`early_R_b`) was defined as </w:t>
      </w:r>
      <w:r>
        <w:rPr>
          <w:rFonts w:ascii="Times New Roman" w:hAnsi="Times New Roman"/>
          <w:b w:val="0"/>
          <w:i/>
          <w:color w:val="000000"/>
          <w:sz w:val="24"/>
        </w:rPr>
        <w:t>R_b(\tau = 1)</w:t>
      </w:r>
      <w:r>
        <w:rPr>
          <w:rFonts w:ascii="Times New Roman" w:hAnsi="Times New Roman"/>
          <w:b w:val="0"/>
          <w:i w:val="0"/>
          <w:color w:val="000000"/>
          <w:sz w:val="24"/>
        </w:rPr>
        <w:t xml:space="preserve">, the proportion of adaptive episodes in the first window. Early exploration rate (`early_expl_rate`) was defined as the proportion of episodes in the first window where the student viewed explanatory content following a question attempt. This variable serves as a proxy for metacognitive engagement, as explanation-seeking behavior reflects a disposition to understand underlying reasoning rather than merely attempting and moving on. Early average explanation duration (`early_avg_expl_dur_s`) was defined as the mean time in seconds that students spent viewing explanation content in the first window. Longer durations may indicate deeper processing of explanatory material. Early performance (`early_P`) was defined as </w:t>
      </w:r>
      <w:r>
        <w:rPr>
          <w:rFonts w:ascii="Times New Roman" w:hAnsi="Times New Roman"/>
          <w:b w:val="0"/>
          <w:i/>
          <w:color w:val="000000"/>
          <w:sz w:val="24"/>
        </w:rPr>
        <w:t>P(\tau = 1)</w:t>
      </w:r>
      <w:r>
        <w:rPr>
          <w:rFonts w:ascii="Times New Roman" w:hAnsi="Times New Roman"/>
          <w:b w:val="0"/>
          <w:i w:val="0"/>
          <w:color w:val="000000"/>
          <w:sz w:val="24"/>
        </w:rPr>
        <w:t>, accuracy in the first window.</w:t>
      </w:r>
    </w:p>
    <w:p>
      <w:pPr>
        <w:spacing w:line="480" w:lineRule="auto" w:before="0" w:after="0"/>
        <w:jc w:val="left"/>
      </w:pPr>
      <w:r>
        <w:rPr>
          <w:rFonts w:ascii="Times New Roman" w:hAnsi="Times New Roman"/>
          <w:b/>
          <w:i/>
          <w:color w:val="000000"/>
          <w:sz w:val="24"/>
        </w:rPr>
        <w:t>Outcome Variables (for RQ5)</w:t>
      </w:r>
    </w:p>
    <w:p>
      <w:pPr>
        <w:spacing w:line="480" w:lineRule="auto" w:before="0" w:after="0"/>
        <w:ind w:firstLine="720"/>
        <w:jc w:val="left"/>
      </w:pPr>
      <w:r>
        <w:rPr>
          <w:rFonts w:ascii="Times New Roman" w:hAnsi="Times New Roman"/>
          <w:b w:val="0"/>
          <w:i w:val="0"/>
          <w:color w:val="000000"/>
          <w:sz w:val="24"/>
        </w:rPr>
        <w:t xml:space="preserve">Two outcome variables were computed for examining class differences in learning outcomes. Overall accuracy was defined as the proportion of correctly answered questions across the student's entire episode history. Accuracy improvement was computed as </w:t>
      </w:r>
      <w:r>
        <w:rPr>
          <w:rFonts w:ascii="Times New Roman" w:hAnsi="Times New Roman"/>
          <w:b w:val="0"/>
          <w:i/>
          <w:color w:val="000000"/>
          <w:sz w:val="24"/>
        </w:rPr>
        <w:t>P(\tau = 10) - P(\tau = 1)</w:t>
      </w:r>
      <w:r>
        <w:rPr>
          <w:rFonts w:ascii="Times New Roman" w:hAnsi="Times New Roman"/>
          <w:b w:val="0"/>
          <w:i w:val="0"/>
          <w:color w:val="000000"/>
          <w:sz w:val="24"/>
        </w:rPr>
        <w:t>, capturing the change in performance from the first to the last temporal window.</w:t>
      </w:r>
    </w:p>
    <w:p>
      <w:pPr>
        <w:spacing w:line="480" w:lineRule="auto" w:before="0" w:after="0"/>
        <w:jc w:val="left"/>
      </w:pPr>
      <w:r>
        <w:rPr>
          <w:rFonts w:ascii="Times New Roman" w:hAnsi="Times New Roman"/>
          <w:b/>
          <w:i w:val="0"/>
          <w:color w:val="000000"/>
          <w:sz w:val="24"/>
        </w:rPr>
        <w:t>Table 1</w:t>
      </w:r>
    </w:p>
    <w:p>
      <w:pPr>
        <w:spacing w:line="480" w:lineRule="auto" w:before="0" w:after="0"/>
        <w:jc w:val="left"/>
      </w:pPr>
      <w:r>
        <w:rPr>
          <w:rFonts w:ascii="Times New Roman" w:hAnsi="Times New Roman"/>
          <w:b w:val="0"/>
          <w:i/>
          <w:color w:val="000000"/>
          <w:sz w:val="24"/>
        </w:rPr>
        <w:t>HERE: Descriptive statistics for $R_b$, $P$, and Gap across 10 temporal windows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1</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2</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3</w:t>
            </w:r>
          </w:p>
        </w:tc>
      </w:tr>
      <w:tr>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[Table notes to be added]</w:t>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Analytical Approach</w:t>
      </w:r>
    </w:p>
    <w:p>
      <w:pPr>
        <w:spacing w:line="480" w:lineRule="auto" w:before="0" w:after="0"/>
        <w:jc w:val="left"/>
      </w:pPr>
      <w:r>
        <w:rPr>
          <w:rFonts w:ascii="Times New Roman" w:hAnsi="Times New Roman"/>
          <w:b/>
          <w:i/>
          <w:color w:val="000000"/>
          <w:sz w:val="24"/>
        </w:rPr>
        <w:t>Phase 1: Data Preparation</w:t>
      </w:r>
    </w:p>
    <w:p>
      <w:pPr>
        <w:spacing w:line="480" w:lineRule="auto" w:before="0" w:after="0"/>
        <w:ind w:firstLine="720"/>
        <w:jc w:val="left"/>
      </w:pPr>
      <w:r>
        <w:rPr>
          <w:rFonts w:ascii="Times New Roman" w:hAnsi="Times New Roman"/>
          <w:b w:val="0"/>
          <w:i w:val="0"/>
          <w:color w:val="000000"/>
          <w:sz w:val="24"/>
        </w:rPr>
        <w:t xml:space="preserve">The filtered dataset (N = 4,568) was processed to compute the 10-window time series for each student. For each student, the episode sequence was divided into decile-based windows, and </w:t>
      </w:r>
      <w:r>
        <w:rPr>
          <w:rFonts w:ascii="Times New Roman" w:hAnsi="Times New Roman"/>
          <w:b w:val="0"/>
          <w:i/>
          <w:color w:val="000000"/>
          <w:sz w:val="24"/>
        </w:rPr>
        <w:t>R_b(\tau)</w:t>
      </w:r>
      <w:r>
        <w:rPr>
          <w:rFonts w:ascii="Times New Roman" w:hAnsi="Times New Roman"/>
          <w:b w:val="0"/>
          <w:i w:val="0"/>
          <w:color w:val="000000"/>
          <w:sz w:val="24"/>
        </w:rPr>
        <w:t xml:space="preserve"> and </w:t>
      </w:r>
      <w:r>
        <w:rPr>
          <w:rFonts w:ascii="Times New Roman" w:hAnsi="Times New Roman"/>
          <w:b w:val="0"/>
          <w:i/>
          <w:color w:val="000000"/>
          <w:sz w:val="24"/>
        </w:rPr>
        <w:t>P(\tau)</w:t>
      </w:r>
      <w:r>
        <w:rPr>
          <w:rFonts w:ascii="Times New Roman" w:hAnsi="Times New Roman"/>
          <w:b w:val="0"/>
          <w:i w:val="0"/>
          <w:color w:val="000000"/>
          <w:sz w:val="24"/>
        </w:rPr>
        <w:t xml:space="preserve"> were computed within each window. This yielded a wide-format dataset with 20 features per student: </w:t>
      </w:r>
      <w:r>
        <w:rPr>
          <w:rFonts w:ascii="Times New Roman" w:hAnsi="Times New Roman"/>
          <w:b w:val="0"/>
          <w:i/>
          <w:color w:val="000000"/>
          <w:sz w:val="24"/>
        </w:rPr>
        <w:t>R_b(1), R_b(2), \ldots, R_b(10), P(1), P(2), \ldots, P(10)</w:t>
      </w:r>
      <w:r>
        <w:rPr>
          <w:rFonts w:ascii="Times New Roman" w:hAnsi="Times New Roman"/>
          <w:b w:val="0"/>
          <w:i w:val="0"/>
          <w:color w:val="000000"/>
          <w:sz w:val="24"/>
        </w:rPr>
        <w:t>.</w:t>
      </w:r>
    </w:p>
    <w:p>
      <w:pPr>
        <w:spacing w:line="480" w:lineRule="auto" w:before="0" w:after="0"/>
        <w:jc w:val="left"/>
      </w:pPr>
      <w:r>
        <w:rPr>
          <w:rFonts w:ascii="Times New Roman" w:hAnsi="Times New Roman"/>
          <w:b/>
          <w:i/>
          <w:color w:val="000000"/>
          <w:sz w:val="24"/>
        </w:rPr>
        <w:t>Phase 2A: Model-Based Clustering (RQ1)</w:t>
      </w:r>
    </w:p>
    <w:p>
      <w:pPr>
        <w:spacing w:line="480" w:lineRule="auto" w:before="0" w:after="0"/>
        <w:ind w:firstLine="720"/>
        <w:jc w:val="left"/>
      </w:pPr>
      <w:r>
        <w:rPr>
          <w:rFonts w:ascii="Times New Roman" w:hAnsi="Times New Roman"/>
          <w:b w:val="0"/>
          <w:i w:val="0"/>
          <w:color w:val="000000"/>
          <w:sz w:val="24"/>
        </w:rPr>
        <w:t xml:space="preserve">To identify distinct trajectory classes, we employed model-based clustering (MBC) using the `mclust` package (Scrucca et al., 2016) in R. The choice of MBC over the originally planned latent class mixed model via the `lcmm` package (Proust-Lima et al., 2017) was driven by empirical necessity: the planned parametric-process models failed to converge due to the severe zero-inflation in the </w:t>
      </w:r>
      <w:r>
        <w:rPr>
          <w:rFonts w:ascii="Times New Roman" w:hAnsi="Times New Roman"/>
          <w:b w:val="0"/>
          <w:i/>
          <w:color w:val="000000"/>
          <w:sz w:val="24"/>
        </w:rPr>
        <w:t>R_b</w:t>
      </w:r>
      <w:r>
        <w:rPr>
          <w:rFonts w:ascii="Times New Roman" w:hAnsi="Times New Roman"/>
          <w:b w:val="0"/>
          <w:i w:val="0"/>
          <w:color w:val="000000"/>
          <w:sz w:val="24"/>
        </w:rPr>
        <w:t xml:space="preserve"> variable. Many students had </w:t>
      </w:r>
      <w:r>
        <w:rPr>
          <w:rFonts w:ascii="Times New Roman" w:hAnsi="Times New Roman"/>
          <w:b w:val="0"/>
          <w:i/>
          <w:color w:val="000000"/>
          <w:sz w:val="24"/>
        </w:rPr>
        <w:t>R_b = 0</w:t>
      </w:r>
      <w:r>
        <w:rPr>
          <w:rFonts w:ascii="Times New Roman" w:hAnsi="Times New Roman"/>
          <w:b w:val="0"/>
          <w:i w:val="0"/>
          <w:color w:val="000000"/>
          <w:sz w:val="24"/>
        </w:rPr>
        <w:t xml:space="preserve"> in early windows, creating a point mass at zero that violated the distributional assumptions of the `lcmm` mixed-effects framework. The wide-format MBC approach via `mclust` does not require specifying a parametric growth function and accommodates non-standard distributions more flexibly, albeit at the cost of not modeling individual-level random effects.</w:t>
      </w:r>
    </w:p>
    <w:p>
      <w:pPr>
        <w:spacing w:line="480" w:lineRule="auto" w:before="0" w:after="0"/>
        <w:ind w:firstLine="720"/>
        <w:jc w:val="left"/>
      </w:pPr>
      <w:r>
        <w:rPr>
          <w:rFonts w:ascii="Times New Roman" w:hAnsi="Times New Roman"/>
          <w:b w:val="0"/>
          <w:i w:val="0"/>
          <w:color w:val="000000"/>
          <w:sz w:val="24"/>
        </w:rPr>
        <w:t xml:space="preserve">The `mclust` algorithm performs model-based clustering by fitting a finite mixture of Gaussian distributions to the multivariate data. It simultaneously estimates the number of components (classes), the component means and covariance structures, and the posterior class membership probabilities for each observation. The algorithm evaluates 14 different parameterizations of the covariance matrix (ranging from spherical to unconstrained) across a range of class numbers (1 through </w:t>
      </w:r>
      <w:r>
        <w:rPr>
          <w:rFonts w:ascii="Times New Roman" w:hAnsi="Times New Roman"/>
          <w:b w:val="0"/>
          <w:i/>
          <w:color w:val="000000"/>
          <w:sz w:val="24"/>
        </w:rPr>
        <w:t>K_{\max}</w:t>
      </w:r>
      <w:r>
        <w:rPr>
          <w:rFonts w:ascii="Times New Roman" w:hAnsi="Times New Roman"/>
          <w:b w:val="0"/>
          <w:i w:val="0"/>
          <w:color w:val="000000"/>
          <w:sz w:val="24"/>
        </w:rPr>
        <w:t>), selecting the optimal model based on the Bayesian Information Criterion (BIC).</w:t>
      </w:r>
    </w:p>
    <w:p>
      <w:pPr>
        <w:spacing w:line="480" w:lineRule="auto" w:before="0" w:after="0"/>
        <w:ind w:firstLine="720"/>
        <w:jc w:val="left"/>
      </w:pPr>
      <w:r>
        <w:rPr>
          <w:rFonts w:ascii="Times New Roman" w:hAnsi="Times New Roman"/>
          <w:b w:val="0"/>
          <w:i w:val="0"/>
          <w:color w:val="000000"/>
          <w:sz w:val="24"/>
        </w:rPr>
        <w:t>Model selection proceeded as follows. We evaluated models with 1 through 9 classes across all covariance parameterizations supported by `mclust`. The optimal model was selected based on: (a) BIC, where higher values (in `mclust`'s convention) indicate better model fit penalized for complexity; (b) entropy, a measure of classification certainty ranging from 0 (ambiguous) to 1 (certain), computed from the posterior class membership probabilities; and (c) substantive interpretability, following recommendations in the mixture modeling literature (Nylund et al., 2007; Ram &amp; Grimm, 2009).</w:t>
      </w:r>
    </w:p>
    <w:p>
      <w:pPr>
        <w:spacing w:line="480" w:lineRule="auto" w:before="0" w:after="0"/>
        <w:ind w:firstLine="720"/>
        <w:jc w:val="left"/>
      </w:pPr>
      <w:r>
        <w:rPr>
          <w:rFonts w:ascii="Times New Roman" w:hAnsi="Times New Roman"/>
          <w:b w:val="0"/>
          <w:i w:val="0"/>
          <w:color w:val="000000"/>
          <w:sz w:val="24"/>
        </w:rPr>
        <w:t>Each student was assigned to the class for which their posterior membership probability was highest (modal assignment). Entropy was computed as:</w:t>
      </w:r>
    </w:p>
    <w:p>
      <w:pPr>
        <w:spacing w:line="480" w:lineRule="auto" w:before="0" w:after="0"/>
        <w:jc w:val="center"/>
      </w:pPr>
      <w:r>
        <w:rPr>
          <w:rFonts w:ascii="Times New Roman" w:hAnsi="Times New Roman"/>
          <w:b w:val="0"/>
          <w:i/>
          <w:color w:val="000000"/>
          <w:sz w:val="24"/>
        </w:rPr>
        <w:t>E = 1 - \frac{-\sum_{i=1}^{N}\sum_{k=1}^{K} \hat{p}_{ik} \log(\hat{p}_{ik})}{N \log(K)}</w:t>
      </w:r>
    </w:p>
    <w:p>
      <w:pPr>
        <w:spacing w:line="480" w:lineRule="auto" w:before="0" w:after="0"/>
        <w:ind w:firstLine="720"/>
        <w:jc w:val="left"/>
      </w:pPr>
      <w:r>
        <w:rPr>
          <w:rFonts w:ascii="Times New Roman" w:hAnsi="Times New Roman"/>
          <w:b w:val="0"/>
          <w:i w:val="0"/>
          <w:color w:val="000000"/>
          <w:sz w:val="24"/>
        </w:rPr>
        <w:t xml:space="preserve">where </w:t>
      </w:r>
      <w:r>
        <w:rPr>
          <w:rFonts w:ascii="Times New Roman" w:hAnsi="Times New Roman"/>
          <w:b w:val="0"/>
          <w:i/>
          <w:color w:val="000000"/>
          <w:sz w:val="24"/>
        </w:rPr>
        <w:t>\hat{p}_{ik}</w:t>
      </w:r>
      <w:r>
        <w:rPr>
          <w:rFonts w:ascii="Times New Roman" w:hAnsi="Times New Roman"/>
          <w:b w:val="0"/>
          <w:i w:val="0"/>
          <w:color w:val="000000"/>
          <w:sz w:val="24"/>
        </w:rPr>
        <w:t xml:space="preserve"> is the posterior probability of student </w:t>
      </w:r>
      <w:r>
        <w:rPr>
          <w:rFonts w:ascii="Times New Roman" w:hAnsi="Times New Roman"/>
          <w:b w:val="0"/>
          <w:i/>
          <w:color w:val="000000"/>
          <w:sz w:val="24"/>
        </w:rPr>
        <w:t>i</w:t>
      </w:r>
      <w:r>
        <w:rPr>
          <w:rFonts w:ascii="Times New Roman" w:hAnsi="Times New Roman"/>
          <w:b w:val="0"/>
          <w:i w:val="0"/>
          <w:color w:val="000000"/>
          <w:sz w:val="24"/>
        </w:rPr>
        <w:t xml:space="preserve"> belonging to class </w:t>
      </w:r>
      <w:r>
        <w:rPr>
          <w:rFonts w:ascii="Times New Roman" w:hAnsi="Times New Roman"/>
          <w:b w:val="0"/>
          <w:i/>
          <w:color w:val="000000"/>
          <w:sz w:val="24"/>
        </w:rPr>
        <w:t>k</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val="0"/>
          <w:i w:val="0"/>
          <w:color w:val="000000"/>
          <w:sz w:val="24"/>
        </w:rPr>
        <w:t>Sensitivity analyses were conducted to evaluate the robustness of the identified class solution through four complementary approaches. First, we compared forced solutions from four to seven classes (all VEE covariance structure). While a seven-class solution yielded a marginally higher BIC (140,115.1 vs. 139,900.6), the six-class solution exhibited superior classification quality: highest entropy (0.824 vs. 0.802), highest ICL (137,011.2 vs. 136,602.6), and no class smaller than 1.7% of the sample. The seven-class solution introduced a 53-student class (1.2%), raising interpretability concerns.</w:t>
      </w:r>
    </w:p>
    <w:p>
      <w:pPr>
        <w:spacing w:line="480" w:lineRule="auto" w:before="0" w:after="0"/>
        <w:ind w:firstLine="720"/>
        <w:jc w:val="left"/>
      </w:pPr>
      <w:r>
        <w:rPr>
          <w:rFonts w:ascii="Times New Roman" w:hAnsi="Times New Roman"/>
          <w:b w:val="0"/>
          <w:i w:val="0"/>
          <w:color w:val="000000"/>
          <w:sz w:val="24"/>
        </w:rPr>
        <w:t>Second, bootstrap likelihood ratio tests (100 replications, VEE model) indicated that each incremental class from two through eight contributed statistically significant improvement (</w:t>
      </w:r>
      <w:r>
        <w:rPr>
          <w:rFonts w:ascii="Times New Roman" w:hAnsi="Times New Roman"/>
          <w:b w:val="0"/>
          <w:i/>
          <w:color w:val="000000"/>
          <w:sz w:val="24"/>
        </w:rPr>
        <w:t>p</w:t>
      </w:r>
      <w:r>
        <w:rPr>
          <w:rFonts w:ascii="Times New Roman" w:hAnsi="Times New Roman"/>
          <w:b w:val="0"/>
          <w:i w:val="0"/>
          <w:color w:val="000000"/>
          <w:sz w:val="24"/>
        </w:rPr>
        <w:t xml:space="preserve"> &lt; .01 for all). Because the LRT provided no natural stopping point, we relied on the BIC-ICL-entropy consensus described above to adjudicate among solutions.</w:t>
      </w:r>
    </w:p>
    <w:p>
      <w:pPr>
        <w:spacing w:line="480" w:lineRule="auto" w:before="0" w:after="0"/>
        <w:ind w:firstLine="720"/>
        <w:jc w:val="left"/>
      </w:pPr>
      <w:r>
        <w:rPr>
          <w:rFonts w:ascii="Times New Roman" w:hAnsi="Times New Roman"/>
          <w:b w:val="0"/>
          <w:i w:val="0"/>
          <w:color w:val="000000"/>
          <w:sz w:val="24"/>
        </w:rPr>
        <w:t>Third, a split-half validation procedure randomly divided the sample into two halves (</w:t>
      </w:r>
      <w:r>
        <w:rPr>
          <w:rFonts w:ascii="Times New Roman" w:hAnsi="Times New Roman"/>
          <w:b w:val="0"/>
          <w:i/>
          <w:color w:val="000000"/>
          <w:sz w:val="24"/>
        </w:rPr>
        <w:t>n</w:t>
      </w:r>
      <w:r>
        <w:rPr>
          <w:rFonts w:ascii="Times New Roman" w:hAnsi="Times New Roman"/>
          <w:b w:val="0"/>
          <w:i w:val="0"/>
          <w:color w:val="000000"/>
          <w:sz w:val="24"/>
        </w:rPr>
        <w:t xml:space="preserve"> = 2,284 each; seed = 42). Both halves independently selected the same model (VEE, </w:t>
      </w:r>
      <w:r>
        <w:rPr>
          <w:rFonts w:ascii="Times New Roman" w:hAnsi="Times New Roman"/>
          <w:b w:val="0"/>
          <w:i/>
          <w:color w:val="000000"/>
          <w:sz w:val="24"/>
        </w:rPr>
        <w:t>G</w:t>
      </w:r>
      <w:r>
        <w:rPr>
          <w:rFonts w:ascii="Times New Roman" w:hAnsi="Times New Roman"/>
          <w:b w:val="0"/>
          <w:i w:val="0"/>
          <w:color w:val="000000"/>
          <w:sz w:val="24"/>
        </w:rPr>
        <w:t xml:space="preserve"> = 6). The mean correlation between matched class centroids across halves was </w:t>
      </w:r>
      <w:r>
        <w:rPr>
          <w:rFonts w:ascii="Times New Roman" w:hAnsi="Times New Roman"/>
          <w:b w:val="0"/>
          <w:i/>
          <w:color w:val="000000"/>
          <w:sz w:val="24"/>
        </w:rPr>
        <w:t>r</w:t>
      </w:r>
      <w:r>
        <w:rPr>
          <w:rFonts w:ascii="Times New Roman" w:hAnsi="Times New Roman"/>
          <w:b w:val="0"/>
          <w:i w:val="0"/>
          <w:color w:val="000000"/>
          <w:sz w:val="24"/>
        </w:rPr>
        <w:t xml:space="preserve"> = .970, indicating high replicability of trajectory shapes. The mean cross-validated adjusted Rand index was .503, a moderate but typical value for MBC solutions with overlapping clusters.</w:t>
      </w:r>
    </w:p>
    <w:p>
      <w:pPr>
        <w:spacing w:line="480" w:lineRule="auto" w:before="0" w:after="0"/>
        <w:ind w:firstLine="720"/>
        <w:jc w:val="left"/>
      </w:pPr>
      <w:r>
        <w:rPr>
          <w:rFonts w:ascii="Times New Roman" w:hAnsi="Times New Roman"/>
          <w:b w:val="0"/>
          <w:i w:val="0"/>
          <w:color w:val="000000"/>
          <w:sz w:val="24"/>
        </w:rPr>
        <w:t>Fourth, we examined sensitivity to the adaptive ratio inclusion threshold. At threshold &gt;= 0.15 (</w:t>
      </w:r>
      <w:r>
        <w:rPr>
          <w:rFonts w:ascii="Times New Roman" w:hAnsi="Times New Roman"/>
          <w:b w:val="0"/>
          <w:i/>
          <w:color w:val="000000"/>
          <w:sz w:val="24"/>
        </w:rPr>
        <w:t>n</w:t>
      </w:r>
      <w:r>
        <w:rPr>
          <w:rFonts w:ascii="Times New Roman" w:hAnsi="Times New Roman"/>
          <w:b w:val="0"/>
          <w:i w:val="0"/>
          <w:color w:val="000000"/>
          <w:sz w:val="24"/>
        </w:rPr>
        <w:t xml:space="preserve"> = 1,193), BIC selected four classes; at &gt;= 0.20 (</w:t>
      </w:r>
      <w:r>
        <w:rPr>
          <w:rFonts w:ascii="Times New Roman" w:hAnsi="Times New Roman"/>
          <w:b w:val="0"/>
          <w:i/>
          <w:color w:val="000000"/>
          <w:sz w:val="24"/>
        </w:rPr>
        <w:t>n</w:t>
      </w:r>
      <w:r>
        <w:rPr>
          <w:rFonts w:ascii="Times New Roman" w:hAnsi="Times New Roman"/>
          <w:b w:val="0"/>
          <w:i w:val="0"/>
          <w:color w:val="000000"/>
          <w:sz w:val="24"/>
        </w:rPr>
        <w:t xml:space="preserve"> = 300), five classes. In both cases, the smaller sample size reduced statistical power to detect peripheral subgroups (Classes 5 and 6), while core classes remained stable (ARI with original assignments: .44 and .38, respectively). These results suggest that the six-class solution is specific to the &gt;= 0.10 threshold but that the major trajectory patterns (Classes 1--4) replicate under stricter criteria.</w:t>
      </w:r>
    </w:p>
    <w:p>
      <w:pPr>
        <w:spacing w:line="480" w:lineRule="auto" w:before="0" w:after="0"/>
        <w:jc w:val="left"/>
      </w:pPr>
      <w:r>
        <w:rPr>
          <w:rFonts w:ascii="Times New Roman" w:hAnsi="Times New Roman"/>
          <w:b/>
          <w:i/>
          <w:color w:val="000000"/>
          <w:sz w:val="24"/>
        </w:rPr>
        <w:t>Phase 2B: Model-Based Clustering with Alternative Operationalization</w:t>
      </w:r>
    </w:p>
    <w:p>
      <w:pPr>
        <w:spacing w:line="480" w:lineRule="auto" w:before="0" w:after="0"/>
        <w:ind w:firstLine="720"/>
        <w:jc w:val="left"/>
      </w:pPr>
      <w:r>
        <w:rPr>
          <w:rFonts w:ascii="Times New Roman" w:hAnsi="Times New Roman"/>
          <w:b w:val="0"/>
          <w:i w:val="0"/>
          <w:color w:val="000000"/>
          <w:sz w:val="24"/>
        </w:rPr>
        <w:t xml:space="preserve">To explore patterns that might be masked by the original performance measure, we conducted a second MBC analysis using the alternative operationalization described in Section 3.3.5. This analysis employed the </w:t>
      </w:r>
      <w:r>
        <w:rPr>
          <w:rFonts w:ascii="Times New Roman" w:hAnsi="Times New Roman"/>
          <w:b w:val="0"/>
          <w:i/>
          <w:color w:val="000000"/>
          <w:sz w:val="24"/>
        </w:rPr>
        <w:t>R_b \times P_{\text{adaptive}}</w:t>
      </w:r>
      <w:r>
        <w:rPr>
          <w:rFonts w:ascii="Times New Roman" w:hAnsi="Times New Roman"/>
          <w:b w:val="0"/>
          <w:i w:val="0"/>
          <w:color w:val="000000"/>
          <w:sz w:val="24"/>
        </w:rPr>
        <w:t xml:space="preserve"> feature space with the VVV (variable volume, variable shape, variable orientation) covariance structure, applied to the subsample of students with sufficient </w:t>
      </w:r>
      <w:r>
        <w:rPr>
          <w:rFonts w:ascii="Times New Roman" w:hAnsi="Times New Roman"/>
          <w:b w:val="0"/>
          <w:i/>
          <w:color w:val="000000"/>
          <w:sz w:val="24"/>
        </w:rPr>
        <w:t>P_{\text{adaptive}}</w:t>
      </w:r>
      <w:r>
        <w:rPr>
          <w:rFonts w:ascii="Times New Roman" w:hAnsi="Times New Roman"/>
          <w:b w:val="0"/>
          <w:i w:val="0"/>
          <w:color w:val="000000"/>
          <w:sz w:val="24"/>
        </w:rPr>
        <w:t xml:space="preserve"> data. BIC-based model selection identified an 8-class solution as optimal. This alternative analysis served primarily as a discovery tool, enabling the identification of calibration patterns — particularly those involving changes in AI benefit — that were invisible under the original operationalization.</w:t>
      </w:r>
    </w:p>
    <w:p>
      <w:pPr>
        <w:spacing w:line="480" w:lineRule="auto" w:before="0" w:after="0"/>
        <w:jc w:val="left"/>
      </w:pPr>
      <w:r>
        <w:rPr>
          <w:rFonts w:ascii="Times New Roman" w:hAnsi="Times New Roman"/>
          <w:b/>
          <w:i/>
          <w:color w:val="000000"/>
          <w:sz w:val="24"/>
        </w:rPr>
        <w:t>Phase 2C: Latent Class Growth Analysis (RQ2)</w:t>
      </w:r>
    </w:p>
    <w:p>
      <w:pPr>
        <w:spacing w:line="480" w:lineRule="auto" w:before="0" w:after="0"/>
        <w:ind w:firstLine="720"/>
        <w:jc w:val="left"/>
      </w:pPr>
      <w:r>
        <w:rPr>
          <w:rFonts w:ascii="Times New Roman" w:hAnsi="Times New Roman"/>
          <w:b w:val="0"/>
          <w:i w:val="0"/>
          <w:color w:val="000000"/>
          <w:sz w:val="24"/>
        </w:rPr>
        <w:t>To provide a complementary analytical perspective and test the replicability of the trajectory typology, we conducted a latent class growth analysis (LCGA) using the `lcmm` package (Proust-Lima et al., 2017) in R. Unlike the MBC approach, which operates on the full multivariate feature space without specifying a growth function, LCGA explicitly models the growth curve of a single outcome variable within a latent class framework, estimating class-specific intercepts and slopes.</w:t>
      </w:r>
    </w:p>
    <w:p>
      <w:pPr>
        <w:spacing w:line="480" w:lineRule="auto" w:before="0" w:after="0"/>
        <w:ind w:firstLine="720"/>
        <w:jc w:val="left"/>
      </w:pPr>
      <w:r>
        <w:rPr>
          <w:rFonts w:ascii="Times New Roman" w:hAnsi="Times New Roman"/>
          <w:b w:val="0"/>
          <w:i w:val="0"/>
          <w:color w:val="000000"/>
          <w:sz w:val="24"/>
        </w:rPr>
        <w:t>The outcome variable for the LCGA was the alternative calibration gap (</w:t>
      </w:r>
      <w:r>
        <w:rPr>
          <w:rFonts w:ascii="Times New Roman" w:hAnsi="Times New Roman"/>
          <w:b w:val="0"/>
          <w:i/>
          <w:color w:val="000000"/>
          <w:sz w:val="24"/>
        </w:rPr>
        <w:t>\text{Gap}_{\text{new}} = R_b - P_{\text{adaptive}}</w:t>
      </w:r>
      <w:r>
        <w:rPr>
          <w:rFonts w:ascii="Times New Roman" w:hAnsi="Times New Roman"/>
          <w:b w:val="0"/>
          <w:i w:val="0"/>
          <w:color w:val="000000"/>
          <w:sz w:val="24"/>
        </w:rPr>
        <w:t xml:space="preserve">), which provided greater sensitivity to calibration dynamics than the original gap measure. The analysis was conducted on a subsample of N = 3,204 students who had at least 7 valid </w:t>
      </w:r>
      <w:r>
        <w:rPr>
          <w:rFonts w:ascii="Times New Roman" w:hAnsi="Times New Roman"/>
          <w:b w:val="0"/>
          <w:i/>
          <w:color w:val="000000"/>
          <w:sz w:val="24"/>
        </w:rPr>
        <w:t>P_{\text{adaptive}}</w:t>
      </w:r>
      <w:r>
        <w:rPr>
          <w:rFonts w:ascii="Times New Roman" w:hAnsi="Times New Roman"/>
          <w:b w:val="0"/>
          <w:i w:val="0"/>
          <w:color w:val="000000"/>
          <w:sz w:val="24"/>
        </w:rPr>
        <w:t xml:space="preserve"> windows (i.e., windows containing at least one adaptive question), ensuring sufficient longitudinal data for growth curve estimation.</w:t>
      </w:r>
    </w:p>
    <w:p>
      <w:pPr>
        <w:spacing w:line="480" w:lineRule="auto" w:before="0" w:after="0"/>
        <w:ind w:firstLine="720"/>
        <w:jc w:val="left"/>
      </w:pPr>
      <w:r>
        <w:rPr>
          <w:rFonts w:ascii="Times New Roman" w:hAnsi="Times New Roman"/>
          <w:b w:val="0"/>
          <w:i w:val="0"/>
          <w:color w:val="000000"/>
          <w:sz w:val="24"/>
        </w:rPr>
        <w:t xml:space="preserve">A linear growth model with latent classes was specified, with the calibration gap as the dependent variable and time (window number) as the independent variable. Within-class variance in random effects was fixed to zero (consistent with the LCGA specification, which assumes homogeneity within classes). Models were estimated for </w:t>
      </w:r>
      <w:r>
        <w:rPr>
          <w:rFonts w:ascii="Times New Roman" w:hAnsi="Times New Roman"/>
          <w:b w:val="0"/>
          <w:i/>
          <w:color w:val="000000"/>
          <w:sz w:val="24"/>
        </w:rPr>
        <w:t>G</w:t>
      </w:r>
      <w:r>
        <w:rPr>
          <w:rFonts w:ascii="Times New Roman" w:hAnsi="Times New Roman"/>
          <w:b w:val="0"/>
          <w:i w:val="0"/>
          <w:color w:val="000000"/>
          <w:sz w:val="24"/>
        </w:rPr>
        <w:t xml:space="preserve"> = 1 through </w:t>
      </w:r>
      <w:r>
        <w:rPr>
          <w:rFonts w:ascii="Times New Roman" w:hAnsi="Times New Roman"/>
          <w:b w:val="0"/>
          <w:i/>
          <w:color w:val="000000"/>
          <w:sz w:val="24"/>
        </w:rPr>
        <w:t>G</w:t>
      </w:r>
      <w:r>
        <w:rPr>
          <w:rFonts w:ascii="Times New Roman" w:hAnsi="Times New Roman"/>
          <w:b w:val="0"/>
          <w:i w:val="0"/>
          <w:color w:val="000000"/>
          <w:sz w:val="24"/>
        </w:rPr>
        <w:t xml:space="preserve"> = 7 classes, with 30 random starting values per model to guard against local maxima. Model selection was based on BIC, with entropy used as a supplementary indicator of classification quality. The optimal model was refit to the full subsample data.</w:t>
      </w:r>
    </w:p>
    <w:p>
      <w:pPr>
        <w:spacing w:line="480" w:lineRule="auto" w:before="0" w:after="0"/>
        <w:jc w:val="left"/>
      </w:pPr>
      <w:r>
        <w:rPr>
          <w:rFonts w:ascii="Times New Roman" w:hAnsi="Times New Roman"/>
          <w:b/>
          <w:i/>
          <w:color w:val="000000"/>
          <w:sz w:val="24"/>
        </w:rPr>
        <w:t>Phase 3a: Multinomial Logistic Regression (RQ4)</w:t>
      </w:r>
    </w:p>
    <w:p>
      <w:pPr>
        <w:spacing w:line="480" w:lineRule="auto" w:before="0" w:after="0"/>
        <w:ind w:firstLine="720"/>
        <w:jc w:val="left"/>
      </w:pPr>
      <w:r>
        <w:rPr>
          <w:rFonts w:ascii="Times New Roman" w:hAnsi="Times New Roman"/>
          <w:b w:val="0"/>
          <w:i w:val="0"/>
          <w:color w:val="000000"/>
          <w:sz w:val="24"/>
        </w:rPr>
        <w:t>To examine whether early learning behaviors predict trajectory class membership, we fitted a multinomial logistic regression model with the MBC-assigned class as the dependent variable and the early behavior features (`early_R_b`, `early_expl_rate`, `early_avg_expl_dur_s`, `early_P`) as predictors. Model performance was evaluated using 10-fold cross-validation, reporting mean classification accuracy and comparison against chance-level performance (1/6 = 16.7% for six classes). Predictor importance was assessed using the absolute values of standardized coefficients averaged across class contrasts.</w:t>
      </w:r>
    </w:p>
    <w:p>
      <w:pPr>
        <w:spacing w:line="480" w:lineRule="auto" w:before="0" w:after="0"/>
        <w:jc w:val="left"/>
      </w:pPr>
      <w:r>
        <w:rPr>
          <w:rFonts w:ascii="Times New Roman" w:hAnsi="Times New Roman"/>
          <w:b/>
          <w:i/>
          <w:color w:val="000000"/>
          <w:sz w:val="24"/>
        </w:rPr>
        <w:t>Phase 3b: ANOVA with Post-Hoc Comparisons (RQ5)</w:t>
      </w:r>
    </w:p>
    <w:p>
      <w:pPr>
        <w:spacing w:line="480" w:lineRule="auto" w:before="0" w:after="0"/>
        <w:ind w:firstLine="720"/>
        <w:jc w:val="left"/>
      </w:pPr>
      <w:r>
        <w:rPr>
          <w:rFonts w:ascii="Times New Roman" w:hAnsi="Times New Roman"/>
          <w:b w:val="0"/>
          <w:i w:val="0"/>
          <w:color w:val="000000"/>
          <w:sz w:val="24"/>
        </w:rPr>
        <w:t>To examine differences in learning outcomes across trajectory classes, we conducted one-way analyses of variance (ANOVA) with trajectory class as the between-subjects factor and two dependent variables: overall accuracy and accuracy improvement. Effect sizes were reported as eta-squared (</w:t>
      </w:r>
      <w:r>
        <w:rPr>
          <w:rFonts w:ascii="Times New Roman" w:hAnsi="Times New Roman"/>
          <w:b w:val="0"/>
          <w:i/>
          <w:color w:val="000000"/>
          <w:sz w:val="24"/>
        </w:rPr>
        <w:t>\eta^2</w:t>
      </w:r>
      <w:r>
        <w:rPr>
          <w:rFonts w:ascii="Times New Roman" w:hAnsi="Times New Roman"/>
          <w:b w:val="0"/>
          <w:i w:val="0"/>
          <w:color w:val="000000"/>
          <w:sz w:val="24"/>
        </w:rPr>
        <w:t>). Post-hoc pairwise comparisons were conducted using Tukey's HSD test with family-wise error rate correction. Given the large sample size (N = 4,568), we emphasize effect sizes alongside statistical significance in interpreting results.</w:t>
      </w:r>
    </w:p>
    <w:p>
      <w:pPr>
        <w:spacing w:line="480" w:lineRule="auto" w:before="0" w:after="0"/>
        <w:jc w:val="left"/>
      </w:pPr>
      <w:r>
        <w:rPr>
          <w:rFonts w:ascii="Times New Roman" w:hAnsi="Times New Roman"/>
          <w:b/>
          <w:i w:val="0"/>
          <w:color w:val="000000"/>
          <w:sz w:val="24"/>
        </w:rPr>
        <w:t>Ethical Considerations</w:t>
      </w:r>
    </w:p>
    <w:p>
      <w:pPr>
        <w:spacing w:line="480" w:lineRule="auto" w:before="0" w:after="0"/>
        <w:ind w:firstLine="720"/>
        <w:jc w:val="left"/>
      </w:pPr>
      <w:r>
        <w:rPr>
          <w:rFonts w:ascii="Times New Roman" w:hAnsi="Times New Roman"/>
          <w:b w:val="0"/>
          <w:i w:val="0"/>
          <w:color w:val="000000"/>
          <w:sz w:val="24"/>
        </w:rPr>
        <w:t>This study involved secondary analysis of the publicly available, de-identified EdNet KT3 dataset (Choi et al., 2020). As no personally identifiable information was accessed and the data were not collected for this study, this research does not constitute human subjects research under 45 CFR 46 and was therefore exempt from Institutional Review Board review.</w:t>
      </w:r>
    </w:p>
    <w:p>
      <w:r>
        <w:br w:type="page"/>
      </w:r>
    </w:p>
    <w:p>
      <w:pPr>
        <w:spacing w:line="480" w:lineRule="auto" w:before="0" w:after="0"/>
        <w:jc w:val="center"/>
      </w:pPr>
      <w:r>
        <w:rPr>
          <w:rFonts w:ascii="Times New Roman" w:hAnsi="Times New Roman"/>
          <w:b/>
          <w:i w:val="0"/>
          <w:color w:val="000000"/>
          <w:sz w:val="24"/>
        </w:rPr>
        <w:t>Results</w:t>
      </w:r>
    </w:p>
    <w:p>
      <w:pPr>
        <w:spacing w:line="480" w:lineRule="auto" w:before="0" w:after="0"/>
        <w:jc w:val="left"/>
      </w:pPr>
      <w:r>
        <w:rPr>
          <w:rFonts w:ascii="Times New Roman" w:hAnsi="Times New Roman"/>
          <w:b/>
          <w:i w:val="0"/>
          <w:color w:val="000000"/>
          <w:sz w:val="24"/>
        </w:rPr>
        <w:t>Descriptive Statistics</w:t>
      </w:r>
    </w:p>
    <w:p>
      <w:pPr>
        <w:spacing w:line="480" w:lineRule="auto" w:before="0" w:after="0"/>
        <w:ind w:firstLine="720"/>
        <w:jc w:val="left"/>
      </w:pPr>
      <w:r>
        <w:rPr>
          <w:rFonts w:ascii="Times New Roman" w:hAnsi="Times New Roman"/>
          <w:b w:val="0"/>
          <w:i w:val="0"/>
          <w:color w:val="000000"/>
          <w:sz w:val="24"/>
        </w:rPr>
        <w:t>The analytic sample of 4,568 students exhibited considerable variability in engagement and performance. Across all students and windows, the mean behavioral reliance (</w:t>
      </w:r>
      <w:r>
        <w:rPr>
          <w:rFonts w:ascii="Times New Roman" w:hAnsi="Times New Roman"/>
          <w:b w:val="0"/>
          <w:i/>
          <w:color w:val="000000"/>
          <w:sz w:val="24"/>
        </w:rPr>
        <w:t>R_b</w:t>
      </w:r>
      <w:r>
        <w:rPr>
          <w:rFonts w:ascii="Times New Roman" w:hAnsi="Times New Roman"/>
          <w:b w:val="0"/>
          <w:i w:val="0"/>
          <w:color w:val="000000"/>
          <w:sz w:val="24"/>
        </w:rPr>
        <w:t xml:space="preserve">) was relatively low, reflecting the overall tendency for students to engage more with self-selected content than AI-recommended content. Mean </w:t>
      </w:r>
      <w:r>
        <w:rPr>
          <w:rFonts w:ascii="Times New Roman" w:hAnsi="Times New Roman"/>
          <w:b w:val="0"/>
          <w:i/>
          <w:color w:val="000000"/>
          <w:sz w:val="24"/>
        </w:rPr>
        <w:t>R_b</w:t>
      </w:r>
      <w:r>
        <w:rPr>
          <w:rFonts w:ascii="Times New Roman" w:hAnsi="Times New Roman"/>
          <w:b w:val="0"/>
          <w:i w:val="0"/>
          <w:color w:val="000000"/>
          <w:sz w:val="24"/>
        </w:rPr>
        <w:t xml:space="preserve"> increased from approximately 0.04 in the first window to approximately 0.16 in the tenth window, indicating a general trend toward greater adoption of adaptive content over time. Mean performance (</w:t>
      </w:r>
      <w:r>
        <w:rPr>
          <w:rFonts w:ascii="Times New Roman" w:hAnsi="Times New Roman"/>
          <w:b w:val="0"/>
          <w:i/>
          <w:color w:val="000000"/>
          <w:sz w:val="24"/>
        </w:rPr>
        <w:t>P</w:t>
      </w:r>
      <w:r>
        <w:rPr>
          <w:rFonts w:ascii="Times New Roman" w:hAnsi="Times New Roman"/>
          <w:b w:val="0"/>
          <w:i w:val="0"/>
          <w:color w:val="000000"/>
          <w:sz w:val="24"/>
        </w:rPr>
        <w:t>) was more stable, hovering around 0.56--0.58 across windows, with a slight upward trend. The reliance-performance gap was negative across all windows (mean Gap ranging from approximately -0.52 in window 1 to -0.40 in window 10), indicating pervasive under-reliance relative to performance across the sample.</w:t>
      </w:r>
    </w:p>
    <w:p>
      <w:pPr>
        <w:spacing w:line="480" w:lineRule="auto" w:before="0" w:after="0"/>
        <w:jc w:val="left"/>
      </w:pPr>
      <w:r>
        <w:rPr>
          <w:rFonts w:ascii="Times New Roman" w:hAnsi="Times New Roman"/>
          <w:b/>
          <w:i w:val="0"/>
          <w:color w:val="000000"/>
          <w:sz w:val="24"/>
        </w:rPr>
        <w:t>RQ1: Identification of Trajectory Classes via Model-Based Clustering</w:t>
      </w:r>
    </w:p>
    <w:p>
      <w:pPr>
        <w:spacing w:line="480" w:lineRule="auto" w:before="0" w:after="0"/>
        <w:jc w:val="left"/>
      </w:pPr>
      <w:r>
        <w:rPr>
          <w:rFonts w:ascii="Times New Roman" w:hAnsi="Times New Roman"/>
          <w:b/>
          <w:i/>
          <w:color w:val="000000"/>
          <w:sz w:val="24"/>
        </w:rPr>
        <w:t>Model Selection</w:t>
      </w:r>
    </w:p>
    <w:p>
      <w:pPr>
        <w:spacing w:line="480" w:lineRule="auto" w:before="0" w:after="0"/>
        <w:ind w:firstLine="720"/>
        <w:jc w:val="left"/>
      </w:pPr>
      <w:r>
        <w:rPr>
          <w:rFonts w:ascii="Times New Roman" w:hAnsi="Times New Roman"/>
          <w:b w:val="0"/>
          <w:i w:val="0"/>
          <w:color w:val="000000"/>
          <w:sz w:val="24"/>
        </w:rPr>
        <w:t>The MBC analysis, conducted using `mclust` on the 20-dimensional wide-format data (</w:t>
      </w:r>
      <w:r>
        <w:rPr>
          <w:rFonts w:ascii="Times New Roman" w:hAnsi="Times New Roman"/>
          <w:b w:val="0"/>
          <w:i/>
          <w:color w:val="000000"/>
          <w:sz w:val="24"/>
        </w:rPr>
        <w:t>R_b \times 10 + P \times 10</w:t>
      </w:r>
      <w:r>
        <w:rPr>
          <w:rFonts w:ascii="Times New Roman" w:hAnsi="Times New Roman"/>
          <w:b w:val="0"/>
          <w:i w:val="0"/>
          <w:color w:val="000000"/>
          <w:sz w:val="24"/>
        </w:rPr>
        <w:t xml:space="preserve">), evaluated models with 1 through 9 classes across all 14 covariance parameterizations. The BIC-based model selection identified a </w:t>
      </w:r>
      <w:r>
        <w:rPr>
          <w:rFonts w:ascii="Times New Roman" w:hAnsi="Times New Roman"/>
          <w:b/>
          <w:i w:val="0"/>
          <w:color w:val="000000"/>
          <w:sz w:val="24"/>
        </w:rPr>
        <w:t>VEE (variable volume, equal shape, equal orientation) model with 6 classes</w:t>
      </w:r>
      <w:r>
        <w:rPr>
          <w:rFonts w:ascii="Times New Roman" w:hAnsi="Times New Roman"/>
          <w:b w:val="0"/>
          <w:i w:val="0"/>
          <w:color w:val="000000"/>
          <w:sz w:val="24"/>
        </w:rPr>
        <w:t xml:space="preserve"> as optimal, achieving a BIC of </w:t>
      </w:r>
      <w:r>
        <w:rPr>
          <w:rFonts w:ascii="Times New Roman" w:hAnsi="Times New Roman"/>
          <w:b/>
          <w:i w:val="0"/>
          <w:color w:val="000000"/>
          <w:sz w:val="24"/>
        </w:rPr>
        <w:t>139,751.3</w:t>
      </w:r>
      <w:r>
        <w:rPr>
          <w:rFonts w:ascii="Times New Roman" w:hAnsi="Times New Roman"/>
          <w:b w:val="0"/>
          <w:i w:val="0"/>
          <w:color w:val="000000"/>
          <w:sz w:val="24"/>
        </w:rPr>
        <w:t xml:space="preserve">. The entropy of this solution was </w:t>
      </w:r>
      <w:r>
        <w:rPr>
          <w:rFonts w:ascii="Times New Roman" w:hAnsi="Times New Roman"/>
          <w:b/>
          <w:i w:val="0"/>
          <w:color w:val="000000"/>
          <w:sz w:val="24"/>
        </w:rPr>
        <w:t>0.82</w:t>
      </w:r>
      <w:r>
        <w:rPr>
          <w:rFonts w:ascii="Times New Roman" w:hAnsi="Times New Roman"/>
          <w:b w:val="0"/>
          <w:i w:val="0"/>
          <w:color w:val="000000"/>
          <w:sz w:val="24"/>
        </w:rPr>
        <w:t>, indicating good classification certainty.</w:t>
      </w:r>
    </w:p>
    <w:p>
      <w:pPr>
        <w:spacing w:line="480" w:lineRule="auto" w:before="0" w:after="0"/>
        <w:jc w:val="left"/>
      </w:pPr>
      <w:r>
        <w:rPr>
          <w:rFonts w:ascii="Times New Roman" w:hAnsi="Times New Roman"/>
          <w:b/>
          <w:i w:val="0"/>
          <w:color w:val="000000"/>
          <w:sz w:val="24"/>
        </w:rPr>
        <w:t>Table 2</w:t>
      </w:r>
    </w:p>
    <w:p>
      <w:pPr>
        <w:spacing w:line="480" w:lineRule="auto" w:before="0" w:after="0"/>
        <w:jc w:val="left"/>
      </w:pPr>
      <w:r>
        <w:rPr>
          <w:rFonts w:ascii="Times New Roman" w:hAnsi="Times New Roman"/>
          <w:b w:val="0"/>
          <w:i/>
          <w:color w:val="000000"/>
          <w:sz w:val="24"/>
        </w:rPr>
        <w:t>HERE: MBC model comparison — BIC, entropy, and class sizes for G = 4 to 7</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1</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2</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3</w:t>
            </w:r>
          </w:p>
        </w:tc>
      </w:tr>
      <w:tr>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[Table notes to be added]</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The 6-class VEE model provided the best balance of fit and parsimony. The 5-class and 7-class solutions were also examined; the 5-class solution merged two substantively distinct classes (combining what became Classes 2 and 3), while the 7-class solution split one class into two small and poorly differentiated subgroups. These comparisons supported the substantive interpretability of the 6-class solution.</w:t>
      </w:r>
    </w:p>
    <w:p>
      <w:pPr>
        <w:spacing w:line="480" w:lineRule="auto" w:before="0" w:after="0"/>
        <w:jc w:val="left"/>
      </w:pPr>
      <w:r>
        <w:rPr>
          <w:rFonts w:ascii="Times New Roman" w:hAnsi="Times New Roman"/>
          <w:b/>
          <w:i/>
          <w:color w:val="000000"/>
          <w:sz w:val="24"/>
        </w:rPr>
        <w:t>Description of the Six Trajectory Classes</w:t>
      </w:r>
    </w:p>
    <w:p>
      <w:pPr>
        <w:spacing w:line="480" w:lineRule="auto" w:before="0" w:after="0"/>
        <w:jc w:val="left"/>
      </w:pPr>
      <w:r>
        <w:rPr>
          <w:rFonts w:ascii="Times New Roman" w:hAnsi="Times New Roman"/>
          <w:b/>
          <w:i w:val="0"/>
          <w:color w:val="000000"/>
          <w:sz w:val="24"/>
        </w:rPr>
        <w:t>Figure 1</w:t>
      </w:r>
    </w:p>
    <w:p>
      <w:pPr>
        <w:spacing w:line="480" w:lineRule="auto" w:before="0" w:after="0"/>
        <w:jc w:val="left"/>
      </w:pPr>
      <w:r>
        <w:rPr>
          <w:rFonts w:ascii="Times New Roman" w:hAnsi="Times New Roman"/>
          <w:b w:val="0"/>
          <w:i/>
          <w:color w:val="000000"/>
          <w:sz w:val="24"/>
        </w:rPr>
        <w:t>HERE: 6-class mean trajectories ($R_b$ and $P$, 6-panel display)</w:t>
      </w:r>
    </w:p>
    <w:p>
      <w:pPr>
        <w:spacing w:line="480" w:lineRule="auto" w:before="0" w:after="0"/>
        <w:jc w:val="center"/>
      </w:pPr>
      <w:r>
        <w:drawing>
          <wp:inline xmlns:a="http://schemas.openxmlformats.org/drawingml/2006/main" xmlns:pic="http://schemas.openxmlformats.org/drawingml/2006/picture">
            <wp:extent cx="5029200" cy="2805627"/>
            <wp:docPr id="1" name="Picture 1"/>
            <wp:cNvGraphicFramePr>
              <a:graphicFrameLocks noChangeAspect="1"/>
            </wp:cNvGraphicFramePr>
            <a:graphic>
              <a:graphicData uri="http://schemas.openxmlformats.org/drawingml/2006/picture">
                <pic:pic>
                  <pic:nvPicPr>
                    <pic:cNvPr id="0" name="Figure_2D_5_Trajectory_Patterns.png"/>
                    <pic:cNvPicPr/>
                  </pic:nvPicPr>
                  <pic:blipFill>
                    <a:blip r:embed="rId10"/>
                    <a:stretch>
                      <a:fillRect/>
                    </a:stretch>
                  </pic:blipFill>
                  <pic:spPr>
                    <a:xfrm>
                      <a:off x="0" y="0"/>
                      <a:ext cx="5029200" cy="2805627"/>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val="0"/>
          <w:color w:val="000000"/>
          <w:sz w:val="24"/>
        </w:rPr>
        <w:t>Figure 2</w:t>
      </w:r>
    </w:p>
    <w:p>
      <w:pPr>
        <w:spacing w:line="480" w:lineRule="auto" w:before="0" w:after="0"/>
        <w:jc w:val="left"/>
      </w:pPr>
      <w:r>
        <w:rPr>
          <w:rFonts w:ascii="Times New Roman" w:hAnsi="Times New Roman"/>
          <w:b w:val="0"/>
          <w:i/>
          <w:color w:val="000000"/>
          <w:sz w:val="24"/>
        </w:rPr>
        <w:t>HERE: Gap ($R_b - P$) trajectories by class</w:t>
      </w:r>
    </w:p>
    <w:p>
      <w:pPr>
        <w:spacing w:line="480" w:lineRule="auto" w:before="0" w:after="0"/>
        <w:jc w:val="center"/>
      </w:pPr>
      <w:r>
        <w:drawing>
          <wp:inline xmlns:a="http://schemas.openxmlformats.org/drawingml/2006/main" xmlns:pic="http://schemas.openxmlformats.org/drawingml/2006/picture">
            <wp:extent cx="5029200" cy="5426019"/>
            <wp:docPr id="2" name="Picture 2"/>
            <wp:cNvGraphicFramePr>
              <a:graphicFrameLocks noChangeAspect="1"/>
            </wp:cNvGraphicFramePr>
            <a:graphic>
              <a:graphicData uri="http://schemas.openxmlformats.org/drawingml/2006/picture">
                <pic:pic>
                  <pic:nvPicPr>
                    <pic:cNvPr id="0" name="Figure_3D_5_Trajectory_Patterns.png"/>
                    <pic:cNvPicPr/>
                  </pic:nvPicPr>
                  <pic:blipFill>
                    <a:blip r:embed="rId11"/>
                    <a:stretch>
                      <a:fillRect/>
                    </a:stretch>
                  </pic:blipFill>
                  <pic:spPr>
                    <a:xfrm>
                      <a:off x="0" y="0"/>
                      <a:ext cx="5029200" cy="5426019"/>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i w:val="0"/>
          <w:color w:val="000000"/>
          <w:sz w:val="24"/>
        </w:rPr>
        <w:t>Class 1: Gradual Adopters (n = 1,367; 29.9%).</w:t>
      </w:r>
      <w:r>
        <w:rPr>
          <w:rFonts w:ascii="Times New Roman" w:hAnsi="Times New Roman"/>
          <w:b w:val="0"/>
          <w:i w:val="0"/>
          <w:color w:val="000000"/>
          <w:sz w:val="24"/>
        </w:rPr>
        <w:t xml:space="preserve"> This was the second-largest class. Students in this class began with very low AI reliance (</w:t>
      </w:r>
      <w:r>
        <w:rPr>
          <w:rFonts w:ascii="Times New Roman" w:hAnsi="Times New Roman"/>
          <w:b w:val="0"/>
          <w:i/>
          <w:color w:val="000000"/>
          <w:sz w:val="24"/>
        </w:rPr>
        <w:t>R_b</w:t>
      </w:r>
      <w:r>
        <w:rPr>
          <w:rFonts w:ascii="Times New Roman" w:hAnsi="Times New Roman"/>
          <w:b w:val="0"/>
          <w:i w:val="0"/>
          <w:color w:val="000000"/>
          <w:sz w:val="24"/>
        </w:rPr>
        <w:t xml:space="preserve"> increasing from 0.05 in window 1 to 0.14 in window 10) and maintained stable, moderate performance (</w:t>
      </w:r>
      <w:r>
        <w:rPr>
          <w:rFonts w:ascii="Times New Roman" w:hAnsi="Times New Roman"/>
          <w:b w:val="0"/>
          <w:i/>
          <w:color w:val="000000"/>
          <w:sz w:val="24"/>
        </w:rPr>
        <w:t>P \approx 0.59</w:t>
      </w:r>
      <w:r>
        <w:rPr>
          <w:rFonts w:ascii="Times New Roman" w:hAnsi="Times New Roman"/>
          <w:b w:val="0"/>
          <w:i w:val="0"/>
          <w:color w:val="000000"/>
          <w:sz w:val="24"/>
        </w:rPr>
        <w:t xml:space="preserve"> throughout). The reliance-performance gap widened slightly in the positive direction (</w:t>
      </w:r>
      <w:r>
        <w:rPr>
          <w:rFonts w:ascii="Times New Roman" w:hAnsi="Times New Roman"/>
          <w:b w:val="0"/>
          <w:i/>
          <w:color w:val="000000"/>
          <w:sz w:val="24"/>
        </w:rPr>
        <w:t>\Delta</w:t>
      </w:r>
      <w:r>
        <w:rPr>
          <w:rFonts w:ascii="Times New Roman" w:hAnsi="Times New Roman"/>
          <w:b w:val="0"/>
          <w:i w:val="0"/>
          <w:color w:val="000000"/>
          <w:sz w:val="24"/>
        </w:rPr>
        <w:t>Gap = +0.09), reflecting gradually increasing adoption of AI recommendations without corresponding performance change. This class represents learners who progressively warmed to the AI system's recommendations but whose performance neither benefited from nor was harmed by this increasing reliance.</w:t>
      </w:r>
    </w:p>
    <w:p>
      <w:pPr>
        <w:spacing w:line="480" w:lineRule="auto" w:before="0" w:after="0"/>
        <w:ind w:firstLine="720"/>
        <w:jc w:val="left"/>
      </w:pPr>
      <w:r>
        <w:rPr>
          <w:rFonts w:ascii="Times New Roman" w:hAnsi="Times New Roman"/>
          <w:b/>
          <w:i w:val="0"/>
          <w:color w:val="000000"/>
          <w:sz w:val="24"/>
        </w:rPr>
        <w:t>Class 2: Steady Calibrators (n = 1,582; 34.6%).</w:t>
      </w:r>
      <w:r>
        <w:rPr>
          <w:rFonts w:ascii="Times New Roman" w:hAnsi="Times New Roman"/>
          <w:b w:val="0"/>
          <w:i w:val="0"/>
          <w:color w:val="000000"/>
          <w:sz w:val="24"/>
        </w:rPr>
        <w:t xml:space="preserve"> This was the largest class. Students began with very low reliance (</w:t>
      </w:r>
      <w:r>
        <w:rPr>
          <w:rFonts w:ascii="Times New Roman" w:hAnsi="Times New Roman"/>
          <w:b w:val="0"/>
          <w:i/>
          <w:color w:val="000000"/>
          <w:sz w:val="24"/>
        </w:rPr>
        <w:t>R_b = 0.03</w:t>
      </w:r>
      <w:r>
        <w:rPr>
          <w:rFonts w:ascii="Times New Roman" w:hAnsi="Times New Roman"/>
          <w:b w:val="0"/>
          <w:i w:val="0"/>
          <w:color w:val="000000"/>
          <w:sz w:val="24"/>
        </w:rPr>
        <w:t>) and slightly below-average performance (</w:t>
      </w:r>
      <w:r>
        <w:rPr>
          <w:rFonts w:ascii="Times New Roman" w:hAnsi="Times New Roman"/>
          <w:b w:val="0"/>
          <w:i/>
          <w:color w:val="000000"/>
          <w:sz w:val="24"/>
        </w:rPr>
        <w:t>P = 0.53</w:t>
      </w:r>
      <w:r>
        <w:rPr>
          <w:rFonts w:ascii="Times New Roman" w:hAnsi="Times New Roman"/>
          <w:b w:val="0"/>
          <w:i w:val="0"/>
          <w:color w:val="000000"/>
          <w:sz w:val="24"/>
        </w:rPr>
        <w:t>), with both measures increasing steadily over time (</w:t>
      </w:r>
      <w:r>
        <w:rPr>
          <w:rFonts w:ascii="Times New Roman" w:hAnsi="Times New Roman"/>
          <w:b w:val="0"/>
          <w:i/>
          <w:color w:val="000000"/>
          <w:sz w:val="24"/>
        </w:rPr>
        <w:t>R_b</w:t>
      </w:r>
      <w:r>
        <w:rPr>
          <w:rFonts w:ascii="Times New Roman" w:hAnsi="Times New Roman"/>
          <w:b w:val="0"/>
          <w:i w:val="0"/>
          <w:color w:val="000000"/>
          <w:sz w:val="24"/>
        </w:rPr>
        <w:t xml:space="preserve"> to 0.17, </w:t>
      </w:r>
      <w:r>
        <w:rPr>
          <w:rFonts w:ascii="Times New Roman" w:hAnsi="Times New Roman"/>
          <w:b w:val="0"/>
          <w:i/>
          <w:color w:val="000000"/>
          <w:sz w:val="24"/>
        </w:rPr>
        <w:t>P</w:t>
      </w:r>
      <w:r>
        <w:rPr>
          <w:rFonts w:ascii="Times New Roman" w:hAnsi="Times New Roman"/>
          <w:b w:val="0"/>
          <w:i w:val="0"/>
          <w:color w:val="000000"/>
          <w:sz w:val="24"/>
        </w:rPr>
        <w:t xml:space="preserve"> to 0.56). The reliance-performance gap change (</w:t>
      </w:r>
      <w:r>
        <w:rPr>
          <w:rFonts w:ascii="Times New Roman" w:hAnsi="Times New Roman"/>
          <w:b w:val="0"/>
          <w:i/>
          <w:color w:val="000000"/>
          <w:sz w:val="24"/>
        </w:rPr>
        <w:t>\Delta</w:t>
      </w:r>
      <w:r>
        <w:rPr>
          <w:rFonts w:ascii="Times New Roman" w:hAnsi="Times New Roman"/>
          <w:b w:val="0"/>
          <w:i w:val="0"/>
          <w:color w:val="000000"/>
          <w:sz w:val="24"/>
        </w:rPr>
        <w:t>Gap = +0.10) reflected reliance increasing faster than performance, but the concurrent improvement in both variables suggests a calibration process in which increasing reliance co-occurred with learning gains.</w:t>
      </w:r>
    </w:p>
    <w:p>
      <w:pPr>
        <w:spacing w:line="480" w:lineRule="auto" w:before="0" w:after="0"/>
        <w:ind w:firstLine="720"/>
        <w:jc w:val="left"/>
      </w:pPr>
      <w:r>
        <w:rPr>
          <w:rFonts w:ascii="Times New Roman" w:hAnsi="Times New Roman"/>
          <w:b/>
          <w:i w:val="0"/>
          <w:color w:val="000000"/>
          <w:sz w:val="24"/>
        </w:rPr>
        <w:t>Class 3: Strong Calibrators (n = 859; 18.8%).</w:t>
      </w:r>
      <w:r>
        <w:rPr>
          <w:rFonts w:ascii="Times New Roman" w:hAnsi="Times New Roman"/>
          <w:b w:val="0"/>
          <w:i w:val="0"/>
          <w:color w:val="000000"/>
          <w:sz w:val="24"/>
        </w:rPr>
        <w:t xml:space="preserve"> Students in this class showed a pattern similar to Class 2 but with more pronounced changes. Starting from low reliance (</w:t>
      </w:r>
      <w:r>
        <w:rPr>
          <w:rFonts w:ascii="Times New Roman" w:hAnsi="Times New Roman"/>
          <w:b w:val="0"/>
          <w:i/>
          <w:color w:val="000000"/>
          <w:sz w:val="24"/>
        </w:rPr>
        <w:t>R_b = 0.04</w:t>
      </w:r>
      <w:r>
        <w:rPr>
          <w:rFonts w:ascii="Times New Roman" w:hAnsi="Times New Roman"/>
          <w:b w:val="0"/>
          <w:i w:val="0"/>
          <w:color w:val="000000"/>
          <w:sz w:val="24"/>
        </w:rPr>
        <w:t>) and the lowest initial performance (</w:t>
      </w:r>
      <w:r>
        <w:rPr>
          <w:rFonts w:ascii="Times New Roman" w:hAnsi="Times New Roman"/>
          <w:b w:val="0"/>
          <w:i/>
          <w:color w:val="000000"/>
          <w:sz w:val="24"/>
        </w:rPr>
        <w:t>P = 0.50</w:t>
      </w:r>
      <w:r>
        <w:rPr>
          <w:rFonts w:ascii="Times New Roman" w:hAnsi="Times New Roman"/>
          <w:b w:val="0"/>
          <w:i w:val="0"/>
          <w:color w:val="000000"/>
          <w:sz w:val="24"/>
        </w:rPr>
        <w:t>), they exhibited the strongest simultaneous increase in both reliance (</w:t>
      </w:r>
      <w:r>
        <w:rPr>
          <w:rFonts w:ascii="Times New Roman" w:hAnsi="Times New Roman"/>
          <w:b w:val="0"/>
          <w:i/>
          <w:color w:val="000000"/>
          <w:sz w:val="24"/>
        </w:rPr>
        <w:t>R_b</w:t>
      </w:r>
      <w:r>
        <w:rPr>
          <w:rFonts w:ascii="Times New Roman" w:hAnsi="Times New Roman"/>
          <w:b w:val="0"/>
          <w:i w:val="0"/>
          <w:color w:val="000000"/>
          <w:sz w:val="24"/>
        </w:rPr>
        <w:t xml:space="preserve"> to 0.19) and performance (</w:t>
      </w:r>
      <w:r>
        <w:rPr>
          <w:rFonts w:ascii="Times New Roman" w:hAnsi="Times New Roman"/>
          <w:b w:val="0"/>
          <w:i/>
          <w:color w:val="000000"/>
          <w:sz w:val="24"/>
        </w:rPr>
        <w:t>P</w:t>
      </w:r>
      <w:r>
        <w:rPr>
          <w:rFonts w:ascii="Times New Roman" w:hAnsi="Times New Roman"/>
          <w:b w:val="0"/>
          <w:i w:val="0"/>
          <w:color w:val="000000"/>
          <w:sz w:val="24"/>
        </w:rPr>
        <w:t xml:space="preserve"> to 0.54). The gap change (</w:t>
      </w:r>
      <w:r>
        <w:rPr>
          <w:rFonts w:ascii="Times New Roman" w:hAnsi="Times New Roman"/>
          <w:b w:val="0"/>
          <w:i/>
          <w:color w:val="000000"/>
          <w:sz w:val="24"/>
        </w:rPr>
        <w:t>\Delta</w:t>
      </w:r>
      <w:r>
        <w:rPr>
          <w:rFonts w:ascii="Times New Roman" w:hAnsi="Times New Roman"/>
          <w:b w:val="0"/>
          <w:i w:val="0"/>
          <w:color w:val="000000"/>
          <w:sz w:val="24"/>
        </w:rPr>
        <w:t>Gap = +0.11) was the second-largest, yet this class demonstrated the greatest performance improvement of any class (see RQ5 results below). This pattern is consistent with a calibration process in which learners who began struggling increasingly turned to AI recommendations and benefited from doing so.</w:t>
      </w:r>
    </w:p>
    <w:p>
      <w:pPr>
        <w:spacing w:line="480" w:lineRule="auto" w:before="0" w:after="0"/>
        <w:ind w:firstLine="720"/>
        <w:jc w:val="left"/>
      </w:pPr>
      <w:r>
        <w:rPr>
          <w:rFonts w:ascii="Times New Roman" w:hAnsi="Times New Roman"/>
          <w:b/>
          <w:i w:val="0"/>
          <w:color w:val="000000"/>
          <w:sz w:val="24"/>
        </w:rPr>
        <w:t>Class 4: High Performers with Low Reliance (n = 451; 9.9%).</w:t>
      </w:r>
      <w:r>
        <w:rPr>
          <w:rFonts w:ascii="Times New Roman" w:hAnsi="Times New Roman"/>
          <w:b w:val="0"/>
          <w:i w:val="0"/>
          <w:color w:val="000000"/>
          <w:sz w:val="24"/>
        </w:rPr>
        <w:t xml:space="preserve"> This class exhibited a distinctive profile: the highest and most stable performance (</w:t>
      </w:r>
      <w:r>
        <w:rPr>
          <w:rFonts w:ascii="Times New Roman" w:hAnsi="Times New Roman"/>
          <w:b w:val="0"/>
          <w:i/>
          <w:color w:val="000000"/>
          <w:sz w:val="24"/>
        </w:rPr>
        <w:t>P \approx 0.65</w:t>
      </w:r>
      <w:r>
        <w:rPr>
          <w:rFonts w:ascii="Times New Roman" w:hAnsi="Times New Roman"/>
          <w:b w:val="0"/>
          <w:i w:val="0"/>
          <w:color w:val="000000"/>
          <w:sz w:val="24"/>
        </w:rPr>
        <w:t>) paired with consistently low AI reliance (</w:t>
      </w:r>
      <w:r>
        <w:rPr>
          <w:rFonts w:ascii="Times New Roman" w:hAnsi="Times New Roman"/>
          <w:b w:val="0"/>
          <w:i/>
          <w:color w:val="000000"/>
          <w:sz w:val="24"/>
        </w:rPr>
        <w:t>R_b</w:t>
      </w:r>
      <w:r>
        <w:rPr>
          <w:rFonts w:ascii="Times New Roman" w:hAnsi="Times New Roman"/>
          <w:b w:val="0"/>
          <w:i w:val="0"/>
          <w:color w:val="000000"/>
          <w:sz w:val="24"/>
        </w:rPr>
        <w:t xml:space="preserve"> increasing modestly from 0.06 to 0.11). The gap change was minimal (</w:t>
      </w:r>
      <w:r>
        <w:rPr>
          <w:rFonts w:ascii="Times New Roman" w:hAnsi="Times New Roman"/>
          <w:b w:val="0"/>
          <w:i/>
          <w:color w:val="000000"/>
          <w:sz w:val="24"/>
        </w:rPr>
        <w:t>\Delta</w:t>
      </w:r>
      <w:r>
        <w:rPr>
          <w:rFonts w:ascii="Times New Roman" w:hAnsi="Times New Roman"/>
          <w:b w:val="0"/>
          <w:i w:val="0"/>
          <w:color w:val="000000"/>
          <w:sz w:val="24"/>
        </w:rPr>
        <w:t>Gap = +0.03), reflecting a stagnant calibration trajectory. These students performed well without substantial reliance on AI recommendations, suggesting they either did not need AI support or had alternative learning strategies.</w:t>
      </w:r>
    </w:p>
    <w:p>
      <w:pPr>
        <w:spacing w:line="480" w:lineRule="auto" w:before="0" w:after="0"/>
        <w:ind w:firstLine="720"/>
        <w:jc w:val="left"/>
      </w:pPr>
      <w:r>
        <w:rPr>
          <w:rFonts w:ascii="Times New Roman" w:hAnsi="Times New Roman"/>
          <w:b/>
          <w:i w:val="0"/>
          <w:color w:val="000000"/>
          <w:sz w:val="24"/>
        </w:rPr>
        <w:t>Class 5: Heavy Adopters (n = 240; 5.3%).</w:t>
      </w:r>
      <w:r>
        <w:rPr>
          <w:rFonts w:ascii="Times New Roman" w:hAnsi="Times New Roman"/>
          <w:b w:val="0"/>
          <w:i w:val="0"/>
          <w:color w:val="000000"/>
          <w:sz w:val="24"/>
        </w:rPr>
        <w:t xml:space="preserve"> This smaller class showed the highest terminal reliance (</w:t>
      </w:r>
      <w:r>
        <w:rPr>
          <w:rFonts w:ascii="Times New Roman" w:hAnsi="Times New Roman"/>
          <w:b w:val="0"/>
          <w:i/>
          <w:color w:val="000000"/>
          <w:sz w:val="24"/>
        </w:rPr>
        <w:t>R_b = 0.23</w:t>
      </w:r>
      <w:r>
        <w:rPr>
          <w:rFonts w:ascii="Times New Roman" w:hAnsi="Times New Roman"/>
          <w:b w:val="0"/>
          <w:i w:val="0"/>
          <w:color w:val="000000"/>
          <w:sz w:val="24"/>
        </w:rPr>
        <w:t xml:space="preserve"> in window 10) among all classes that began with low reliance. Starting from moderate initial reliance (</w:t>
      </w:r>
      <w:r>
        <w:rPr>
          <w:rFonts w:ascii="Times New Roman" w:hAnsi="Times New Roman"/>
          <w:b w:val="0"/>
          <w:i/>
          <w:color w:val="000000"/>
          <w:sz w:val="24"/>
        </w:rPr>
        <w:t>R_b = 0.09</w:t>
      </w:r>
      <w:r>
        <w:rPr>
          <w:rFonts w:ascii="Times New Roman" w:hAnsi="Times New Roman"/>
          <w:b w:val="0"/>
          <w:i w:val="0"/>
          <w:color w:val="000000"/>
          <w:sz w:val="24"/>
        </w:rPr>
        <w:t>) and average performance (</w:t>
      </w:r>
      <w:r>
        <w:rPr>
          <w:rFonts w:ascii="Times New Roman" w:hAnsi="Times New Roman"/>
          <w:b w:val="0"/>
          <w:i/>
          <w:color w:val="000000"/>
          <w:sz w:val="24"/>
        </w:rPr>
        <w:t>P \approx 0.57</w:t>
      </w:r>
      <w:r>
        <w:rPr>
          <w:rFonts w:ascii="Times New Roman" w:hAnsi="Times New Roman"/>
          <w:b w:val="0"/>
          <w:i w:val="0"/>
          <w:color w:val="000000"/>
          <w:sz w:val="24"/>
        </w:rPr>
        <w:t>), these students sharply increased their AI reliance while maintaining stable performance. The large gap change (</w:t>
      </w:r>
      <w:r>
        <w:rPr>
          <w:rFonts w:ascii="Times New Roman" w:hAnsi="Times New Roman"/>
          <w:b w:val="0"/>
          <w:i/>
          <w:color w:val="000000"/>
          <w:sz w:val="24"/>
        </w:rPr>
        <w:t>\Delta</w:t>
      </w:r>
      <w:r>
        <w:rPr>
          <w:rFonts w:ascii="Times New Roman" w:hAnsi="Times New Roman"/>
          <w:b w:val="0"/>
          <w:i w:val="0"/>
          <w:color w:val="000000"/>
          <w:sz w:val="24"/>
        </w:rPr>
        <w:t>Gap = +0.13) was the largest of any class, representing an escalating reliance pattern that outpaced any performance gains.</w:t>
      </w:r>
    </w:p>
    <w:p>
      <w:pPr>
        <w:spacing w:line="480" w:lineRule="auto" w:before="0" w:after="0"/>
        <w:ind w:firstLine="720"/>
        <w:jc w:val="left"/>
      </w:pPr>
      <w:r>
        <w:rPr>
          <w:rFonts w:ascii="Times New Roman" w:hAnsi="Times New Roman"/>
          <w:b/>
          <w:i w:val="0"/>
          <w:color w:val="000000"/>
          <w:sz w:val="24"/>
        </w:rPr>
        <w:t>Class 6: Early Heavy Users (n = 69; 1.5%).</w:t>
      </w:r>
      <w:r>
        <w:rPr>
          <w:rFonts w:ascii="Times New Roman" w:hAnsi="Times New Roman"/>
          <w:b w:val="0"/>
          <w:i w:val="0"/>
          <w:color w:val="000000"/>
          <w:sz w:val="24"/>
        </w:rPr>
        <w:t xml:space="preserve"> This was the smallest and most distinctive class. Students began with the highest initial reliance (</w:t>
      </w:r>
      <w:r>
        <w:rPr>
          <w:rFonts w:ascii="Times New Roman" w:hAnsi="Times New Roman"/>
          <w:b w:val="0"/>
          <w:i/>
          <w:color w:val="000000"/>
          <w:sz w:val="24"/>
        </w:rPr>
        <w:t>R_b = 0.33</w:t>
      </w:r>
      <w:r>
        <w:rPr>
          <w:rFonts w:ascii="Times New Roman" w:hAnsi="Times New Roman"/>
          <w:b w:val="0"/>
          <w:i w:val="0"/>
          <w:color w:val="000000"/>
          <w:sz w:val="24"/>
        </w:rPr>
        <w:t xml:space="preserve">) — far exceeding all other classes — and their reliance actually </w:t>
      </w:r>
      <w:r>
        <w:rPr>
          <w:rFonts w:ascii="Times New Roman" w:hAnsi="Times New Roman"/>
          <w:b w:val="0"/>
          <w:i/>
          <w:color w:val="000000"/>
          <w:sz w:val="24"/>
        </w:rPr>
        <w:t>decreased</w:t>
      </w:r>
      <w:r>
        <w:rPr>
          <w:rFonts w:ascii="Times New Roman" w:hAnsi="Times New Roman"/>
          <w:b w:val="0"/>
          <w:i w:val="0"/>
          <w:color w:val="000000"/>
          <w:sz w:val="24"/>
        </w:rPr>
        <w:t xml:space="preserve"> slightly over time (</w:t>
      </w:r>
      <w:r>
        <w:rPr>
          <w:rFonts w:ascii="Times New Roman" w:hAnsi="Times New Roman"/>
          <w:b w:val="0"/>
          <w:i/>
          <w:color w:val="000000"/>
          <w:sz w:val="24"/>
        </w:rPr>
        <w:t>R_b</w:t>
      </w:r>
      <w:r>
        <w:rPr>
          <w:rFonts w:ascii="Times New Roman" w:hAnsi="Times New Roman"/>
          <w:b w:val="0"/>
          <w:i w:val="0"/>
          <w:color w:val="000000"/>
          <w:sz w:val="24"/>
        </w:rPr>
        <w:t xml:space="preserve"> to 0.29). Performance was moderate and stable (</w:t>
      </w:r>
      <w:r>
        <w:rPr>
          <w:rFonts w:ascii="Times New Roman" w:hAnsi="Times New Roman"/>
          <w:b w:val="0"/>
          <w:i/>
          <w:color w:val="000000"/>
          <w:sz w:val="24"/>
        </w:rPr>
        <w:t>P \approx 0.59</w:t>
      </w:r>
      <w:r>
        <w:rPr>
          <w:rFonts w:ascii="Times New Roman" w:hAnsi="Times New Roman"/>
          <w:b w:val="0"/>
          <w:i w:val="0"/>
          <w:color w:val="000000"/>
          <w:sz w:val="24"/>
        </w:rPr>
        <w:t>). The gap change was negative (</w:t>
      </w:r>
      <w:r>
        <w:rPr>
          <w:rFonts w:ascii="Times New Roman" w:hAnsi="Times New Roman"/>
          <w:b w:val="0"/>
          <w:i/>
          <w:color w:val="000000"/>
          <w:sz w:val="24"/>
        </w:rPr>
        <w:t>\Delta</w:t>
      </w:r>
      <w:r>
        <w:rPr>
          <w:rFonts w:ascii="Times New Roman" w:hAnsi="Times New Roman"/>
          <w:b w:val="0"/>
          <w:i w:val="0"/>
          <w:color w:val="000000"/>
          <w:sz w:val="24"/>
        </w:rPr>
        <w:t>Gap = -0.02), the only class showing a declining gap. This class may represent students who arrived with strong prior engagement with AI recommendation systems or who initially over-relied on the system and gradually self-corrected.</w:t>
      </w:r>
    </w:p>
    <w:p>
      <w:pPr>
        <w:spacing w:line="480" w:lineRule="auto" w:before="0" w:after="0"/>
        <w:jc w:val="left"/>
      </w:pPr>
      <w:r>
        <w:rPr>
          <w:rFonts w:ascii="Times New Roman" w:hAnsi="Times New Roman"/>
          <w:b/>
          <w:i w:val="0"/>
          <w:color w:val="000000"/>
          <w:sz w:val="24"/>
        </w:rPr>
        <w:t>RQ2: Replication via Latent Class Growth Analysis</w:t>
      </w:r>
    </w:p>
    <w:p>
      <w:pPr>
        <w:spacing w:line="480" w:lineRule="auto" w:before="0" w:after="0"/>
        <w:jc w:val="left"/>
      </w:pPr>
      <w:r>
        <w:rPr>
          <w:rFonts w:ascii="Times New Roman" w:hAnsi="Times New Roman"/>
          <w:b/>
          <w:i/>
          <w:color w:val="000000"/>
          <w:sz w:val="24"/>
        </w:rPr>
        <w:t>LCGA Model Selection</w:t>
      </w:r>
    </w:p>
    <w:p>
      <w:pPr>
        <w:spacing w:line="480" w:lineRule="auto" w:before="0" w:after="0"/>
        <w:ind w:firstLine="720"/>
        <w:jc w:val="left"/>
      </w:pPr>
      <w:r>
        <w:rPr>
          <w:rFonts w:ascii="Times New Roman" w:hAnsi="Times New Roman"/>
          <w:b w:val="0"/>
          <w:i w:val="0"/>
          <w:color w:val="000000"/>
          <w:sz w:val="24"/>
        </w:rPr>
        <w:t xml:space="preserve">The LCGA analysis, conducted on the subsample of N = 3,204 students with sufficient </w:t>
      </w:r>
      <w:r>
        <w:rPr>
          <w:rFonts w:ascii="Times New Roman" w:hAnsi="Times New Roman"/>
          <w:b w:val="0"/>
          <w:i/>
          <w:color w:val="000000"/>
          <w:sz w:val="24"/>
        </w:rPr>
        <w:t>P_{\text{adaptive}}</w:t>
      </w:r>
      <w:r>
        <w:rPr>
          <w:rFonts w:ascii="Times New Roman" w:hAnsi="Times New Roman"/>
          <w:b w:val="0"/>
          <w:i w:val="0"/>
          <w:color w:val="000000"/>
          <w:sz w:val="24"/>
        </w:rPr>
        <w:t xml:space="preserve"> data, modeled the growth trajectory of the alternative calibration gap (</w:t>
      </w:r>
      <w:r>
        <w:rPr>
          <w:rFonts w:ascii="Times New Roman" w:hAnsi="Times New Roman"/>
          <w:b w:val="0"/>
          <w:i/>
          <w:color w:val="000000"/>
          <w:sz w:val="24"/>
        </w:rPr>
        <w:t>\text{Gap}_{\text{new}} = R_b - P_{\text{adaptive}}</w:t>
      </w:r>
      <w:r>
        <w:rPr>
          <w:rFonts w:ascii="Times New Roman" w:hAnsi="Times New Roman"/>
          <w:b w:val="0"/>
          <w:i w:val="0"/>
          <w:color w:val="000000"/>
          <w:sz w:val="24"/>
        </w:rPr>
        <w:t>) across temporal windows. Table 3 presents the model fit statistics for solutions ranging from 1 to 5 classes.</w:t>
      </w:r>
    </w:p>
    <w:p>
      <w:pPr>
        <w:spacing w:line="480" w:lineRule="auto" w:before="0" w:after="0"/>
        <w:jc w:val="left"/>
      </w:pPr>
      <w:r>
        <w:rPr>
          <w:rFonts w:ascii="Times New Roman" w:hAnsi="Times New Roman"/>
          <w:b/>
          <w:i w:val="0"/>
          <w:color w:val="000000"/>
          <w:sz w:val="24"/>
        </w:rPr>
        <w:t>Table 1</w:t>
      </w:r>
    </w:p>
    <w:p>
      <w:pPr>
        <w:spacing w:line="480" w:lineRule="auto" w:before="0" w:after="0"/>
        <w:jc w:val="left"/>
      </w:pPr>
      <w:r>
        <w:rPr>
          <w:rFonts w:ascii="Times New Roman" w:hAnsi="Times New Roman"/>
          <w:b w:val="0"/>
          <w:i/>
          <w:color w:val="000000"/>
          <w:sz w:val="24"/>
        </w:rPr>
        <w:t>[Table title to be added]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G</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Log-likelihood</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BIC</w:t>
            </w:r>
          </w:p>
        </w:tc>
        <w:tc>
          <w:tcPr>
            <w:tcW w:type="dxa" w:w="234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Entropy</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505.9</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-982.5</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568.2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-1085.2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0.822</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591.7</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-1110.3</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0.830</w:t>
            </w:r>
          </w:p>
        </w:tc>
      </w:tr>
      <w:tr>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4</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607.1</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-1119.2</w:t>
            </w:r>
          </w:p>
        </w:tc>
        <w:tc>
          <w:tcPr>
            <w:tcW w:type="dxa" w:w="2340"/>
            <w:tcBorders>
              <w:top w:val="none" w:sz="0" w:space="0" w:color="auto"/>
              <w:bottom w:val="none" w:sz="0" w:space="0" w:color="auto"/>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r>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5</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611.3</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-1105.6</w:t>
            </w:r>
          </w:p>
        </w:tc>
        <w:tc>
          <w:tcPr>
            <w:tcW w:type="dxa" w:w="234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w:t>
            </w:r>
          </w:p>
        </w:tc>
      </w:tr>
    </w:tbl>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The 4-class solution achieved the lowest (most negative) BIC of -1119.2, indicating the best balance of fit and parsimony. BIC improved substantially from 1 to 4 classes, with the 5-class model showing a reversal (BIC = -1105.6), supporting 4 as the optimal number of classes. The full data refit of the 4-class model yielded a BIC of -2795.2.</w:t>
      </w:r>
    </w:p>
    <w:p>
      <w:pPr>
        <w:spacing w:line="480" w:lineRule="auto" w:before="0" w:after="0"/>
        <w:jc w:val="left"/>
      </w:pPr>
      <w:r>
        <w:rPr>
          <w:rFonts w:ascii="Times New Roman" w:hAnsi="Times New Roman"/>
          <w:b/>
          <w:i/>
          <w:color w:val="000000"/>
          <w:sz w:val="24"/>
        </w:rPr>
        <w:t>Description of the Four LCGA Classes</w:t>
      </w:r>
    </w:p>
    <w:p>
      <w:pPr>
        <w:spacing w:line="480" w:lineRule="auto" w:before="0" w:after="0"/>
        <w:ind w:firstLine="720"/>
        <w:jc w:val="left"/>
      </w:pPr>
      <w:r>
        <w:rPr>
          <w:rFonts w:ascii="Times New Roman" w:hAnsi="Times New Roman"/>
          <w:b w:val="0"/>
          <w:i w:val="0"/>
          <w:color w:val="000000"/>
          <w:sz w:val="24"/>
        </w:rPr>
        <w:t>The four LCGA classes are described below in terms of their calibration gap trajectories, using the alternative operationalization (</w:t>
      </w:r>
      <w:r>
        <w:rPr>
          <w:rFonts w:ascii="Times New Roman" w:hAnsi="Times New Roman"/>
          <w:b w:val="0"/>
          <w:i/>
          <w:color w:val="000000"/>
          <w:sz w:val="24"/>
        </w:rPr>
        <w:t>R_b - P_{\text{adaptive}}</w:t>
      </w:r>
      <w:r>
        <w:rPr>
          <w:rFonts w:ascii="Times New Roman" w:hAnsi="Times New Roman"/>
          <w:b w:val="0"/>
          <w:i w:val="0"/>
          <w:color w:val="000000"/>
          <w:sz w:val="24"/>
        </w:rPr>
        <w:t>).</w:t>
      </w:r>
    </w:p>
    <w:p>
      <w:pPr>
        <w:spacing w:line="480" w:lineRule="auto" w:before="0" w:after="0"/>
        <w:ind w:firstLine="720"/>
        <w:jc w:val="left"/>
      </w:pPr>
      <w:r>
        <w:rPr>
          <w:rFonts w:ascii="Times New Roman" w:hAnsi="Times New Roman"/>
          <w:b/>
          <w:i w:val="0"/>
          <w:color w:val="000000"/>
          <w:sz w:val="24"/>
        </w:rPr>
        <w:t>LCGA Class 1: Stagnant Under-Reliance (n = 2,662; 83.1%).</w:t>
      </w:r>
      <w:r>
        <w:rPr>
          <w:rFonts w:ascii="Times New Roman" w:hAnsi="Times New Roman"/>
          <w:b w:val="0"/>
          <w:i w:val="0"/>
          <w:color w:val="000000"/>
          <w:sz w:val="24"/>
        </w:rPr>
        <w:t xml:space="preserve"> This was the dominant class, comprising the vast majority of the subsample. Students exhibited low and slowly increasing reliance (</w:t>
      </w:r>
      <w:r>
        <w:rPr>
          <w:rFonts w:ascii="Times New Roman" w:hAnsi="Times New Roman"/>
          <w:b w:val="0"/>
          <w:i/>
          <w:color w:val="000000"/>
          <w:sz w:val="24"/>
        </w:rPr>
        <w:t>R_b</w:t>
      </w:r>
      <w:r>
        <w:rPr>
          <w:rFonts w:ascii="Times New Roman" w:hAnsi="Times New Roman"/>
          <w:b w:val="0"/>
          <w:i w:val="0"/>
          <w:color w:val="000000"/>
          <w:sz w:val="24"/>
        </w:rPr>
        <w:t xml:space="preserve"> from 0.054 to 0.148) paired with high but slowly declining adaptive performance (</w:t>
      </w:r>
      <w:r>
        <w:rPr>
          <w:rFonts w:ascii="Times New Roman" w:hAnsi="Times New Roman"/>
          <w:b w:val="0"/>
          <w:i/>
          <w:color w:val="000000"/>
          <w:sz w:val="24"/>
        </w:rPr>
        <w:t>P_{\text{adaptive}}</w:t>
      </w:r>
      <w:r>
        <w:rPr>
          <w:rFonts w:ascii="Times New Roman" w:hAnsi="Times New Roman"/>
          <w:b w:val="0"/>
          <w:i w:val="0"/>
          <w:color w:val="000000"/>
          <w:sz w:val="24"/>
        </w:rPr>
        <w:t xml:space="preserve"> from 0.807 to 0.726). The calibration gap remained deeply negative and relatively constant, moving from -0.698 to -0.562 (</w:t>
      </w:r>
      <w:r>
        <w:rPr>
          <w:rFonts w:ascii="Times New Roman" w:hAnsi="Times New Roman"/>
          <w:b w:val="0"/>
          <w:i/>
          <w:color w:val="000000"/>
          <w:sz w:val="24"/>
        </w:rPr>
        <w:t>\Delta</w:t>
      </w:r>
      <w:r>
        <w:rPr>
          <w:rFonts w:ascii="Times New Roman" w:hAnsi="Times New Roman"/>
          <w:b w:val="0"/>
          <w:i w:val="0"/>
          <w:color w:val="000000"/>
          <w:sz w:val="24"/>
        </w:rPr>
        <w:t>Gap = +0.136). This pattern represents persistent under-reliance with minimal calibration change over time — students performed well on AI-recommended questions but rarely followed the AI's recommendations.</w:t>
      </w:r>
    </w:p>
    <w:p>
      <w:pPr>
        <w:spacing w:line="480" w:lineRule="auto" w:before="0" w:after="0"/>
        <w:ind w:firstLine="720"/>
        <w:jc w:val="left"/>
      </w:pPr>
      <w:r>
        <w:rPr>
          <w:rFonts w:ascii="Times New Roman" w:hAnsi="Times New Roman"/>
          <w:b/>
          <w:i w:val="0"/>
          <w:color w:val="000000"/>
          <w:sz w:val="24"/>
        </w:rPr>
        <w:t>LCGA Class 2: Near-Calibrated Fluctuators (n = 75; 2.3%).</w:t>
      </w:r>
      <w:r>
        <w:rPr>
          <w:rFonts w:ascii="Times New Roman" w:hAnsi="Times New Roman"/>
          <w:b w:val="0"/>
          <w:i w:val="0"/>
          <w:color w:val="000000"/>
          <w:sz w:val="24"/>
        </w:rPr>
        <w:t xml:space="preserve"> This small class exhibited moderate reliance (</w:t>
      </w:r>
      <w:r>
        <w:rPr>
          <w:rFonts w:ascii="Times New Roman" w:hAnsi="Times New Roman"/>
          <w:b w:val="0"/>
          <w:i/>
          <w:color w:val="000000"/>
          <w:sz w:val="24"/>
        </w:rPr>
        <w:t>R_b</w:t>
      </w:r>
      <w:r>
        <w:rPr>
          <w:rFonts w:ascii="Times New Roman" w:hAnsi="Times New Roman"/>
          <w:b w:val="0"/>
          <w:i w:val="0"/>
          <w:color w:val="000000"/>
          <w:sz w:val="24"/>
        </w:rPr>
        <w:t xml:space="preserve"> from 0.127 to 0.231) and moderate adaptive performance (</w:t>
      </w:r>
      <w:r>
        <w:rPr>
          <w:rFonts w:ascii="Times New Roman" w:hAnsi="Times New Roman"/>
          <w:b w:val="0"/>
          <w:i/>
          <w:color w:val="000000"/>
          <w:sz w:val="24"/>
        </w:rPr>
        <w:t>P_{\text{adaptive}}</w:t>
      </w:r>
      <w:r>
        <w:rPr>
          <w:rFonts w:ascii="Times New Roman" w:hAnsi="Times New Roman"/>
          <w:b w:val="0"/>
          <w:i w:val="0"/>
          <w:color w:val="000000"/>
          <w:sz w:val="24"/>
        </w:rPr>
        <w:t xml:space="preserve"> from 0.467 to 0.455). The calibration gap hovered near zero and fluctuated without a clear directional trend, moving from -0.214 to -0.196 (</w:t>
      </w:r>
      <w:r>
        <w:rPr>
          <w:rFonts w:ascii="Times New Roman" w:hAnsi="Times New Roman"/>
          <w:b w:val="0"/>
          <w:i/>
          <w:color w:val="000000"/>
          <w:sz w:val="24"/>
        </w:rPr>
        <w:t>\Delta</w:t>
      </w:r>
      <w:r>
        <w:rPr>
          <w:rFonts w:ascii="Times New Roman" w:hAnsi="Times New Roman"/>
          <w:b w:val="0"/>
          <w:i w:val="0"/>
          <w:color w:val="000000"/>
          <w:sz w:val="24"/>
        </w:rPr>
        <w:t>Gap = -0.018). These students were the closest to calibration of any class, with reliance approximately matching their performance on AI-recommended questions.</w:t>
      </w:r>
    </w:p>
    <w:p>
      <w:pPr>
        <w:spacing w:line="480" w:lineRule="auto" w:before="0" w:after="0"/>
        <w:ind w:firstLine="720"/>
        <w:jc w:val="left"/>
      </w:pPr>
      <w:r>
        <w:rPr>
          <w:rFonts w:ascii="Times New Roman" w:hAnsi="Times New Roman"/>
          <w:b/>
          <w:i w:val="0"/>
          <w:color w:val="000000"/>
          <w:sz w:val="24"/>
        </w:rPr>
        <w:t>LCGA Class 3: Convergent Learners (n = 290; 9.1%).</w:t>
      </w:r>
      <w:r>
        <w:rPr>
          <w:rFonts w:ascii="Times New Roman" w:hAnsi="Times New Roman"/>
          <w:b w:val="0"/>
          <w:i w:val="0"/>
          <w:color w:val="000000"/>
          <w:sz w:val="24"/>
        </w:rPr>
        <w:t xml:space="preserve"> Students in this class showed increasing reliance (</w:t>
      </w:r>
      <w:r>
        <w:rPr>
          <w:rFonts w:ascii="Times New Roman" w:hAnsi="Times New Roman"/>
          <w:b w:val="0"/>
          <w:i/>
          <w:color w:val="000000"/>
          <w:sz w:val="24"/>
        </w:rPr>
        <w:t>R_b</w:t>
      </w:r>
      <w:r>
        <w:rPr>
          <w:rFonts w:ascii="Times New Roman" w:hAnsi="Times New Roman"/>
          <w:b w:val="0"/>
          <w:i w:val="0"/>
          <w:color w:val="000000"/>
          <w:sz w:val="24"/>
        </w:rPr>
        <w:t xml:space="preserve"> from 0.064 to 0.212) paired with declining adaptive performance (</w:t>
      </w:r>
      <w:r>
        <w:rPr>
          <w:rFonts w:ascii="Times New Roman" w:hAnsi="Times New Roman"/>
          <w:b w:val="0"/>
          <w:i/>
          <w:color w:val="000000"/>
          <w:sz w:val="24"/>
        </w:rPr>
        <w:t>P_{\text{adaptive}}</w:t>
      </w:r>
      <w:r>
        <w:rPr>
          <w:rFonts w:ascii="Times New Roman" w:hAnsi="Times New Roman"/>
          <w:b w:val="0"/>
          <w:i w:val="0"/>
          <w:color w:val="000000"/>
          <w:sz w:val="24"/>
        </w:rPr>
        <w:t xml:space="preserve"> from 0.710 to 0.515). The calibration gap narrowed substantially from -0.573 to -0.280 (</w:t>
      </w:r>
      <w:r>
        <w:rPr>
          <w:rFonts w:ascii="Times New Roman" w:hAnsi="Times New Roman"/>
          <w:b w:val="0"/>
          <w:i/>
          <w:color w:val="000000"/>
          <w:sz w:val="24"/>
        </w:rPr>
        <w:t>\Delta</w:t>
      </w:r>
      <w:r>
        <w:rPr>
          <w:rFonts w:ascii="Times New Roman" w:hAnsi="Times New Roman"/>
          <w:b w:val="0"/>
          <w:i w:val="0"/>
          <w:color w:val="000000"/>
          <w:sz w:val="24"/>
        </w:rPr>
        <w:t xml:space="preserve">Gap = +0.293). This convergent pattern is consistent with the theoretical prediction of gap narrowing: as reliance increased and the performance advantage of adaptive questions diminished, students moved closer to calibration. The convergence was driven both by increasing </w:t>
      </w:r>
      <w:r>
        <w:rPr>
          <w:rFonts w:ascii="Times New Roman" w:hAnsi="Times New Roman"/>
          <w:b w:val="0"/>
          <w:i/>
          <w:color w:val="000000"/>
          <w:sz w:val="24"/>
        </w:rPr>
        <w:t>R_b</w:t>
      </w:r>
      <w:r>
        <w:rPr>
          <w:rFonts w:ascii="Times New Roman" w:hAnsi="Times New Roman"/>
          <w:b w:val="0"/>
          <w:i w:val="0"/>
          <w:color w:val="000000"/>
          <w:sz w:val="24"/>
        </w:rPr>
        <w:t xml:space="preserve"> and by a decline in </w:t>
      </w:r>
      <w:r>
        <w:rPr>
          <w:rFonts w:ascii="Times New Roman" w:hAnsi="Times New Roman"/>
          <w:b w:val="0"/>
          <w:i/>
          <w:color w:val="000000"/>
          <w:sz w:val="24"/>
        </w:rPr>
        <w:t>P_{\text{adaptive}}</w:t>
      </w:r>
      <w:r>
        <w:rPr>
          <w:rFonts w:ascii="Times New Roman" w:hAnsi="Times New Roman"/>
          <w:b w:val="0"/>
          <w:i w:val="0"/>
          <w:color w:val="000000"/>
          <w:sz w:val="24"/>
        </w:rPr>
        <w:t xml:space="preserve"> that brought the two measures closer together.</w:t>
      </w:r>
    </w:p>
    <w:p>
      <w:pPr>
        <w:spacing w:line="480" w:lineRule="auto" w:before="0" w:after="0"/>
        <w:ind w:firstLine="720"/>
        <w:jc w:val="left"/>
      </w:pPr>
      <w:r>
        <w:rPr>
          <w:rFonts w:ascii="Times New Roman" w:hAnsi="Times New Roman"/>
          <w:b/>
          <w:i w:val="0"/>
          <w:color w:val="000000"/>
          <w:sz w:val="24"/>
        </w:rPr>
        <w:t>LCGA Class 4: AI Benefit Emergence / Divergent (n = 177; 5.5%).</w:t>
      </w:r>
      <w:r>
        <w:rPr>
          <w:rFonts w:ascii="Times New Roman" w:hAnsi="Times New Roman"/>
          <w:b w:val="0"/>
          <w:i w:val="0"/>
          <w:color w:val="000000"/>
          <w:sz w:val="24"/>
        </w:rPr>
        <w:t xml:space="preserve"> This class exhibited a distinctive and theoretically novel pattern. Reliance fluctuated and then declined slightly (</w:t>
      </w:r>
      <w:r>
        <w:rPr>
          <w:rFonts w:ascii="Times New Roman" w:hAnsi="Times New Roman"/>
          <w:b w:val="0"/>
          <w:i/>
          <w:color w:val="000000"/>
          <w:sz w:val="24"/>
        </w:rPr>
        <w:t>R_b</w:t>
      </w:r>
      <w:r>
        <w:rPr>
          <w:rFonts w:ascii="Times New Roman" w:hAnsi="Times New Roman"/>
          <w:b w:val="0"/>
          <w:i w:val="0"/>
          <w:color w:val="000000"/>
          <w:sz w:val="24"/>
        </w:rPr>
        <w:t xml:space="preserve"> from 0.090 to 0.147), while adaptive performance increased dramatically (</w:t>
      </w:r>
      <w:r>
        <w:rPr>
          <w:rFonts w:ascii="Times New Roman" w:hAnsi="Times New Roman"/>
          <w:b w:val="0"/>
          <w:i/>
          <w:color w:val="000000"/>
          <w:sz w:val="24"/>
        </w:rPr>
        <w:t>P_{\text{adaptive}}</w:t>
      </w:r>
      <w:r>
        <w:rPr>
          <w:rFonts w:ascii="Times New Roman" w:hAnsi="Times New Roman"/>
          <w:b w:val="0"/>
          <w:i w:val="0"/>
          <w:color w:val="000000"/>
          <w:sz w:val="24"/>
        </w:rPr>
        <w:t xml:space="preserve"> from 0.473 to 0.722). The calibration gap widened from -0.301 to -0.543 (</w:t>
      </w:r>
      <w:r>
        <w:rPr>
          <w:rFonts w:ascii="Times New Roman" w:hAnsi="Times New Roman"/>
          <w:b w:val="0"/>
          <w:i/>
          <w:color w:val="000000"/>
          <w:sz w:val="24"/>
        </w:rPr>
        <w:t>\Delta</w:t>
      </w:r>
      <w:r>
        <w:rPr>
          <w:rFonts w:ascii="Times New Roman" w:hAnsi="Times New Roman"/>
          <w:b w:val="0"/>
          <w:i w:val="0"/>
          <w:color w:val="000000"/>
          <w:sz w:val="24"/>
        </w:rPr>
        <w:t xml:space="preserve">Gap = -0.242). In this class, the AI system appeared to become increasingly effective for the student (as measured by rising </w:t>
      </w:r>
      <w:r>
        <w:rPr>
          <w:rFonts w:ascii="Times New Roman" w:hAnsi="Times New Roman"/>
          <w:b w:val="0"/>
          <w:i/>
          <w:color w:val="000000"/>
          <w:sz w:val="24"/>
        </w:rPr>
        <w:t>P_{\text{adaptive}}</w:t>
      </w:r>
      <w:r>
        <w:rPr>
          <w:rFonts w:ascii="Times New Roman" w:hAnsi="Times New Roman"/>
          <w:b w:val="0"/>
          <w:i w:val="0"/>
          <w:color w:val="000000"/>
          <w:sz w:val="24"/>
        </w:rPr>
        <w:t>), but the student's reliance on the AI did not keep pace. This pattern, which we term AI Benefit Emergence (ABE), represents a form of under-reliance that intensifies precisely as the AI becomes more beneficial — a paradoxical divergence not predicted by the original theoretical framework.</w:t>
      </w:r>
    </w:p>
    <w:p>
      <w:pPr>
        <w:spacing w:line="480" w:lineRule="auto" w:before="0" w:after="0"/>
        <w:jc w:val="left"/>
      </w:pPr>
      <w:r>
        <w:rPr>
          <w:rFonts w:ascii="Times New Roman" w:hAnsi="Times New Roman"/>
          <w:b/>
          <w:i w:val="0"/>
          <w:color w:val="000000"/>
          <w:sz w:val="24"/>
        </w:rPr>
        <w:t>RQ3: Theory-Empirical Comparison</w:t>
      </w:r>
    </w:p>
    <w:p>
      <w:pPr>
        <w:spacing w:line="480" w:lineRule="auto" w:before="0" w:after="0"/>
        <w:ind w:firstLine="720"/>
        <w:jc w:val="left"/>
      </w:pPr>
      <w:r>
        <w:rPr>
          <w:rFonts w:ascii="Times New Roman" w:hAnsi="Times New Roman"/>
          <w:b w:val="0"/>
          <w:i w:val="0"/>
          <w:color w:val="000000"/>
          <w:sz w:val="24"/>
        </w:rPr>
        <w:t>The theoretical framework predicted four trajectory shapes: convergent (gap narrowing toward zero), divergent (gap widening from zero), stagnant (gap remaining constant), and catastrophic (sudden disruption). We evaluated the empirical classes from both the MBC and LCGA analyses against these predictions.</w:t>
      </w:r>
    </w:p>
    <w:p>
      <w:pPr>
        <w:spacing w:line="480" w:lineRule="auto" w:before="0" w:after="0"/>
        <w:jc w:val="left"/>
      </w:pPr>
      <w:r>
        <w:rPr>
          <w:rFonts w:ascii="Times New Roman" w:hAnsi="Times New Roman"/>
          <w:b/>
          <w:i/>
          <w:color w:val="000000"/>
          <w:sz w:val="24"/>
        </w:rPr>
        <w:t>Convergent Calibration Patterns (H2a: Supported)</w:t>
      </w:r>
    </w:p>
    <w:p>
      <w:pPr>
        <w:spacing w:line="480" w:lineRule="auto" w:before="0" w:after="0"/>
        <w:ind w:firstLine="720"/>
        <w:jc w:val="left"/>
      </w:pPr>
      <w:r>
        <w:rPr>
          <w:rFonts w:ascii="Times New Roman" w:hAnsi="Times New Roman"/>
          <w:b w:val="0"/>
          <w:i w:val="0"/>
          <w:color w:val="000000"/>
          <w:sz w:val="24"/>
        </w:rPr>
        <w:t xml:space="preserve">Both analytical methods identified convergent calibration patterns. In the MBC analysis, Classes 2 (Steady Calibrators) and 3 (Strong Calibrators) best approximated the convergent prediction, showing concurrent increases in both reliance and performance. The convergence was partial: the reliance-performance gap narrowed in a relative sense (as the gap was initially very negative, and the increase in </w:t>
      </w:r>
      <w:r>
        <w:rPr>
          <w:rFonts w:ascii="Times New Roman" w:hAnsi="Times New Roman"/>
          <w:b w:val="0"/>
          <w:i/>
          <w:color w:val="000000"/>
          <w:sz w:val="24"/>
        </w:rPr>
        <w:t>R_b</w:t>
      </w:r>
      <w:r>
        <w:rPr>
          <w:rFonts w:ascii="Times New Roman" w:hAnsi="Times New Roman"/>
          <w:b w:val="0"/>
          <w:i w:val="0"/>
          <w:color w:val="000000"/>
          <w:sz w:val="24"/>
        </w:rPr>
        <w:t xml:space="preserve"> brought it closer to alignment), but the gap did not reach zero. In the LCGA analysis, Class 3 (Convergent Learners) exhibited the clearest convergent pattern, with the calibration gap narrowing by 0.293 units across the observation period. The persistent under-reliance (gap remaining negative) suggests that full calibration — in the sense of reliance matching performance — was not achieved within the observed time frame, but the directionality of change was consistent with the theoretical prediction.</w:t>
      </w:r>
    </w:p>
    <w:p>
      <w:pPr>
        <w:spacing w:line="480" w:lineRule="auto" w:before="0" w:after="0"/>
        <w:jc w:val="left"/>
      </w:pPr>
      <w:r>
        <w:rPr>
          <w:rFonts w:ascii="Times New Roman" w:hAnsi="Times New Roman"/>
          <w:b/>
          <w:i w:val="0"/>
          <w:color w:val="000000"/>
          <w:sz w:val="24"/>
        </w:rPr>
        <w:t>Figure 3</w:t>
      </w:r>
    </w:p>
    <w:p>
      <w:pPr>
        <w:spacing w:line="480" w:lineRule="auto" w:before="0" w:after="0"/>
        <w:jc w:val="left"/>
      </w:pPr>
      <w:r>
        <w:rPr>
          <w:rFonts w:ascii="Times New Roman" w:hAnsi="Times New Roman"/>
          <w:b w:val="0"/>
          <w:i/>
          <w:color w:val="000000"/>
          <w:sz w:val="24"/>
        </w:rPr>
        <w:t>HERE: Theory vs. empirical overlay</w:t>
      </w:r>
    </w:p>
    <w:p>
      <w:pPr>
        <w:spacing w:line="480" w:lineRule="auto" w:before="0" w:after="0"/>
        <w:jc w:val="center"/>
      </w:pPr>
      <w:r>
        <w:drawing>
          <wp:inline xmlns:a="http://schemas.openxmlformats.org/drawingml/2006/main" xmlns:pic="http://schemas.openxmlformats.org/drawingml/2006/picture">
            <wp:extent cx="5029200" cy="2805627"/>
            <wp:docPr id="3" name="Picture 3"/>
            <wp:cNvGraphicFramePr>
              <a:graphicFrameLocks noChangeAspect="1"/>
            </wp:cNvGraphicFramePr>
            <a:graphic>
              <a:graphicData uri="http://schemas.openxmlformats.org/drawingml/2006/picture">
                <pic:pic>
                  <pic:nvPicPr>
                    <pic:cNvPr id="0" name="Figure_2D_5_Trajectory_Patterns.png"/>
                    <pic:cNvPicPr/>
                  </pic:nvPicPr>
                  <pic:blipFill>
                    <a:blip r:embed="rId10"/>
                    <a:stretch>
                      <a:fillRect/>
                    </a:stretch>
                  </pic:blipFill>
                  <pic:spPr>
                    <a:xfrm>
                      <a:off x="0" y="0"/>
                      <a:ext cx="5029200" cy="2805627"/>
                    </a:xfrm>
                    <a:prstGeom prst="rect"/>
                  </pic:spPr>
                </pic:pic>
              </a:graphicData>
            </a:graphic>
          </wp:inline>
        </w:drawing>
      </w:r>
    </w:p>
    <w:p>
      <w:pPr>
        <w:spacing w:line="480" w:lineRule="auto" w:before="0" w:after="0"/>
        <w:jc w:val="left"/>
      </w:pPr>
      <w:r>
        <w:rPr>
          <w:rFonts w:ascii="Times New Roman" w:hAnsi="Times New Roman"/>
          <w:b w:val="0"/>
          <w:i w:val="0"/>
          <w:color w:val="000000"/>
          <w:sz w:val="24"/>
        </w:rPr>
      </w:r>
    </w:p>
    <w:p>
      <w:pPr>
        <w:spacing w:line="480" w:lineRule="auto" w:before="0" w:after="0"/>
        <w:jc w:val="left"/>
      </w:pPr>
      <w:r>
        <w:rPr>
          <w:rFonts w:ascii="Times New Roman" w:hAnsi="Times New Roman"/>
          <w:b/>
          <w:i/>
          <w:color w:val="000000"/>
          <w:sz w:val="24"/>
        </w:rPr>
        <w:t>Stagnant Calibration Patterns (H2b: Supported)</w:t>
      </w:r>
    </w:p>
    <w:p>
      <w:pPr>
        <w:spacing w:line="480" w:lineRule="auto" w:before="0" w:after="0"/>
        <w:ind w:firstLine="720"/>
        <w:jc w:val="left"/>
      </w:pPr>
      <w:r>
        <w:rPr>
          <w:rFonts w:ascii="Times New Roman" w:hAnsi="Times New Roman"/>
          <w:b w:val="0"/>
          <w:i w:val="0"/>
          <w:color w:val="000000"/>
          <w:sz w:val="24"/>
        </w:rPr>
        <w:t>Both methods also identified stagnant calibration patterns. In the MBC analysis, Class 4 (High Performers with Low Reliance) exhibited minimal change in the reliance-performance gap across windows (</w:t>
      </w:r>
      <w:r>
        <w:rPr>
          <w:rFonts w:ascii="Times New Roman" w:hAnsi="Times New Roman"/>
          <w:b w:val="0"/>
          <w:i/>
          <w:color w:val="000000"/>
          <w:sz w:val="24"/>
        </w:rPr>
        <w:t>\Delta</w:t>
      </w:r>
      <w:r>
        <w:rPr>
          <w:rFonts w:ascii="Times New Roman" w:hAnsi="Times New Roman"/>
          <w:b w:val="0"/>
          <w:i w:val="0"/>
          <w:color w:val="000000"/>
          <w:sz w:val="24"/>
        </w:rPr>
        <w:t>Gap = +0.03). These students maintained a stable equilibrium of high performance and low reliance. In the LCGA analysis, Class 1 (Stagnant Under-Reliance), comprising 83.1% of the subsample, exhibited a gap that remained deeply negative throughout, with only modest change (</w:t>
      </w:r>
      <w:r>
        <w:rPr>
          <w:rFonts w:ascii="Times New Roman" w:hAnsi="Times New Roman"/>
          <w:b w:val="0"/>
          <w:i/>
          <w:color w:val="000000"/>
          <w:sz w:val="24"/>
        </w:rPr>
        <w:t>\Delta</w:t>
      </w:r>
      <w:r>
        <w:rPr>
          <w:rFonts w:ascii="Times New Roman" w:hAnsi="Times New Roman"/>
          <w:b w:val="0"/>
          <w:i w:val="0"/>
          <w:color w:val="000000"/>
          <w:sz w:val="24"/>
        </w:rPr>
        <w:t>Gap = +0.136 over 10 windows). The dominance of this stagnant pattern across both methods underscores the pervasiveness of stable under-reliance in the sample.</w:t>
      </w:r>
    </w:p>
    <w:p>
      <w:pPr>
        <w:spacing w:line="480" w:lineRule="auto" w:before="0" w:after="0"/>
        <w:jc w:val="left"/>
      </w:pPr>
      <w:r>
        <w:rPr>
          <w:rFonts w:ascii="Times New Roman" w:hAnsi="Times New Roman"/>
          <w:b/>
          <w:i/>
          <w:color w:val="000000"/>
          <w:sz w:val="24"/>
        </w:rPr>
        <w:t>Escalating Reliance Without Proportional Performance Gains</w:t>
      </w:r>
    </w:p>
    <w:p>
      <w:pPr>
        <w:spacing w:line="480" w:lineRule="auto" w:before="0" w:after="0"/>
        <w:ind w:firstLine="720"/>
        <w:jc w:val="left"/>
      </w:pPr>
      <w:r>
        <w:rPr>
          <w:rFonts w:ascii="Times New Roman" w:hAnsi="Times New Roman"/>
          <w:b w:val="0"/>
          <w:i w:val="0"/>
          <w:color w:val="000000"/>
          <w:sz w:val="24"/>
        </w:rPr>
        <w:t>Classes 1 (Gradual Adopters) and 5 (Heavy Adopters) from the MBC analysis showed a pattern of escalating reliance without proportional performance gains, creating a widening gap. This pattern, while not divergent in the sense of moving away from calibration (the gap was initially very negative and moved toward zero), represents a trajectory that could become over-reliant if the trend continued beyond the observation period.</w:t>
      </w:r>
    </w:p>
    <w:p>
      <w:pPr>
        <w:spacing w:line="480" w:lineRule="auto" w:before="0" w:after="0"/>
        <w:jc w:val="left"/>
      </w:pPr>
      <w:r>
        <w:rPr>
          <w:rFonts w:ascii="Times New Roman" w:hAnsi="Times New Roman"/>
          <w:b/>
          <w:i/>
          <w:color w:val="000000"/>
          <w:sz w:val="24"/>
        </w:rPr>
        <w:t>Self-Correcting Over-Reliance</w:t>
      </w:r>
    </w:p>
    <w:p>
      <w:pPr>
        <w:spacing w:line="480" w:lineRule="auto" w:before="0" w:after="0"/>
        <w:ind w:firstLine="720"/>
        <w:jc w:val="left"/>
      </w:pPr>
      <w:r>
        <w:rPr>
          <w:rFonts w:ascii="Times New Roman" w:hAnsi="Times New Roman"/>
          <w:b w:val="0"/>
          <w:i w:val="0"/>
          <w:color w:val="000000"/>
          <w:sz w:val="24"/>
        </w:rPr>
        <w:t>Class 6 (Early Heavy Users) from the MBC analysis showed a unique pattern of decreasing reliance from an initially high level, representing a trajectory that moved toward (though did not reach) calibration from the over-reliance side.</w:t>
      </w:r>
    </w:p>
    <w:p>
      <w:pPr>
        <w:spacing w:line="480" w:lineRule="auto" w:before="0" w:after="0"/>
        <w:jc w:val="left"/>
      </w:pPr>
      <w:r>
        <w:rPr>
          <w:rFonts w:ascii="Times New Roman" w:hAnsi="Times New Roman"/>
          <w:b/>
          <w:i/>
          <w:color w:val="000000"/>
          <w:sz w:val="24"/>
        </w:rPr>
        <w:t>Beyond Predicted Patterns: AI Benefit Emergence</w:t>
      </w:r>
    </w:p>
    <w:p>
      <w:pPr>
        <w:spacing w:line="480" w:lineRule="auto" w:before="0" w:after="0"/>
        <w:ind w:firstLine="720"/>
        <w:jc w:val="left"/>
      </w:pPr>
      <w:r>
        <w:rPr>
          <w:rFonts w:ascii="Times New Roman" w:hAnsi="Times New Roman"/>
          <w:b w:val="0"/>
          <w:i w:val="0"/>
          <w:color w:val="000000"/>
          <w:sz w:val="24"/>
        </w:rPr>
        <w:t>A novel trajectory pattern emerged from both the alternative-operationalization MBC analysis (Phase 2B) and the LCGA (Phase 2C) that was not predicted by the theoretical framework. In the Phase 2B MBC analysis using the VVV 8-class model, Class 4 (n = 256; 5.7%) exhibited a dramatic increase in adaptive performance (</w:t>
      </w:r>
      <w:r>
        <w:rPr>
          <w:rFonts w:ascii="Times New Roman" w:hAnsi="Times New Roman"/>
          <w:b w:val="0"/>
          <w:i/>
          <w:color w:val="000000"/>
          <w:sz w:val="24"/>
        </w:rPr>
        <w:t>P_{\text{adaptive}}</w:t>
      </w:r>
      <w:r>
        <w:rPr>
          <w:rFonts w:ascii="Times New Roman" w:hAnsi="Times New Roman"/>
          <w:b w:val="0"/>
          <w:i w:val="0"/>
          <w:color w:val="000000"/>
          <w:sz w:val="24"/>
        </w:rPr>
        <w:t xml:space="preserve"> from 0.275 to 0.852) paired with minimal increase in reliance (</w:t>
      </w:r>
      <w:r>
        <w:rPr>
          <w:rFonts w:ascii="Times New Roman" w:hAnsi="Times New Roman"/>
          <w:b w:val="0"/>
          <w:i/>
          <w:color w:val="000000"/>
          <w:sz w:val="24"/>
        </w:rPr>
        <w:t>R_b</w:t>
      </w:r>
      <w:r>
        <w:rPr>
          <w:rFonts w:ascii="Times New Roman" w:hAnsi="Times New Roman"/>
          <w:b w:val="0"/>
          <w:i w:val="0"/>
          <w:color w:val="000000"/>
          <w:sz w:val="24"/>
        </w:rPr>
        <w:t xml:space="preserve"> from 0.020 to 0.171). The calibration gap widened from -0.039 to -0.601, indicating that as the AI system's recommendations became increasingly effective for these students, their reliance failed to keep pace. In the LCGA analysis, Class 4 (n = 177; 5.5%) showed a strikingly parallel pattern: </w:t>
      </w:r>
      <w:r>
        <w:rPr>
          <w:rFonts w:ascii="Times New Roman" w:hAnsi="Times New Roman"/>
          <w:b w:val="0"/>
          <w:i/>
          <w:color w:val="000000"/>
          <w:sz w:val="24"/>
        </w:rPr>
        <w:t>P_{\text{adaptive}}</w:t>
      </w:r>
      <w:r>
        <w:rPr>
          <w:rFonts w:ascii="Times New Roman" w:hAnsi="Times New Roman"/>
          <w:b w:val="0"/>
          <w:i w:val="0"/>
          <w:color w:val="000000"/>
          <w:sz w:val="24"/>
        </w:rPr>
        <w:t xml:space="preserve"> increasing from 0.473 to 0.722 while </w:t>
      </w:r>
      <w:r>
        <w:rPr>
          <w:rFonts w:ascii="Times New Roman" w:hAnsi="Times New Roman"/>
          <w:b w:val="0"/>
          <w:i/>
          <w:color w:val="000000"/>
          <w:sz w:val="24"/>
        </w:rPr>
        <w:t>R_b</w:t>
      </w:r>
      <w:r>
        <w:rPr>
          <w:rFonts w:ascii="Times New Roman" w:hAnsi="Times New Roman"/>
          <w:b w:val="0"/>
          <w:i w:val="0"/>
          <w:color w:val="000000"/>
          <w:sz w:val="24"/>
        </w:rPr>
        <w:t xml:space="preserve"> remained low and fluctuating, with the gap widening from -0.301 to -0.543.</w:t>
      </w:r>
    </w:p>
    <w:p>
      <w:pPr>
        <w:spacing w:line="480" w:lineRule="auto" w:before="0" w:after="0"/>
        <w:ind w:firstLine="720"/>
        <w:jc w:val="left"/>
      </w:pPr>
      <w:r>
        <w:rPr>
          <w:rFonts w:ascii="Times New Roman" w:hAnsi="Times New Roman"/>
          <w:b w:val="0"/>
          <w:i w:val="0"/>
          <w:color w:val="000000"/>
          <w:sz w:val="24"/>
        </w:rPr>
        <w:t>We term this pattern AI Benefit Emergence (ABE). It represents a situation in which the AI tutoring system becomes increasingly beneficial for a learner — as evidenced by rising accuracy on AI-recommended questions — but the learner does not proportionally increase their engagement with the system's recommendations. The convergence of this finding across two independent analytical methods, each using different operationalizations and modeling assumptions, strengthens confidence that ABE represents a genuine behavioral pattern rather than a methodological artifact.</w:t>
      </w:r>
    </w:p>
    <w:p>
      <w:pPr>
        <w:spacing w:line="480" w:lineRule="auto" w:before="0" w:after="0"/>
        <w:ind w:firstLine="720"/>
        <w:jc w:val="left"/>
      </w:pPr>
      <w:r>
        <w:rPr>
          <w:rFonts w:ascii="Times New Roman" w:hAnsi="Times New Roman"/>
          <w:b w:val="0"/>
          <w:i w:val="0"/>
          <w:color w:val="000000"/>
          <w:sz w:val="24"/>
        </w:rPr>
        <w:t>The ABE pattern can be understood through several theoretical mechanisms from the trust-in-automation literature. Parasuraman and Riley's (1997) concept of disuse — the neglect of available automation — provides the broadest framing: these students are failing to utilize an AI resource that demonstrably improves their performance. Lee and Moray's (1994) trust asymmetry hypothesis offers a more specific mechanism: if these students experienced early negative interactions with the AI system (e.g., poor recommendations during initial sessions), the resulting distrust may persist even as the system's recommendations improve, because trust builds more slowly than it erodes. Anchoring effects may also play a role: early impressions of AI utility may anchor subsequent reliance decisions, making students slow to update their behavior even when the evidence for AI benefit accumulates.</w:t>
      </w:r>
    </w:p>
    <w:p>
      <w:pPr>
        <w:spacing w:line="480" w:lineRule="auto" w:before="0" w:after="0"/>
        <w:ind w:firstLine="720"/>
        <w:jc w:val="left"/>
      </w:pPr>
      <w:r>
        <w:rPr>
          <w:rFonts w:ascii="Times New Roman" w:hAnsi="Times New Roman"/>
          <w:b w:val="0"/>
          <w:i w:val="0"/>
          <w:color w:val="000000"/>
          <w:sz w:val="24"/>
        </w:rPr>
        <w:t>This empirically discovered pattern extends the theoretical framework beyond its original four predicted trajectories. ABE represents a fifth trajectory type — a mirror image of the catastrophic pattern (in which sudden AI failure causes a trust violation) but operating in the opposite direction: gradual AI improvement that fails to generate a corresponding trust and reliance update.</w:t>
      </w:r>
    </w:p>
    <w:p>
      <w:pPr>
        <w:spacing w:line="480" w:lineRule="auto" w:before="0" w:after="0"/>
        <w:jc w:val="left"/>
      </w:pPr>
      <w:r>
        <w:rPr>
          <w:rFonts w:ascii="Times New Roman" w:hAnsi="Times New Roman"/>
          <w:b/>
          <w:i w:val="0"/>
          <w:color w:val="000000"/>
          <w:sz w:val="24"/>
        </w:rPr>
        <w:t>RQ4: Early Behavior as a Predictor of Trajectory Class</w:t>
      </w:r>
    </w:p>
    <w:p>
      <w:pPr>
        <w:spacing w:line="480" w:lineRule="auto" w:before="0" w:after="0"/>
        <w:ind w:firstLine="720"/>
        <w:jc w:val="left"/>
      </w:pPr>
      <w:r>
        <w:rPr>
          <w:rFonts w:ascii="Times New Roman" w:hAnsi="Times New Roman"/>
          <w:b w:val="0"/>
          <w:i w:val="0"/>
          <w:color w:val="000000"/>
          <w:sz w:val="24"/>
        </w:rPr>
        <w:t xml:space="preserve">The multinomial logistic regression model predicting 6-class membership from early behavioral features yielded a cross-validated classification accuracy of </w:t>
      </w:r>
      <w:r>
        <w:rPr>
          <w:rFonts w:ascii="Times New Roman" w:hAnsi="Times New Roman"/>
          <w:b/>
          <w:i w:val="0"/>
          <w:color w:val="000000"/>
          <w:sz w:val="24"/>
        </w:rPr>
        <w:t>49.4%</w:t>
      </w:r>
      <w:r>
        <w:rPr>
          <w:rFonts w:ascii="Times New Roman" w:hAnsi="Times New Roman"/>
          <w:b w:val="0"/>
          <w:i w:val="0"/>
          <w:color w:val="000000"/>
          <w:sz w:val="24"/>
        </w:rPr>
        <w:t xml:space="preserve"> (SD across folds = 2.1%). Given that chance-level accuracy for six equally probable classes is 16.7%, the model achieved approximately </w:t>
      </w:r>
      <w:r>
        <w:rPr>
          <w:rFonts w:ascii="Times New Roman" w:hAnsi="Times New Roman"/>
          <w:b/>
          <w:i w:val="0"/>
          <w:color w:val="000000"/>
          <w:sz w:val="24"/>
        </w:rPr>
        <w:t>3.0 times chance performance</w:t>
      </w:r>
      <w:r>
        <w:rPr>
          <w:rFonts w:ascii="Times New Roman" w:hAnsi="Times New Roman"/>
          <w:b w:val="0"/>
          <w:i w:val="0"/>
          <w:color w:val="000000"/>
          <w:sz w:val="24"/>
        </w:rPr>
        <w:t>, indicating meaningful predictive power from early behavior alone.</w:t>
      </w:r>
    </w:p>
    <w:p>
      <w:pPr>
        <w:spacing w:line="480" w:lineRule="auto" w:before="0" w:after="0"/>
        <w:jc w:val="left"/>
      </w:pPr>
      <w:r>
        <w:rPr>
          <w:rFonts w:ascii="Times New Roman" w:hAnsi="Times New Roman"/>
          <w:b/>
          <w:i w:val="0"/>
          <w:color w:val="000000"/>
          <w:sz w:val="24"/>
        </w:rPr>
        <w:t>Table 3</w:t>
      </w:r>
    </w:p>
    <w:p>
      <w:pPr>
        <w:spacing w:line="480" w:lineRule="auto" w:before="0" w:after="0"/>
        <w:jc w:val="left"/>
      </w:pPr>
      <w:r>
        <w:rPr>
          <w:rFonts w:ascii="Times New Roman" w:hAnsi="Times New Roman"/>
          <w:b w:val="0"/>
          <w:i/>
          <w:color w:val="000000"/>
          <w:sz w:val="24"/>
        </w:rPr>
        <w:t>HERE: Multinomial logistic regression coefficients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1</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2</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3</w:t>
            </w:r>
          </w:p>
        </w:tc>
      </w:tr>
      <w:tr>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[Table notes to be added]</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 xml:space="preserve">The strongest predictor was </w:t>
      </w:r>
      <w:r>
        <w:rPr>
          <w:rFonts w:ascii="Times New Roman" w:hAnsi="Times New Roman"/>
          <w:b/>
          <w:i w:val="0"/>
          <w:color w:val="000000"/>
          <w:sz w:val="24"/>
        </w:rPr>
        <w:t>early exploration rate</w:t>
      </w:r>
      <w:r>
        <w:rPr>
          <w:rFonts w:ascii="Times New Roman" w:hAnsi="Times New Roman"/>
          <w:b w:val="0"/>
          <w:i w:val="0"/>
          <w:color w:val="000000"/>
          <w:sz w:val="24"/>
        </w:rPr>
        <w:t xml:space="preserve"> (`early_expl_rate`), with a mean absolute standardized coefficient of 1.00 (the highest among all predictors). This variable — the proportion of first-window episodes in which the student viewed explanatory content — differentiated classes in several key contrasts. Specifically, higher early explanation rates were associated with membership in Classes 2 (Steady Calibrators) and 3 (Strong Calibrators) relative to Class 1 (Gradual Adopters) and Class 4 (High Performers with Low Reliance).</w:t>
      </w:r>
    </w:p>
    <w:p>
      <w:pPr>
        <w:spacing w:line="480" w:lineRule="auto" w:before="0" w:after="0"/>
        <w:ind w:firstLine="720"/>
        <w:jc w:val="left"/>
      </w:pPr>
      <w:r>
        <w:rPr>
          <w:rFonts w:ascii="Times New Roman" w:hAnsi="Times New Roman"/>
          <w:b w:val="0"/>
          <w:i w:val="0"/>
          <w:color w:val="000000"/>
          <w:sz w:val="24"/>
        </w:rPr>
        <w:t xml:space="preserve">The second most important predictor was </w:t>
      </w:r>
      <w:r>
        <w:rPr>
          <w:rFonts w:ascii="Times New Roman" w:hAnsi="Times New Roman"/>
          <w:b/>
          <w:i w:val="0"/>
          <w:color w:val="000000"/>
          <w:sz w:val="24"/>
        </w:rPr>
        <w:t>early average explanation duration</w:t>
      </w:r>
      <w:r>
        <w:rPr>
          <w:rFonts w:ascii="Times New Roman" w:hAnsi="Times New Roman"/>
          <w:b w:val="0"/>
          <w:i w:val="0"/>
          <w:color w:val="000000"/>
          <w:sz w:val="24"/>
        </w:rPr>
        <w:t xml:space="preserve"> (`early_avg_expl_dur_s`), with a mean absolute coefficient of 0.60. Students who spent more time per explanation view tended toward the calibrating classes (2 and 3), suggesting that not merely viewing explanations but engaging deeply with them was associated with subsequent calibration trajectories.</w:t>
      </w:r>
    </w:p>
    <w:p>
      <w:pPr>
        <w:spacing w:line="480" w:lineRule="auto" w:before="0" w:after="0"/>
        <w:ind w:firstLine="720"/>
        <w:jc w:val="left"/>
      </w:pPr>
      <w:r>
        <w:rPr>
          <w:rFonts w:ascii="Times New Roman" w:hAnsi="Times New Roman"/>
          <w:b/>
          <w:i w:val="0"/>
          <w:color w:val="000000"/>
          <w:sz w:val="24"/>
        </w:rPr>
        <w:t>Early reliance rate</w:t>
      </w:r>
      <w:r>
        <w:rPr>
          <w:rFonts w:ascii="Times New Roman" w:hAnsi="Times New Roman"/>
          <w:b w:val="0"/>
          <w:i w:val="0"/>
          <w:color w:val="000000"/>
          <w:sz w:val="24"/>
        </w:rPr>
        <w:t xml:space="preserve"> (`early_R_b`) was the third predictor in importance (mean |coefficient| = 0.30), primarily distinguishing Class 6 (Early Heavy Users) from all other classes, as expected given their uniquely high initial reliance.</w:t>
      </w:r>
    </w:p>
    <w:p>
      <w:pPr>
        <w:spacing w:line="480" w:lineRule="auto" w:before="0" w:after="0"/>
        <w:ind w:firstLine="720"/>
        <w:jc w:val="left"/>
      </w:pPr>
      <w:r>
        <w:rPr>
          <w:rFonts w:ascii="Times New Roman" w:hAnsi="Times New Roman"/>
          <w:b w:val="0"/>
          <w:i w:val="0"/>
          <w:color w:val="000000"/>
          <w:sz w:val="24"/>
        </w:rPr>
        <w:t>These results support H3 — early explanation-seeking behavior was the strongest predictor of trajectory class membership. The dominance of explanation-related features (rate and duration) over initial reliance and initial performance suggests that metacognitive engagement patterns, rather than starting levels of reliance or ability, are the primary behavioral markers of subsequent calibration trajectories.</w:t>
      </w:r>
    </w:p>
    <w:p>
      <w:pPr>
        <w:spacing w:line="480" w:lineRule="auto" w:before="0" w:after="0"/>
        <w:jc w:val="left"/>
      </w:pPr>
      <w:r>
        <w:rPr>
          <w:rFonts w:ascii="Times New Roman" w:hAnsi="Times New Roman"/>
          <w:b/>
          <w:i w:val="0"/>
          <w:color w:val="000000"/>
          <w:sz w:val="24"/>
        </w:rPr>
        <w:t>RQ5: Class Differences in Learning Outcomes</w:t>
      </w:r>
    </w:p>
    <w:p>
      <w:pPr>
        <w:spacing w:line="480" w:lineRule="auto" w:before="0" w:after="0"/>
        <w:jc w:val="left"/>
      </w:pPr>
      <w:r>
        <w:rPr>
          <w:rFonts w:ascii="Times New Roman" w:hAnsi="Times New Roman"/>
          <w:b/>
          <w:i/>
          <w:color w:val="000000"/>
          <w:sz w:val="24"/>
        </w:rPr>
        <w:t>Overall Accuracy</w:t>
      </w:r>
    </w:p>
    <w:p>
      <w:pPr>
        <w:spacing w:line="480" w:lineRule="auto" w:before="0" w:after="0"/>
        <w:ind w:firstLine="720"/>
        <w:jc w:val="left"/>
      </w:pPr>
      <w:r>
        <w:rPr>
          <w:rFonts w:ascii="Times New Roman" w:hAnsi="Times New Roman"/>
          <w:b w:val="0"/>
          <w:i w:val="0"/>
          <w:color w:val="000000"/>
          <w:sz w:val="24"/>
        </w:rPr>
        <w:t xml:space="preserve">A one-way ANOVA comparing overall accuracy across the six trajectory classes yielded a statistically significant result: </w:t>
      </w:r>
      <w:r>
        <w:rPr>
          <w:rFonts w:ascii="Times New Roman" w:hAnsi="Times New Roman"/>
          <w:b/>
          <w:i w:val="0"/>
          <w:color w:val="000000"/>
          <w:sz w:val="24"/>
        </w:rPr>
        <w:t>F(5, 4562) = 177.46, p = 4.66 x 10^-173, $\eta^2$ = 0.163</w:t>
      </w:r>
      <w:r>
        <w:rPr>
          <w:rFonts w:ascii="Times New Roman" w:hAnsi="Times New Roman"/>
          <w:b w:val="0"/>
          <w:i w:val="0"/>
          <w:color w:val="000000"/>
          <w:sz w:val="24"/>
        </w:rPr>
        <w:t>. The effect size was large, indicating that trajectory class membership accounted for approximately 16.3% of the variance in overall accuracy.</w:t>
      </w:r>
    </w:p>
    <w:p>
      <w:pPr>
        <w:spacing w:line="480" w:lineRule="auto" w:before="0" w:after="0"/>
        <w:jc w:val="left"/>
      </w:pPr>
      <w:r>
        <w:rPr>
          <w:rFonts w:ascii="Times New Roman" w:hAnsi="Times New Roman"/>
          <w:b/>
          <w:i w:val="0"/>
          <w:color w:val="000000"/>
          <w:sz w:val="24"/>
        </w:rPr>
        <w:t>Table 4</w:t>
      </w:r>
    </w:p>
    <w:p>
      <w:pPr>
        <w:spacing w:line="480" w:lineRule="auto" w:before="0" w:after="0"/>
        <w:jc w:val="left"/>
      </w:pPr>
      <w:r>
        <w:rPr>
          <w:rFonts w:ascii="Times New Roman" w:hAnsi="Times New Roman"/>
          <w:b w:val="0"/>
          <w:i/>
          <w:color w:val="000000"/>
          <w:sz w:val="24"/>
        </w:rPr>
        <w:t>HERE: Class outcome differences — overall accuracy, accuracy improvement, and post-hoc comparisons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1</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2</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3</w:t>
            </w:r>
          </w:p>
        </w:tc>
      </w:tr>
      <w:tr>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[Table notes to be added]</w:t>
      </w:r>
    </w:p>
    <w:p>
      <w:pPr>
        <w:spacing w:line="480" w:lineRule="auto" w:before="0" w:after="0"/>
        <w:jc w:val="left"/>
      </w:pPr>
      <w:r>
        <w:rPr>
          <w:rFonts w:ascii="Times New Roman" w:hAnsi="Times New Roman"/>
          <w:b w:val="0"/>
          <w:i w:val="0"/>
          <w:color w:val="000000"/>
          <w:sz w:val="24"/>
        </w:rPr>
      </w:r>
    </w:p>
    <w:p>
      <w:pPr>
        <w:spacing w:line="480" w:lineRule="auto" w:before="0" w:after="0"/>
        <w:ind w:firstLine="720"/>
        <w:jc w:val="left"/>
      </w:pPr>
      <w:r>
        <w:rPr>
          <w:rFonts w:ascii="Times New Roman" w:hAnsi="Times New Roman"/>
          <w:b w:val="0"/>
          <w:i w:val="0"/>
          <w:color w:val="000000"/>
          <w:sz w:val="24"/>
        </w:rPr>
        <w:t>Class 4 (High Performers with Low Reliance) had the highest overall accuracy (M = .649, SD = .08), significantly exceeding all other classes (all Tukey HSD p &lt; .001). Class 3 (Strong Calibrators) had the lowest overall accuracy (M = .518, SD = .07), significantly lower than all other classes except Class 2 (Steady Calibrators; M = .547). The remaining classes fell between these extremes: Class 6 (M = .591), Class 1 (M = .589), Class 5 (M = .572), and Class 2 (M = .547).</w:t>
      </w:r>
    </w:p>
    <w:p>
      <w:pPr>
        <w:spacing w:line="480" w:lineRule="auto" w:before="0" w:after="0"/>
        <w:jc w:val="left"/>
      </w:pPr>
      <w:r>
        <w:rPr>
          <w:rFonts w:ascii="Times New Roman" w:hAnsi="Times New Roman"/>
          <w:b/>
          <w:i/>
          <w:color w:val="000000"/>
          <w:sz w:val="24"/>
        </w:rPr>
        <w:t>Accuracy Improvement</w:t>
      </w:r>
    </w:p>
    <w:p>
      <w:pPr>
        <w:spacing w:line="480" w:lineRule="auto" w:before="0" w:after="0"/>
        <w:ind w:firstLine="720"/>
        <w:jc w:val="left"/>
      </w:pPr>
      <w:r>
        <w:rPr>
          <w:rFonts w:ascii="Times New Roman" w:hAnsi="Times New Roman"/>
          <w:b w:val="0"/>
          <w:i w:val="0"/>
          <w:color w:val="000000"/>
          <w:sz w:val="24"/>
        </w:rPr>
        <w:t>A one-way ANOVA comparing accuracy improvement (</w:t>
      </w:r>
      <w:r>
        <w:rPr>
          <w:rFonts w:ascii="Times New Roman" w:hAnsi="Times New Roman"/>
          <w:b w:val="0"/>
          <w:i/>
          <w:color w:val="000000"/>
          <w:sz w:val="24"/>
        </w:rPr>
        <w:t>P(\tau = 10) - P(\tau = 1)</w:t>
      </w:r>
      <w:r>
        <w:rPr>
          <w:rFonts w:ascii="Times New Roman" w:hAnsi="Times New Roman"/>
          <w:b w:val="0"/>
          <w:i w:val="0"/>
          <w:color w:val="000000"/>
          <w:sz w:val="24"/>
        </w:rPr>
        <w:t xml:space="preserve">) across classes was also significant: </w:t>
      </w:r>
      <w:r>
        <w:rPr>
          <w:rFonts w:ascii="Times New Roman" w:hAnsi="Times New Roman"/>
          <w:b/>
          <w:i w:val="0"/>
          <w:color w:val="000000"/>
          <w:sz w:val="24"/>
        </w:rPr>
        <w:t>F(5, 4562) = 25.08, p = 5.04 x 10^-25, $\eta^2$ = 0.027</w:t>
      </w:r>
      <w:r>
        <w:rPr>
          <w:rFonts w:ascii="Times New Roman" w:hAnsi="Times New Roman"/>
          <w:b w:val="0"/>
          <w:i w:val="0"/>
          <w:color w:val="000000"/>
          <w:sz w:val="24"/>
        </w:rPr>
        <w:t>. The effect size was small, indicating that trajectory class membership explained approximately 2.7% of the variance in accuracy improvement.</w:t>
      </w:r>
    </w:p>
    <w:p>
      <w:pPr>
        <w:spacing w:line="480" w:lineRule="auto" w:before="0" w:after="0"/>
        <w:ind w:firstLine="720"/>
        <w:jc w:val="left"/>
      </w:pPr>
      <w:r>
        <w:rPr>
          <w:rFonts w:ascii="Times New Roman" w:hAnsi="Times New Roman"/>
          <w:b w:val="0"/>
          <w:i w:val="0"/>
          <w:color w:val="000000"/>
          <w:sz w:val="24"/>
        </w:rPr>
        <w:t>Class 3 (Strong Calibrators) showed the greatest improvement (M = +.048, SD = .11), significantly exceeding Classes 1 and 4 (p &lt; .001). Class 4 (High Performers, Low Reliance) showed the least improvement (M = +.008, SD = .09), consistent with a ceiling effect — students who began with high performance had less room for improvement.</w:t>
      </w:r>
    </w:p>
    <w:p>
      <w:pPr>
        <w:spacing w:line="480" w:lineRule="auto" w:before="0" w:after="0"/>
        <w:jc w:val="left"/>
      </w:pPr>
      <w:r>
        <w:rPr>
          <w:rFonts w:ascii="Times New Roman" w:hAnsi="Times New Roman"/>
          <w:b/>
          <w:i/>
          <w:color w:val="000000"/>
          <w:sz w:val="24"/>
        </w:rPr>
        <w:t>The Performance-Improvement Inverse Relationship</w:t>
      </w:r>
    </w:p>
    <w:p>
      <w:pPr>
        <w:spacing w:line="480" w:lineRule="auto" w:before="0" w:after="0"/>
        <w:ind w:firstLine="720"/>
        <w:jc w:val="left"/>
      </w:pPr>
      <w:r>
        <w:rPr>
          <w:rFonts w:ascii="Times New Roman" w:hAnsi="Times New Roman"/>
          <w:b w:val="0"/>
          <w:i w:val="0"/>
          <w:color w:val="000000"/>
          <w:sz w:val="24"/>
        </w:rPr>
        <w:t>A notable pattern emerged from the joint consideration of overall accuracy and accuracy improvement: the classes ranked in approximately inverse order on these two outcomes. Class 4, with the highest overall accuracy, showed the least improvement. Class 3, with the lowest overall accuracy, showed the most improvement. This inverse relationship is consistent with a ceiling effect interpretation: students with initially high performance have less room for growth, while initially struggling students who engage in calibration processes may show the greatest gains.</w:t>
      </w:r>
    </w:p>
    <w:p>
      <w:pPr>
        <w:spacing w:line="480" w:lineRule="auto" w:before="0" w:after="0"/>
        <w:ind w:firstLine="720"/>
        <w:jc w:val="left"/>
      </w:pPr>
      <w:r>
        <w:rPr>
          <w:rFonts w:ascii="Times New Roman" w:hAnsi="Times New Roman"/>
          <w:b w:val="0"/>
          <w:i w:val="0"/>
          <w:color w:val="000000"/>
          <w:sz w:val="24"/>
        </w:rPr>
        <w:t xml:space="preserve">This finding provides </w:t>
      </w:r>
      <w:r>
        <w:rPr>
          <w:rFonts w:ascii="Times New Roman" w:hAnsi="Times New Roman"/>
          <w:b/>
          <w:i w:val="0"/>
          <w:color w:val="000000"/>
          <w:sz w:val="24"/>
        </w:rPr>
        <w:t>modified support for H4</w:t>
      </w:r>
      <w:r>
        <w:rPr>
          <w:rFonts w:ascii="Times New Roman" w:hAnsi="Times New Roman"/>
          <w:b w:val="0"/>
          <w:i w:val="0"/>
          <w:color w:val="000000"/>
          <w:sz w:val="24"/>
        </w:rPr>
        <w:t xml:space="preserve">. The convergent calibration class (Class 3, Strong Calibrators) was associated with the greatest </w:t>
      </w:r>
      <w:r>
        <w:rPr>
          <w:rFonts w:ascii="Times New Roman" w:hAnsi="Times New Roman"/>
          <w:b w:val="0"/>
          <w:i/>
          <w:color w:val="000000"/>
          <w:sz w:val="24"/>
        </w:rPr>
        <w:t>improvement</w:t>
      </w:r>
      <w:r>
        <w:rPr>
          <w:rFonts w:ascii="Times New Roman" w:hAnsi="Times New Roman"/>
          <w:b w:val="0"/>
          <w:i w:val="0"/>
          <w:color w:val="000000"/>
          <w:sz w:val="24"/>
        </w:rPr>
        <w:t xml:space="preserve"> in performance, consistent with the theoretical prediction that calibrated reliance facilitates learning. However, this same class had the lowest </w:t>
      </w:r>
      <w:r>
        <w:rPr>
          <w:rFonts w:ascii="Times New Roman" w:hAnsi="Times New Roman"/>
          <w:b w:val="0"/>
          <w:i/>
          <w:color w:val="000000"/>
          <w:sz w:val="24"/>
        </w:rPr>
        <w:t>absolute</w:t>
      </w:r>
      <w:r>
        <w:rPr>
          <w:rFonts w:ascii="Times New Roman" w:hAnsi="Times New Roman"/>
          <w:b w:val="0"/>
          <w:i w:val="0"/>
          <w:color w:val="000000"/>
          <w:sz w:val="24"/>
        </w:rPr>
        <w:t xml:space="preserve"> performance, and the class with the highest absolute performance (Class 4) followed a stagnant, not convergent, calibration trajectory. Thus, the relationship between calibration and outcomes depends on whether the outcome is defined in terms of level or growth.</w:t>
      </w:r>
    </w:p>
    <w:p>
      <w:pPr>
        <w:spacing w:line="480" w:lineRule="auto" w:before="0" w:after="0"/>
        <w:jc w:val="left"/>
      </w:pPr>
      <w:r>
        <w:rPr>
          <w:rFonts w:ascii="Times New Roman" w:hAnsi="Times New Roman"/>
          <w:b/>
          <w:i/>
          <w:color w:val="000000"/>
          <w:sz w:val="24"/>
        </w:rPr>
        <w:t>Classification Quality and Robustness</w:t>
      </w:r>
    </w:p>
    <w:p>
      <w:pPr>
        <w:spacing w:line="480" w:lineRule="auto" w:before="0" w:after="0"/>
        <w:ind w:firstLine="720"/>
        <w:jc w:val="left"/>
      </w:pPr>
      <w:r>
        <w:rPr>
          <w:rFonts w:ascii="Times New Roman" w:hAnsi="Times New Roman"/>
          <w:b w:val="0"/>
          <w:i w:val="0"/>
          <w:color w:val="000000"/>
          <w:sz w:val="24"/>
        </w:rPr>
        <w:t>The overall average posterior probability for assigned classes was .820, with 76.4% of students assigned with posterior probability exceeding .70 and 62.2% exceeding .80. Classification quality varied across classes: Classes 3 (M = .891), 6 (M = .913), and 5 (M = .874) were most clearly separated, while Classes 1 (M = .779) and 4 (M = .797) showed the most overlap. A cross-classification analysis revealed that Class 1 students were most frequently confused with Classes 2 and 4, consistent with their intermediate trajectory positions. The normalized entropy of .760 indicated that approximately 76% of classification certainty was retained, supporting the interpretability of the class assignments. Sensitivity analyses confirmed that the core class structure replicated across split-half samples and that the ANOVA effects were driven primarily by well-separated classes (3, 5, 6), bolstering confidence in the reported between-class differences.</w:t>
      </w:r>
    </w:p>
    <w:p>
      <w:pPr>
        <w:spacing w:line="480" w:lineRule="auto" w:before="0" w:after="0"/>
        <w:jc w:val="left"/>
      </w:pPr>
      <w:r>
        <w:rPr>
          <w:rFonts w:ascii="Times New Roman" w:hAnsi="Times New Roman"/>
          <w:b/>
          <w:i w:val="0"/>
          <w:color w:val="000000"/>
          <w:sz w:val="24"/>
        </w:rPr>
        <w:t>Table 5</w:t>
      </w:r>
    </w:p>
    <w:p>
      <w:pPr>
        <w:spacing w:line="480" w:lineRule="auto" w:before="0" w:after="0"/>
        <w:jc w:val="left"/>
      </w:pPr>
      <w:r>
        <w:rPr>
          <w:rFonts w:ascii="Times New Roman" w:hAnsi="Times New Roman"/>
          <w:b w:val="0"/>
          <w:i/>
          <w:color w:val="000000"/>
          <w:sz w:val="24"/>
        </w:rPr>
        <w:t>HERE: Sensitivity analysis summary</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1</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2</w:t>
            </w:r>
          </w:p>
        </w:tc>
        <w:tc>
          <w:tcPr>
            <w:tcW w:type="dxa" w:w="3120"/>
            <w:tcBorders>
              <w:top w:val="single" w:sz="8" w:space="0" w:color="000000"/>
              <w:bottom w:val="single" w:sz="8" w:space="0" w:color="000000"/>
              <w:left w:val="none" w:sz="0" w:space="0" w:color="auto"/>
              <w:right w:val="none" w:sz="0" w:space="0" w:color="auto"/>
            </w:tcBorders>
          </w:tcPr>
          <w:p>
            <w:pPr>
              <w:spacing w:line="240" w:lineRule="auto" w:before="40" w:after="40"/>
            </w:pPr>
            <w:r/>
            <w:r>
              <w:rPr>
                <w:rFonts w:ascii="Times New Roman" w:hAnsi="Times New Roman"/>
                <w:b/>
                <w:i w:val="0"/>
                <w:color w:val="000000"/>
                <w:sz w:val="20"/>
              </w:rPr>
              <w:t>Column 3</w:t>
            </w:r>
          </w:p>
        </w:tc>
      </w:tr>
      <w:tr>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c>
          <w:tcPr>
            <w:tcW w:type="dxa" w:w="3120"/>
            <w:tcBorders>
              <w:top w:val="none" w:sz="0" w:space="0" w:color="auto"/>
              <w:bottom w:val="single" w:sz="8" w:space="0" w:color="000000"/>
              <w:left w:val="none" w:sz="0" w:space="0" w:color="auto"/>
              <w:right w:val="none" w:sz="0" w:space="0" w:color="auto"/>
            </w:tcBorders>
          </w:tcPr>
          <w:p>
            <w:pPr>
              <w:spacing w:line="240" w:lineRule="auto" w:before="40" w:after="40"/>
            </w:pPr>
            <w:r/>
            <w:r>
              <w:rPr>
                <w:rFonts w:ascii="Times New Roman" w:hAnsi="Times New Roman"/>
                <w:b w:val="0"/>
                <w:i w:val="0"/>
                <w:color w:val="000000"/>
                <w:sz w:val="20"/>
              </w:rPr>
              <w:t>[Data]</w:t>
            </w:r>
          </w:p>
        </w:tc>
      </w:tr>
    </w:tbl>
    <w:p>
      <w:pPr>
        <w:spacing w:line="480" w:lineRule="auto" w:before="0" w:after="0"/>
      </w:pPr>
      <w:r>
        <w:rPr>
          <w:rFonts w:ascii="Times New Roman" w:hAnsi="Times New Roman"/>
          <w:b w:val="0"/>
          <w:i/>
          <w:color w:val="000000"/>
          <w:sz w:val="20"/>
        </w:rPr>
        <w:t xml:space="preserve">Note. </w:t>
      </w:r>
      <w:r>
        <w:rPr>
          <w:rFonts w:ascii="Times New Roman" w:hAnsi="Times New Roman"/>
          <w:b w:val="0"/>
          <w:i w:val="0"/>
          <w:color w:val="000000"/>
          <w:sz w:val="20"/>
        </w:rPr>
        <w:t>[Table notes to be added]</w:t>
      </w:r>
    </w:p>
    <w:p>
      <w:pPr>
        <w:spacing w:line="480" w:lineRule="auto" w:before="0" w:after="0"/>
        <w:jc w:val="left"/>
      </w:pPr>
      <w:r>
        <w:rPr>
          <w:rFonts w:ascii="Times New Roman" w:hAnsi="Times New Roman"/>
          <w:b w:val="0"/>
          <w:i w:val="0"/>
          <w:color w:val="000000"/>
          <w:sz w:val="24"/>
        </w:rPr>
      </w:r>
    </w:p>
    <w:p>
      <w:r>
        <w:br w:type="page"/>
      </w:r>
    </w:p>
    <w:p>
      <w:pPr>
        <w:spacing w:line="480" w:lineRule="auto" w:before="0" w:after="0"/>
        <w:jc w:val="center"/>
      </w:pPr>
      <w:r>
        <w:rPr>
          <w:rFonts w:ascii="Times New Roman" w:hAnsi="Times New Roman"/>
          <w:b/>
          <w:i w:val="0"/>
          <w:color w:val="000000"/>
          <w:sz w:val="24"/>
        </w:rPr>
        <w:t>Discussion</w:t>
      </w:r>
    </w:p>
    <w:p>
      <w:pPr>
        <w:spacing w:line="480" w:lineRule="auto" w:before="0" w:after="0"/>
        <w:jc w:val="left"/>
      </w:pPr>
      <w:r>
        <w:rPr>
          <w:rFonts w:ascii="Times New Roman" w:hAnsi="Times New Roman"/>
          <w:b/>
          <w:i w:val="0"/>
          <w:color w:val="000000"/>
          <w:sz w:val="24"/>
        </w:rPr>
        <w:t>Summary of Findings</w:t>
      </w:r>
    </w:p>
    <w:p>
      <w:pPr>
        <w:spacing w:line="480" w:lineRule="auto" w:before="0" w:after="0"/>
        <w:ind w:firstLine="720"/>
        <w:jc w:val="left"/>
      </w:pPr>
      <w:r>
        <w:rPr>
          <w:rFonts w:ascii="Times New Roman" w:hAnsi="Times New Roman"/>
          <w:b w:val="0"/>
          <w:i w:val="0"/>
          <w:color w:val="000000"/>
          <w:sz w:val="24"/>
        </w:rPr>
        <w:t>This study investigated longitudinal patterns of AI reliance calibration among 4,568 learners using the Santa AI tutoring platform, employing two complementary analytical methods to test whether theoretically predicted trajectory patterns are observable in behavioral data. Using model-based clustering on joint trajectories of behavioral reliance and performance across 10 temporal windows, we identified six distinct trajectory classes. Using latent class growth analysis on calibration gap growth curves in a subsample of 3,204 students, we identified four trajectory classes that converged with the MBC findings on key structural features. Across both methods, a novel fifth trajectory pattern — AI Benefit Emergence — was discovered that extends the theoretical framework. The key findings are: (a) substantial heterogeneity exists in how learners calibrate their reliance on AI recommendations over time (H1 supported); (b) both convergent and stagnant calibration patterns predicted by theory were observed in the data (H2a and H2b supported); (c) early explanation-seeking behavior is the strongest predictor of subsequent calibration trajectories (H3 supported); (d) the relationship between calibration and learning outcomes is nuanced, with convergent calibrators showing the greatest improvement but not the highest absolute performance (H4 partially supported); and (e) the ABE pattern represents an empirically grounded extension to the theoretical framework.</w:t>
      </w:r>
    </w:p>
    <w:p>
      <w:pPr>
        <w:spacing w:line="480" w:lineRule="auto" w:before="0" w:after="0"/>
        <w:jc w:val="left"/>
      </w:pPr>
      <w:r>
        <w:rPr>
          <w:rFonts w:ascii="Times New Roman" w:hAnsi="Times New Roman"/>
          <w:b/>
          <w:i w:val="0"/>
          <w:color w:val="000000"/>
          <w:sz w:val="24"/>
        </w:rPr>
        <w:t>Interpretation of the Six MBC Trajectory Classes</w:t>
      </w:r>
    </w:p>
    <w:p>
      <w:pPr>
        <w:spacing w:line="480" w:lineRule="auto" w:before="0" w:after="0"/>
        <w:ind w:firstLine="720"/>
        <w:jc w:val="left"/>
      </w:pPr>
      <w:r>
        <w:rPr>
          <w:rFonts w:ascii="Times New Roman" w:hAnsi="Times New Roman"/>
          <w:b w:val="0"/>
          <w:i w:val="0"/>
          <w:color w:val="000000"/>
          <w:sz w:val="24"/>
        </w:rPr>
        <w:t>The six classes identified by the MBC analysis map onto distinct learner profiles with different implications for educational practice.</w:t>
      </w:r>
    </w:p>
    <w:p>
      <w:pPr>
        <w:spacing w:line="480" w:lineRule="auto" w:before="0" w:after="0"/>
        <w:ind w:firstLine="720"/>
        <w:jc w:val="left"/>
      </w:pPr>
      <w:r>
        <w:rPr>
          <w:rFonts w:ascii="Times New Roman" w:hAnsi="Times New Roman"/>
          <w:b w:val="0"/>
          <w:i w:val="0"/>
          <w:color w:val="000000"/>
          <w:sz w:val="24"/>
        </w:rPr>
        <w:t>Gradual Adopters (Class 1) represent nearly a third of the sample — students who slowly increased their engagement with AI recommendations while maintaining stable performance. These learners may be cautious or skeptical, requiring extended positive experience before increasing reliance. From an intervention perspective, these students might benefit from targeted trust calibration scaffolds that help them evaluate AI recommendation quality, potentially accelerating the adoption of beneficial recommendations.</w:t>
      </w:r>
    </w:p>
    <w:p>
      <w:pPr>
        <w:spacing w:line="480" w:lineRule="auto" w:before="0" w:after="0"/>
        <w:ind w:firstLine="720"/>
        <w:jc w:val="left"/>
      </w:pPr>
      <w:r>
        <w:rPr>
          <w:rFonts w:ascii="Times New Roman" w:hAnsi="Times New Roman"/>
          <w:b w:val="0"/>
          <w:i w:val="0"/>
          <w:color w:val="000000"/>
          <w:sz w:val="24"/>
        </w:rPr>
        <w:t>Steady Calibrators (Class 2) and Strong Calibrators (Class 3) together comprise over half the sample (53.4%) and represent the most theoretically interesting classes. Both show concurrent increases in reliance and performance, suggesting a productive calibration process. The distinction between them lies in starting point and magnitude: Class 3 students began with lower performance and showed more dramatic improvement, suggesting they had more to gain from (and were more responsive to) AI-guided learning. These classes provide the strongest evidence that reliance calibration — when it proceeds in a convergent direction — is associated with learning gains.</w:t>
      </w:r>
    </w:p>
    <w:p>
      <w:pPr>
        <w:spacing w:line="480" w:lineRule="auto" w:before="0" w:after="0"/>
        <w:ind w:firstLine="720"/>
        <w:jc w:val="left"/>
      </w:pPr>
      <w:r>
        <w:rPr>
          <w:rFonts w:ascii="Times New Roman" w:hAnsi="Times New Roman"/>
          <w:b w:val="0"/>
          <w:i w:val="0"/>
          <w:color w:val="000000"/>
          <w:sz w:val="24"/>
        </w:rPr>
        <w:t>High Performers with Low Reliance (Class 4) present a theoretically informative case: students who perform well without substantial AI engagement. Several interpretations are possible. These students may possess strong prior knowledge, making AI recommendations redundant. They may have effective self-regulated learning strategies that obviate the need for external guidance. Or they may harbor dispositional skepticism toward AI systems. Regardless of the mechanism, their stagnant calibration trajectory suggests they have reached a stable equilibrium that, while effective for maintaining current performance, may limit opportunities for further growth.</w:t>
      </w:r>
    </w:p>
    <w:p>
      <w:pPr>
        <w:spacing w:line="480" w:lineRule="auto" w:before="0" w:after="0"/>
        <w:ind w:firstLine="720"/>
        <w:jc w:val="left"/>
      </w:pPr>
      <w:r>
        <w:rPr>
          <w:rFonts w:ascii="Times New Roman" w:hAnsi="Times New Roman"/>
          <w:b w:val="0"/>
          <w:i w:val="0"/>
          <w:color w:val="000000"/>
          <w:sz w:val="24"/>
        </w:rPr>
        <w:t>Heavy Adopters (Class 5) represent students whose reliance on AI recommendations increased more rapidly than their performance. This trajectory raises the possibility of developing over-reliance if the trend continued, though within the observed period, their gap remained in the under-reliance range (i.e., performance still exceeded reliance). This class warrants monitoring: if reliance continues to increase without proportional performance gains, intervention to prevent automation complacency (Parasuraman &amp; Manzey, 2010) may be warranted.</w:t>
      </w:r>
    </w:p>
    <w:p>
      <w:pPr>
        <w:spacing w:line="480" w:lineRule="auto" w:before="0" w:after="0"/>
        <w:ind w:firstLine="720"/>
        <w:jc w:val="left"/>
      </w:pPr>
      <w:r>
        <w:rPr>
          <w:rFonts w:ascii="Times New Roman" w:hAnsi="Times New Roman"/>
          <w:b w:val="0"/>
          <w:i w:val="0"/>
          <w:color w:val="000000"/>
          <w:sz w:val="24"/>
        </w:rPr>
        <w:t>Early Heavy Users (Class 6), while small (1.5%), represent a unique trajectory of decreasing reliance from an initially high level. These students may have arrived with strong familiarity with AI systems, initial over-reliance that was self-corrected through experience, or different usage patterns driven by external factors. Their declining reliance, paired with stable performance, suggests a self-regulatory process not captured by the other classes.</w:t>
      </w:r>
    </w:p>
    <w:p>
      <w:pPr>
        <w:spacing w:line="480" w:lineRule="auto" w:before="0" w:after="0"/>
        <w:jc w:val="left"/>
      </w:pPr>
      <w:r>
        <w:rPr>
          <w:rFonts w:ascii="Times New Roman" w:hAnsi="Times New Roman"/>
          <w:b/>
          <w:i w:val="0"/>
          <w:color w:val="000000"/>
          <w:sz w:val="24"/>
        </w:rPr>
        <w:t>Methodological Triangulation: Model-Based Clustering and Latent Class Growth Analysis</w:t>
      </w:r>
    </w:p>
    <w:p>
      <w:pPr>
        <w:spacing w:line="480" w:lineRule="auto" w:before="0" w:after="0"/>
        <w:ind w:firstLine="720"/>
        <w:jc w:val="left"/>
      </w:pPr>
      <w:r>
        <w:rPr>
          <w:rFonts w:ascii="Times New Roman" w:hAnsi="Times New Roman"/>
          <w:b w:val="0"/>
          <w:i w:val="0"/>
          <w:color w:val="000000"/>
          <w:sz w:val="24"/>
        </w:rPr>
        <w:t>A distinctive contribution of this study is the application of two complementary analytical methods to the same phenomenon. The MBC approach via mclust and the LCGA approach via lcmm differ in their assumptions, operationalizations, and structural features, yet both yielded findings that converge on key substantive conclusions while also providing unique insights.</w:t>
      </w:r>
    </w:p>
    <w:p>
      <w:pPr>
        <w:spacing w:line="480" w:lineRule="auto" w:before="0" w:after="0"/>
        <w:ind w:firstLine="720"/>
        <w:jc w:val="left"/>
      </w:pPr>
      <w:r>
        <w:rPr>
          <w:rFonts w:ascii="Times New Roman" w:hAnsi="Times New Roman"/>
          <w:b w:val="0"/>
          <w:i w:val="0"/>
          <w:color w:val="000000"/>
          <w:sz w:val="24"/>
        </w:rPr>
        <w:t xml:space="preserve">The MBC analysis captured six fine-grained trajectory classes based on the joint </w:t>
      </w:r>
      <w:r>
        <w:rPr>
          <w:rFonts w:ascii="Times New Roman" w:hAnsi="Times New Roman"/>
          <w:b w:val="0"/>
          <w:i/>
          <w:color w:val="000000"/>
          <w:sz w:val="24"/>
        </w:rPr>
        <w:t>R_b \times P</w:t>
      </w:r>
      <w:r>
        <w:rPr>
          <w:rFonts w:ascii="Times New Roman" w:hAnsi="Times New Roman"/>
          <w:b w:val="0"/>
          <w:i w:val="0"/>
          <w:color w:val="000000"/>
          <w:sz w:val="24"/>
        </w:rPr>
        <w:t xml:space="preserve"> feature space, identifying nuanced distinctions among classes that share similar gap trajectories but differ in the absolute levels and shapes of their reliance and performance curves. This multivariate approach is sensitive to patterns in both the level and shape of trajectories and does not require specifying a parametric growth function, making it well-suited for exploratory identification of trajectory types.</w:t>
      </w:r>
    </w:p>
    <w:p>
      <w:pPr>
        <w:spacing w:line="480" w:lineRule="auto" w:before="0" w:after="0"/>
        <w:ind w:firstLine="720"/>
        <w:jc w:val="left"/>
      </w:pPr>
      <w:r>
        <w:rPr>
          <w:rFonts w:ascii="Times New Roman" w:hAnsi="Times New Roman"/>
          <w:b w:val="0"/>
          <w:i w:val="0"/>
          <w:color w:val="000000"/>
          <w:sz w:val="24"/>
        </w:rPr>
        <w:t>The LCGA analysis captured four broader trajectory classes based on the growth curve of the calibration gap. By modeling the gap directly as a function of time, LCGA provides interpretable growth parameters (intercepts and slopes) and a more parsimonious representation of calibration dynamics. The use of the alternative operationalization (</w:t>
      </w:r>
      <w:r>
        <w:rPr>
          <w:rFonts w:ascii="Times New Roman" w:hAnsi="Times New Roman"/>
          <w:b w:val="0"/>
          <w:i/>
          <w:color w:val="000000"/>
          <w:sz w:val="24"/>
        </w:rPr>
        <w:t>R_b - P_{\text{adaptive}}</w:t>
      </w:r>
      <w:r>
        <w:rPr>
          <w:rFonts w:ascii="Times New Roman" w:hAnsi="Times New Roman"/>
          <w:b w:val="0"/>
          <w:i w:val="0"/>
          <w:color w:val="000000"/>
          <w:sz w:val="24"/>
        </w:rPr>
        <w:t>) further distinguished the LCGA from the MBC by targeting a more sensitive measure of calibration.</w:t>
      </w:r>
    </w:p>
    <w:p>
      <w:pPr>
        <w:spacing w:line="480" w:lineRule="auto" w:before="0" w:after="0"/>
        <w:ind w:firstLine="720"/>
        <w:jc w:val="left"/>
      </w:pPr>
      <w:r>
        <w:rPr>
          <w:rFonts w:ascii="Times New Roman" w:hAnsi="Times New Roman"/>
          <w:b w:val="0"/>
          <w:i w:val="0"/>
          <w:color w:val="000000"/>
          <w:sz w:val="24"/>
        </w:rPr>
        <w:t xml:space="preserve">The correspondence between the two solutions, while not one-to-one, reveals meaningful convergence. LCGA Class 1 (Stagnant Under-Reliance, 83.1% of the subsample) corresponds broadly to MBC Classes 1, 2, and 4 (combined approximately 75% of the full sample), all of which are characterized by persistent under-reliance with limited calibration change. LCGA Class 3 (Convergent Learners) corresponds to MBC Classes 2 and 3, both showing gap-narrowing dynamics. LCGA Class 4 (ABE/Divergent) identified a pattern that was also detected in the Phase 2B alternative MBC analysis but not in the original Phase 2A MBC analysis, demonstrating the value of the alternative operationalization. The cross-method adjusted Rand index was 0.045, which is expected given that the two methods used different operationalizations (original </w:t>
      </w:r>
      <w:r>
        <w:rPr>
          <w:rFonts w:ascii="Times New Roman" w:hAnsi="Times New Roman"/>
          <w:b w:val="0"/>
          <w:i/>
          <w:color w:val="000000"/>
          <w:sz w:val="24"/>
        </w:rPr>
        <w:t>R_b \times P</w:t>
      </w:r>
      <w:r>
        <w:rPr>
          <w:rFonts w:ascii="Times New Roman" w:hAnsi="Times New Roman"/>
          <w:b w:val="0"/>
          <w:i w:val="0"/>
          <w:color w:val="000000"/>
          <w:sz w:val="24"/>
        </w:rPr>
        <w:t xml:space="preserve"> vs. alternative </w:t>
      </w:r>
      <w:r>
        <w:rPr>
          <w:rFonts w:ascii="Times New Roman" w:hAnsi="Times New Roman"/>
          <w:b w:val="0"/>
          <w:i/>
          <w:color w:val="000000"/>
          <w:sz w:val="24"/>
        </w:rPr>
        <w:t>R_b - P_{\text{adaptive}}</w:t>
      </w:r>
      <w:r>
        <w:rPr>
          <w:rFonts w:ascii="Times New Roman" w:hAnsi="Times New Roman"/>
          <w:b w:val="0"/>
          <w:i w:val="0"/>
          <w:color w:val="000000"/>
          <w:sz w:val="24"/>
        </w:rPr>
        <w:t>), different modeling frameworks (multivariate Gaussian mixture vs. linear growth with latent classes), and different samples (N = 4,568 vs. N = 3,204).</w:t>
      </w:r>
    </w:p>
    <w:p>
      <w:pPr>
        <w:spacing w:line="480" w:lineRule="auto" w:before="0" w:after="0"/>
        <w:ind w:firstLine="720"/>
        <w:jc w:val="left"/>
      </w:pPr>
      <w:r>
        <w:rPr>
          <w:rFonts w:ascii="Times New Roman" w:hAnsi="Times New Roman"/>
          <w:b w:val="0"/>
          <w:i w:val="0"/>
          <w:color w:val="000000"/>
          <w:sz w:val="24"/>
        </w:rPr>
        <w:t>The convergence of both methods on two key findings — the dominance of under-reliance and the existence of both convergent and stagnant calibration patterns — strengthens confidence in these conclusions. At the same time, the unique contribution of each method (e.g., the finer class distinctions afforded by MBC, the discovery of the ABE pattern via LCGA's sensitivity to the alternative operationalization) demonstrates that methodological triangulation yields a richer understanding than either approach alone.</w:t>
      </w:r>
    </w:p>
    <w:p>
      <w:pPr>
        <w:spacing w:line="480" w:lineRule="auto" w:before="0" w:after="0"/>
        <w:jc w:val="left"/>
      </w:pPr>
      <w:r>
        <w:rPr>
          <w:rFonts w:ascii="Times New Roman" w:hAnsi="Times New Roman"/>
          <w:b/>
          <w:i w:val="0"/>
          <w:color w:val="000000"/>
          <w:sz w:val="24"/>
        </w:rPr>
        <w:t>The Dominance of Under-Reliance</w:t>
      </w:r>
    </w:p>
    <w:p>
      <w:pPr>
        <w:spacing w:line="480" w:lineRule="auto" w:before="0" w:after="0"/>
        <w:ind w:firstLine="720"/>
        <w:jc w:val="left"/>
      </w:pPr>
      <w:r>
        <w:rPr>
          <w:rFonts w:ascii="Times New Roman" w:hAnsi="Times New Roman"/>
          <w:b w:val="0"/>
          <w:i w:val="0"/>
          <w:color w:val="000000"/>
          <w:sz w:val="24"/>
        </w:rPr>
        <w:t>A striking finding across all classes, time windows, and analytical methods was the predominance of under-reliance: the reliance-performance gap was negative throughout, meaning students' performance consistently exceeded their behavioral reliance on AI recommendations. Even Class 6, with the highest reliance levels, maintained a gap near zero rather than crossing into over-reliance territory.</w:t>
      </w:r>
    </w:p>
    <w:p>
      <w:pPr>
        <w:spacing w:line="480" w:lineRule="auto" w:before="0" w:after="0"/>
        <w:ind w:firstLine="720"/>
        <w:jc w:val="left"/>
      </w:pPr>
      <w:r>
        <w:rPr>
          <w:rFonts w:ascii="Times New Roman" w:hAnsi="Times New Roman"/>
          <w:b w:val="0"/>
          <w:i w:val="0"/>
          <w:color w:val="000000"/>
          <w:sz w:val="24"/>
        </w:rPr>
        <w:t xml:space="preserve">This finding has several possible explanations. First, </w:t>
      </w:r>
      <w:r>
        <w:rPr>
          <w:rFonts w:ascii="Times New Roman" w:hAnsi="Times New Roman"/>
          <w:b w:val="0"/>
          <w:i/>
          <w:color w:val="000000"/>
          <w:sz w:val="24"/>
        </w:rPr>
        <w:t>R_b</w:t>
      </w:r>
      <w:r>
        <w:rPr>
          <w:rFonts w:ascii="Times New Roman" w:hAnsi="Times New Roman"/>
          <w:b w:val="0"/>
          <w:i w:val="0"/>
          <w:color w:val="000000"/>
          <w:sz w:val="24"/>
        </w:rPr>
        <w:t xml:space="preserve"> as operationalized in this study (proportion of adaptive offer episodes) may structurally tend toward low values if the AI system offered recommendations infrequently or if the user interface did not strongly prompt engagement with adaptive content. Second, under-reliance may be the normative behavioral pattern in educational AI systems, where learners are intrinsically motivated to demonstrate independent competence and may view AI reliance as a crutch. Third, under-reliance in the context of TOEIC preparation may reflect the specific goal structure of standardized test preparation, where students aim to develop independent test-taking ability rather than dependence on external support.</w:t>
      </w:r>
    </w:p>
    <w:p>
      <w:pPr>
        <w:spacing w:line="480" w:lineRule="auto" w:before="0" w:after="0"/>
        <w:ind w:firstLine="720"/>
        <w:jc w:val="left"/>
      </w:pPr>
      <w:r>
        <w:rPr>
          <w:rFonts w:ascii="Times New Roman" w:hAnsi="Times New Roman"/>
          <w:b w:val="0"/>
          <w:i w:val="0"/>
          <w:color w:val="000000"/>
          <w:sz w:val="24"/>
        </w:rPr>
        <w:t>Regardless of the explanation, the ubiquity of under-reliance challenges assumptions from high-stakes automation domains where over-reliance is the primary concern (Parasuraman &amp; Manzey, 2010). In educational AI contexts, the risk may be primarily one of under-utilization rather than over-trust — a finding consistent with research on help-avoidance in intelligent tutoring systems (Aleven et al., 2003; Baker et al., 2008).</w:t>
      </w:r>
    </w:p>
    <w:p>
      <w:pPr>
        <w:spacing w:line="480" w:lineRule="auto" w:before="0" w:after="0"/>
        <w:jc w:val="left"/>
      </w:pPr>
      <w:r>
        <w:rPr>
          <w:rFonts w:ascii="Times New Roman" w:hAnsi="Times New Roman"/>
          <w:b/>
          <w:i w:val="0"/>
          <w:color w:val="000000"/>
          <w:sz w:val="24"/>
        </w:rPr>
        <w:t>AI Benefit Emergence: A Novel Fifth Trajectory Pattern</w:t>
      </w:r>
    </w:p>
    <w:p>
      <w:pPr>
        <w:spacing w:line="480" w:lineRule="auto" w:before="0" w:after="0"/>
        <w:ind w:firstLine="720"/>
        <w:jc w:val="left"/>
      </w:pPr>
      <w:r>
        <w:rPr>
          <w:rFonts w:ascii="Times New Roman" w:hAnsi="Times New Roman"/>
          <w:b w:val="0"/>
          <w:i w:val="0"/>
          <w:color w:val="000000"/>
          <w:sz w:val="24"/>
        </w:rPr>
        <w:t xml:space="preserve">Perhaps the most significant theoretical contribution of this study is the discovery of the AI Benefit Emergence (ABE) pattern — a trajectory in which the AI system becomes increasingly effective for the learner (as measured by rising </w:t>
      </w:r>
      <w:r>
        <w:rPr>
          <w:rFonts w:ascii="Times New Roman" w:hAnsi="Times New Roman"/>
          <w:b w:val="0"/>
          <w:i/>
          <w:color w:val="000000"/>
          <w:sz w:val="24"/>
        </w:rPr>
        <w:t>P_{\text{adaptive}}</w:t>
      </w:r>
      <w:r>
        <w:rPr>
          <w:rFonts w:ascii="Times New Roman" w:hAnsi="Times New Roman"/>
          <w:b w:val="0"/>
          <w:i w:val="0"/>
          <w:color w:val="000000"/>
          <w:sz w:val="24"/>
        </w:rPr>
        <w:t>) but the learner's reliance on the AI does not proportionally increase. This pattern was identified independently by two analytical methods: in the Phase 2B MBC analysis using the alternative operationalization (Class 4, n = 256, 5.7% of the subsample) and in the LCGA analysis (Class 4, n = 177, 5.5% of the subsample). The convergence of this finding across methods strengthens the case that ABE represents a genuine behavioral phenomenon.</w:t>
      </w:r>
    </w:p>
    <w:p>
      <w:pPr>
        <w:spacing w:line="480" w:lineRule="auto" w:before="0" w:after="0"/>
        <w:ind w:firstLine="720"/>
        <w:jc w:val="left"/>
      </w:pPr>
      <w:r>
        <w:rPr>
          <w:rFonts w:ascii="Times New Roman" w:hAnsi="Times New Roman"/>
          <w:b w:val="0"/>
          <w:i w:val="0"/>
          <w:color w:val="000000"/>
          <w:sz w:val="24"/>
        </w:rPr>
        <w:t xml:space="preserve">ABE can be formally defined as a trajectory in which </w:t>
      </w:r>
      <w:r>
        <w:rPr>
          <w:rFonts w:ascii="Times New Roman" w:hAnsi="Times New Roman"/>
          <w:b w:val="0"/>
          <w:i/>
          <w:color w:val="000000"/>
          <w:sz w:val="24"/>
        </w:rPr>
        <w:t>P_{\text{adaptive}}</w:t>
      </w:r>
      <w:r>
        <w:rPr>
          <w:rFonts w:ascii="Times New Roman" w:hAnsi="Times New Roman"/>
          <w:b w:val="0"/>
          <w:i w:val="0"/>
          <w:color w:val="000000"/>
          <w:sz w:val="24"/>
        </w:rPr>
        <w:t xml:space="preserve"> increases substantially over time while </w:t>
      </w:r>
      <w:r>
        <w:rPr>
          <w:rFonts w:ascii="Times New Roman" w:hAnsi="Times New Roman"/>
          <w:b w:val="0"/>
          <w:i/>
          <w:color w:val="000000"/>
          <w:sz w:val="24"/>
        </w:rPr>
        <w:t>R_b</w:t>
      </w:r>
      <w:r>
        <w:rPr>
          <w:rFonts w:ascii="Times New Roman" w:hAnsi="Times New Roman"/>
          <w:b w:val="0"/>
          <w:i w:val="0"/>
          <w:color w:val="000000"/>
          <w:sz w:val="24"/>
        </w:rPr>
        <w:t xml:space="preserve"> remains stable or increases only modestly, resulting in a widening calibration gap. This is the mirror image of the catastrophic pattern predicted by trust-in-automation theory: whereas the catastrophic pattern involves a sudden decline in AI reliability that disrupts previously calibrated trust, the ABE pattern involves a gradual improvement in AI effectiveness that fails to elicit a corresponding trust and reliance update. Both patterns reflect the same underlying asymmetry in human-automation trust dynamics — the well-documented finding that trust erodes faster than it builds (Lee &amp; Moray, 1994; Muir &amp; Moray, 1996) — but operating in opposite directions.</w:t>
      </w:r>
    </w:p>
    <w:p>
      <w:pPr>
        <w:spacing w:line="480" w:lineRule="auto" w:before="0" w:after="0"/>
        <w:ind w:firstLine="720"/>
        <w:jc w:val="left"/>
      </w:pPr>
      <w:r>
        <w:rPr>
          <w:rFonts w:ascii="Times New Roman" w:hAnsi="Times New Roman"/>
          <w:b w:val="0"/>
          <w:i w:val="0"/>
          <w:color w:val="000000"/>
          <w:sz w:val="24"/>
        </w:rPr>
        <w:t>Several theoretical mechanisms may underlie the ABE pattern. First, Parasuraman and Riley's (1997) concept of disuse provides a broad framing: ABE learners are neglecting a beneficial automated resource, potentially due to stable negative attitudes toward AI formed during early interactions. Second, trust hysteresis — the phenomenon whereby trust, once lost, requires disproportionate positive evidence to recover — may explain why gradually improving AI performance fails to shift reliance upward. If these learners experienced poor initial recommendations, the resulting distrust may persist long after the AI system's recommendations have improved. Third, anchoring effects (Tversky &amp; Kahneman, 1974) may contribute: early experiences with the AI system may establish an anchor for reliance decisions that is resistant to updating, even as accumulating evidence suggests that the AI's recommendations have become more beneficial.</w:t>
      </w:r>
    </w:p>
    <w:p>
      <w:pPr>
        <w:spacing w:line="480" w:lineRule="auto" w:before="0" w:after="0"/>
        <w:ind w:firstLine="720"/>
        <w:jc w:val="left"/>
      </w:pPr>
      <w:r>
        <w:rPr>
          <w:rFonts w:ascii="Times New Roman" w:hAnsi="Times New Roman"/>
          <w:b w:val="0"/>
          <w:i w:val="0"/>
          <w:color w:val="000000"/>
          <w:sz w:val="24"/>
        </w:rPr>
        <w:t>The educational implications of the ABE pattern are distinctive. Unlike stagnant under-reliance (where the AI's effectiveness is stable and the learner simply does not engage), ABE represents a dynamic situation in which the AI system is becoming more helpful but the learner is missing out on these growing benefits. This suggests a specific intervention need: mechanisms to signal AI improvement to learners, making the increasing benefit of AI recommendations visible and thereby facilitating reliance updating. Transparency features that display the AI system's track record of successful recommendations, or periodic prompts that invite learners to re-evaluate the AI's utility based on recent performance, could help address the ABE pattern.</w:t>
      </w:r>
    </w:p>
    <w:p>
      <w:pPr>
        <w:spacing w:line="480" w:lineRule="auto" w:before="0" w:after="0"/>
        <w:jc w:val="left"/>
      </w:pPr>
      <w:r>
        <w:rPr>
          <w:rFonts w:ascii="Times New Roman" w:hAnsi="Times New Roman"/>
          <w:b/>
          <w:i w:val="0"/>
          <w:color w:val="000000"/>
          <w:sz w:val="24"/>
        </w:rPr>
        <w:t>Reliance, Trust, and the Behavioral-Cognitive Bridge</w:t>
      </w:r>
    </w:p>
    <w:p>
      <w:pPr>
        <w:spacing w:line="480" w:lineRule="auto" w:before="0" w:after="0"/>
        <w:ind w:firstLine="720"/>
        <w:jc w:val="left"/>
      </w:pPr>
      <w:r>
        <w:rPr>
          <w:rFonts w:ascii="Times New Roman" w:hAnsi="Times New Roman"/>
          <w:b w:val="0"/>
          <w:i w:val="0"/>
          <w:color w:val="000000"/>
          <w:sz w:val="24"/>
        </w:rPr>
        <w:t>This study deliberately operationalized its construct at the behavioral level (reliance calibration) rather than the cognitive-attitudinal level (trust calibration). This choice was driven by data availability — the EdNet dataset contains behavioral logs but not self-report measures of trust. However, the relationship between reliance and trust carries important theoretical implications that position the behavioral findings of this study as evidence for the broader theory of trust calibration.</w:t>
      </w:r>
    </w:p>
    <w:p>
      <w:pPr>
        <w:spacing w:line="480" w:lineRule="auto" w:before="0" w:after="0"/>
        <w:ind w:firstLine="720"/>
        <w:jc w:val="left"/>
      </w:pPr>
      <w:r>
        <w:rPr>
          <w:rFonts w:ascii="Times New Roman" w:hAnsi="Times New Roman"/>
          <w:b w:val="0"/>
          <w:i w:val="0"/>
          <w:color w:val="000000"/>
          <w:sz w:val="24"/>
        </w:rPr>
        <w:t>Following Lee and See's (2004) model, trust is the attitudinal precursor that guides reliance behavior. If this pathway holds in educational contexts, then the behavioral reliance patterns observed in this study are downstream manifestations of underlying trust dynamics. The trajectory classes, while defined by behavioral reliance and performance, may correspond to different trust calibration processes. The convergent reliance patterns of Classes 2 and 3 may reflect students who are developing appropriately calibrated trust through positive experience with the AI system. The stagnant pattern of Class 4 may reflect stable distrust or indifference, where trust remains low and thus does not guide greater reliance. The escalating patterns of Classes 1 and 5 may reflect growing trust that is translating into increasing reliance. The self-correcting pattern of Class 6 may reflect trust recalibration following initial over-trust. The ABE pattern may reflect trust that was damaged early and has not recovered despite improving AI performance.</w:t>
      </w:r>
    </w:p>
    <w:p>
      <w:pPr>
        <w:spacing w:line="480" w:lineRule="auto" w:before="0" w:after="0"/>
        <w:ind w:firstLine="720"/>
        <w:jc w:val="left"/>
      </w:pPr>
      <w:r>
        <w:rPr>
          <w:rFonts w:ascii="Times New Roman" w:hAnsi="Times New Roman"/>
          <w:b w:val="0"/>
          <w:i w:val="0"/>
          <w:color w:val="000000"/>
          <w:sz w:val="24"/>
        </w:rPr>
        <w:t xml:space="preserve">These interpretations remain speculative in the absence of direct trust measurement. Future research combining behavioral log data with periodic trust assessments would enable direct testing of the trust-to-reliance pathway in educational contexts. Nevertheless, the behavioral patterns observed here are consistent with theoretical predictions about how trust calibration should manifest in observable behavior, providing what we term </w:t>
      </w:r>
      <w:r>
        <w:rPr>
          <w:rFonts w:ascii="Times New Roman" w:hAnsi="Times New Roman"/>
          <w:b w:val="0"/>
          <w:i/>
          <w:color w:val="000000"/>
          <w:sz w:val="24"/>
        </w:rPr>
        <w:t>behavioral evidence</w:t>
      </w:r>
      <w:r>
        <w:rPr>
          <w:rFonts w:ascii="Times New Roman" w:hAnsi="Times New Roman"/>
          <w:b w:val="0"/>
          <w:i w:val="0"/>
          <w:color w:val="000000"/>
          <w:sz w:val="24"/>
        </w:rPr>
        <w:t xml:space="preserve"> for trust calibration trajectory theory.</w:t>
      </w:r>
    </w:p>
    <w:p>
      <w:pPr>
        <w:spacing w:line="480" w:lineRule="auto" w:before="0" w:after="0"/>
        <w:jc w:val="left"/>
      </w:pPr>
      <w:r>
        <w:rPr>
          <w:rFonts w:ascii="Times New Roman" w:hAnsi="Times New Roman"/>
          <w:b/>
          <w:i w:val="0"/>
          <w:color w:val="000000"/>
          <w:sz w:val="24"/>
        </w:rPr>
        <w:t>Connection to Trust Calibration Theory: Behavioral Evidence</w:t>
      </w:r>
    </w:p>
    <w:p>
      <w:pPr>
        <w:spacing w:line="480" w:lineRule="auto" w:before="0" w:after="0"/>
        <w:ind w:firstLine="720"/>
        <w:jc w:val="left"/>
      </w:pPr>
      <w:r>
        <w:rPr>
          <w:rFonts w:ascii="Times New Roman" w:hAnsi="Times New Roman"/>
          <w:b w:val="0"/>
          <w:i w:val="0"/>
          <w:color w:val="000000"/>
          <w:sz w:val="24"/>
        </w:rPr>
        <w:t>This study provides behavioral evidence for the conceptual framework developed in this research program, which proposed trust calibration readiness (TCR) as an educational competency comprising three dimensions: Awareness (recognizing AI capabilities and limitations), Judgment (evaluating AI output quality), and Action (making appropriate reliance decisions). The behavioral patterns observed in this study speak primarily to the Action dimension — the observable reliance decisions that learners make.</w:t>
      </w:r>
    </w:p>
    <w:p>
      <w:pPr>
        <w:spacing w:line="480" w:lineRule="auto" w:before="0" w:after="0"/>
        <w:ind w:firstLine="720"/>
        <w:jc w:val="left"/>
      </w:pPr>
      <w:r>
        <w:rPr>
          <w:rFonts w:ascii="Times New Roman" w:hAnsi="Times New Roman"/>
          <w:b w:val="0"/>
          <w:i w:val="0"/>
          <w:color w:val="000000"/>
          <w:sz w:val="24"/>
        </w:rPr>
        <w:t>Several observations provide behavioral evidence consistent with the theoretical framework. First, the heterogeneity in trajectory classes supports the proposition that calibration is a skill that varies across individuals, not a uniform developmental outcome. The framework predicts that individuals at different levels of calibration readiness will follow different trajectory shapes, and the identification of six distinct MBC classes and four LCGA classes confirms this prediction. Second, the association between early explanation-seeking behavior and subsequent calibration trajectories is consistent with the Awareness and Judgment dimensions: students who actively engage with explanatory content may be developing the evaluative skills necessary for calibrated reliance decisions. Third, the existence of stagnant classes (MBC Class 4; LCGA Class 1) is consistent with the framework's prediction that some learners may stabilize at a particular action pattern without progressing through the full calibration competency cycle. Fourth, the discovery of the ABE pattern extends the framework by identifying a trajectory type that was not originally predicted, suggesting that trust calibration dynamics in educational contexts may be more complex than initially theorized.</w:t>
      </w:r>
    </w:p>
    <w:p>
      <w:pPr>
        <w:spacing w:line="480" w:lineRule="auto" w:before="0" w:after="0"/>
        <w:ind w:firstLine="720"/>
        <w:jc w:val="left"/>
      </w:pPr>
      <w:r>
        <w:rPr>
          <w:rFonts w:ascii="Times New Roman" w:hAnsi="Times New Roman"/>
          <w:b w:val="0"/>
          <w:i w:val="0"/>
          <w:color w:val="000000"/>
          <w:sz w:val="24"/>
        </w:rPr>
        <w:t>The use of two complementary analytical methods strengthens the evidentiary value of these findings. The convergence of MBC and LCGA on the existence of convergent, stagnant, and ABE patterns — despite different operationalizations and modeling assumptions — provides triangulated behavioral evidence that these trajectory types are robust features of the data rather than artifacts of a particular analytical choice. This moves the evidence base for trust calibration theory beyond consistency checking toward more robust behavioral confirmation.</w:t>
      </w:r>
    </w:p>
    <w:p>
      <w:pPr>
        <w:spacing w:line="480" w:lineRule="auto" w:before="0" w:after="0"/>
        <w:jc w:val="left"/>
      </w:pPr>
      <w:r>
        <w:rPr>
          <w:rFonts w:ascii="Times New Roman" w:hAnsi="Times New Roman"/>
          <w:b/>
          <w:i w:val="0"/>
          <w:color w:val="000000"/>
          <w:sz w:val="24"/>
        </w:rPr>
        <w:t>Educational Implications</w:t>
      </w:r>
    </w:p>
    <w:p>
      <w:pPr>
        <w:spacing w:line="480" w:lineRule="auto" w:before="0" w:after="0"/>
        <w:ind w:firstLine="720"/>
        <w:jc w:val="left"/>
      </w:pPr>
      <w:r>
        <w:rPr>
          <w:rFonts w:ascii="Times New Roman" w:hAnsi="Times New Roman"/>
          <w:b w:val="0"/>
          <w:i w:val="0"/>
          <w:color w:val="000000"/>
          <w:sz w:val="24"/>
        </w:rPr>
        <w:t>The identification of distinct trajectory classes suggests that a one-size-fits-all approach to supporting AI reliance in educational settings is suboptimal. Different classes may benefit from different interventions.</w:t>
      </w:r>
    </w:p>
    <w:p>
      <w:pPr>
        <w:spacing w:line="480" w:lineRule="auto" w:before="0" w:after="0"/>
        <w:ind w:firstLine="720"/>
        <w:jc w:val="left"/>
      </w:pPr>
      <w:r>
        <w:rPr>
          <w:rFonts w:ascii="Times New Roman" w:hAnsi="Times New Roman"/>
          <w:b w:val="0"/>
          <w:i w:val="0"/>
          <w:color w:val="000000"/>
          <w:sz w:val="24"/>
        </w:rPr>
        <w:t>For Gradual Adopters (Class 1), interventions might focus on structured opportunities to experience the benefits of AI recommendations, such as guided trials where students compare their performance with and without AI support. Trust calibration scaffolds that make AI reliability transparent could accelerate the adoption of beneficial recommendations.</w:t>
      </w:r>
    </w:p>
    <w:p>
      <w:pPr>
        <w:spacing w:line="480" w:lineRule="auto" w:before="0" w:after="0"/>
        <w:ind w:firstLine="720"/>
        <w:jc w:val="left"/>
      </w:pPr>
      <w:r>
        <w:rPr>
          <w:rFonts w:ascii="Times New Roman" w:hAnsi="Times New Roman"/>
          <w:b w:val="0"/>
          <w:i w:val="0"/>
          <w:color w:val="000000"/>
          <w:sz w:val="24"/>
        </w:rPr>
        <w:t>For Steady and Strong Calibrators (Classes 2 and 3), these students appear to be on productive calibration trajectories. Interventions should be supportive rather than directive — maintaining the conditions that facilitate ongoing calibration while monitoring for signs of over-reliance.</w:t>
      </w:r>
    </w:p>
    <w:p>
      <w:pPr>
        <w:spacing w:line="480" w:lineRule="auto" w:before="0" w:after="0"/>
        <w:ind w:firstLine="720"/>
        <w:jc w:val="left"/>
      </w:pPr>
      <w:r>
        <w:rPr>
          <w:rFonts w:ascii="Times New Roman" w:hAnsi="Times New Roman"/>
          <w:b w:val="0"/>
          <w:i w:val="0"/>
          <w:color w:val="000000"/>
          <w:sz w:val="24"/>
        </w:rPr>
        <w:t>For High Performers with Low Reliance (Class 4), these students may benefit from challenges beyond their current performance level, where AI recommendations become more relevant. Alternatively, they may benefit from meta-awareness interventions that help them recognize situations where AI support could enhance performance on novel or especially difficult material.</w:t>
      </w:r>
    </w:p>
    <w:p>
      <w:pPr>
        <w:spacing w:line="480" w:lineRule="auto" w:before="0" w:after="0"/>
        <w:ind w:firstLine="720"/>
        <w:jc w:val="left"/>
      </w:pPr>
      <w:r>
        <w:rPr>
          <w:rFonts w:ascii="Times New Roman" w:hAnsi="Times New Roman"/>
          <w:b w:val="0"/>
          <w:i w:val="0"/>
          <w:color w:val="000000"/>
          <w:sz w:val="24"/>
        </w:rPr>
        <w:t>For Heavy Adopters (Class 5), monitoring for potential over-reliance is advisable. Interventions might include periodic prompts to attempt questions independently before viewing AI recommendations, fostering a more balanced reliance pattern.</w:t>
      </w:r>
    </w:p>
    <w:p>
      <w:pPr>
        <w:spacing w:line="480" w:lineRule="auto" w:before="0" w:after="0"/>
        <w:ind w:firstLine="720"/>
        <w:jc w:val="left"/>
      </w:pPr>
      <w:r>
        <w:rPr>
          <w:rFonts w:ascii="Times New Roman" w:hAnsi="Times New Roman"/>
          <w:b w:val="0"/>
          <w:i w:val="0"/>
          <w:color w:val="000000"/>
          <w:sz w:val="24"/>
        </w:rPr>
        <w:t>For Early Heavy Users (Class 6), given their self-correcting trajectory, minimal intervention may be needed; however, understanding why they arrived with high initial reliance could inform onboarding design.</w:t>
      </w:r>
    </w:p>
    <w:p>
      <w:pPr>
        <w:spacing w:line="480" w:lineRule="auto" w:before="0" w:after="0"/>
        <w:ind w:firstLine="720"/>
        <w:jc w:val="left"/>
      </w:pPr>
      <w:r>
        <w:rPr>
          <w:rFonts w:ascii="Times New Roman" w:hAnsi="Times New Roman"/>
          <w:b w:val="0"/>
          <w:i w:val="0"/>
          <w:color w:val="000000"/>
          <w:sz w:val="24"/>
        </w:rPr>
        <w:t>For ABE learners, a distinctive set of interventions is warranted. Because the AI system is becoming increasingly beneficial but the learner is not engaging with its recommendations, the primary need is to make the AI's improving effectiveness visible. Transparency dashboards showing the AI system's recent recommendation accuracy, periodic notifications highlighting how AI-recommended questions have improved the student's performance, or A/B comparisons between AI-selected and self-selected question outcomes could all serve to close the awareness gap that underlies the ABE pattern. These learners are not simply ignoring the AI — they may be operating on outdated mental models of the AI's utility that need to be updated.</w:t>
      </w:r>
    </w:p>
    <w:p>
      <w:pPr>
        <w:spacing w:line="480" w:lineRule="auto" w:before="0" w:after="0"/>
        <w:jc w:val="left"/>
      </w:pPr>
      <w:r>
        <w:rPr>
          <w:rFonts w:ascii="Times New Roman" w:hAnsi="Times New Roman"/>
          <w:b/>
          <w:i w:val="0"/>
          <w:color w:val="000000"/>
          <w:sz w:val="24"/>
        </w:rPr>
        <w:t>The Early Detection Opportunity</w:t>
      </w:r>
    </w:p>
    <w:p>
      <w:pPr>
        <w:spacing w:line="480" w:lineRule="auto" w:before="0" w:after="0"/>
        <w:ind w:firstLine="720"/>
        <w:jc w:val="left"/>
      </w:pPr>
      <w:r>
        <w:rPr>
          <w:rFonts w:ascii="Times New Roman" w:hAnsi="Times New Roman"/>
          <w:b w:val="0"/>
          <w:i w:val="0"/>
          <w:color w:val="000000"/>
          <w:sz w:val="24"/>
        </w:rPr>
        <w:t>The finding that early explanation-seeking behavior predicts trajectory class membership with approximately three times chance accuracy has practical significance for adaptive educational systems. Within the first decile of a learner's engagement — which may correspond to only a few sessions — behavioral indicators are already informative about the student's likely long-term calibration trajectory.</w:t>
      </w:r>
    </w:p>
    <w:p>
      <w:pPr>
        <w:spacing w:line="480" w:lineRule="auto" w:before="0" w:after="0"/>
        <w:ind w:firstLine="720"/>
        <w:jc w:val="left"/>
      </w:pPr>
      <w:r>
        <w:rPr>
          <w:rFonts w:ascii="Times New Roman" w:hAnsi="Times New Roman"/>
          <w:b w:val="0"/>
          <w:i w:val="0"/>
          <w:color w:val="000000"/>
          <w:sz w:val="24"/>
        </w:rPr>
        <w:t>This early predictability opens a window for proactive intervention. AI tutoring platforms could monitor early exploration and explanation engagement patterns, flagging students whose early behavior profiles suggest trajectories associated with suboptimal outcomes (e.g., persistent under-reliance with low improvement). Adaptive scaffolds could then be deployed early, before maladaptive patterns become entrenched.</w:t>
      </w:r>
    </w:p>
    <w:p>
      <w:pPr>
        <w:spacing w:line="480" w:lineRule="auto" w:before="0" w:after="0"/>
        <w:ind w:firstLine="720"/>
        <w:jc w:val="left"/>
      </w:pPr>
      <w:r>
        <w:rPr>
          <w:rFonts w:ascii="Times New Roman" w:hAnsi="Times New Roman"/>
          <w:b w:val="0"/>
          <w:i w:val="0"/>
          <w:color w:val="000000"/>
          <w:sz w:val="24"/>
        </w:rPr>
        <w:t>However, the 49.4% accuracy — while substantially above chance — also means that over half of students would be misclassified by early behavior alone. This limits the confidence with which early intervention decisions can be made and argues for continuous monitoring and classification updating rather than a single early-stage classification decision.</w:t>
      </w:r>
    </w:p>
    <w:p>
      <w:pPr>
        <w:spacing w:line="480" w:lineRule="auto" w:before="0" w:after="0"/>
        <w:jc w:val="left"/>
      </w:pPr>
      <w:r>
        <w:rPr>
          <w:rFonts w:ascii="Times New Roman" w:hAnsi="Times New Roman"/>
          <w:b/>
          <w:i w:val="0"/>
          <w:color w:val="000000"/>
          <w:sz w:val="24"/>
        </w:rPr>
        <w:t>Limitations</w:t>
      </w:r>
    </w:p>
    <w:p>
      <w:pPr>
        <w:spacing w:line="480" w:lineRule="auto" w:before="0" w:after="0"/>
        <w:ind w:firstLine="720"/>
        <w:jc w:val="left"/>
      </w:pPr>
      <w:r>
        <w:rPr>
          <w:rFonts w:ascii="Times New Roman" w:hAnsi="Times New Roman"/>
          <w:b w:val="0"/>
          <w:i w:val="0"/>
          <w:color w:val="000000"/>
          <w:sz w:val="24"/>
        </w:rPr>
        <w:t>Several limitations qualify the interpretation of these findings.</w:t>
      </w:r>
    </w:p>
    <w:p>
      <w:pPr>
        <w:spacing w:line="480" w:lineRule="auto" w:before="0" w:after="0"/>
        <w:ind w:firstLine="720"/>
        <w:jc w:val="left"/>
      </w:pPr>
      <w:r>
        <w:rPr>
          <w:rFonts w:ascii="Times New Roman" w:hAnsi="Times New Roman"/>
          <w:b w:val="0"/>
          <w:i w:val="0"/>
          <w:color w:val="000000"/>
          <w:sz w:val="24"/>
        </w:rPr>
        <w:t>The most fundamental limitation is that this study observed behavioral reliance patterns without access to the underlying cognitive processes of trust formation, judgment, or decision-making. The trajectory classes are defined by observable behavior, and the interpretations offered regarding trust, metacognition, and calibration processes remain inferential. Future research should combine behavioral log data with direct assessments of trust and metacognition.</w:t>
      </w:r>
    </w:p>
    <w:p>
      <w:pPr>
        <w:spacing w:line="480" w:lineRule="auto" w:before="0" w:after="0"/>
        <w:ind w:firstLine="720"/>
        <w:jc w:val="left"/>
      </w:pPr>
      <w:r>
        <w:rPr>
          <w:rFonts w:ascii="Times New Roman" w:hAnsi="Times New Roman"/>
          <w:b w:val="0"/>
          <w:i w:val="0"/>
          <w:color w:val="000000"/>
          <w:sz w:val="24"/>
        </w:rPr>
        <w:t>All data come from a single AI tutoring platform (Santa) in a single educational domain (TOEIC preparation) with a specific student population (Korean learners). The extent to which these findings generalize to other platforms, domains, age groups, and cultural contexts is unknown. Cross-platform and cross-cultural replication is needed.</w:t>
      </w:r>
    </w:p>
    <w:p>
      <w:pPr>
        <w:spacing w:line="480" w:lineRule="auto" w:before="0" w:after="0"/>
        <w:ind w:firstLine="720"/>
        <w:jc w:val="left"/>
      </w:pPr>
      <w:r>
        <w:rPr>
          <w:rFonts w:ascii="Times New Roman" w:hAnsi="Times New Roman"/>
          <w:b w:val="0"/>
          <w:i w:val="0"/>
          <w:color w:val="000000"/>
          <w:sz w:val="24"/>
        </w:rPr>
        <w:t xml:space="preserve">Behavioral reliance was operationalized as the proportion of adaptive offer episodes, a platform-specific measure that reflects the Santa app's particular recommendation delivery mechanism. Different operationalizations (e.g., acceptance of specific recommendations, time allocated to AI-recommended content) might yield different trajectory patterns. The </w:t>
      </w:r>
      <w:r>
        <w:rPr>
          <w:rFonts w:ascii="Times New Roman" w:hAnsi="Times New Roman"/>
          <w:b w:val="0"/>
          <w:i/>
          <w:color w:val="000000"/>
          <w:sz w:val="24"/>
        </w:rPr>
        <w:t>R_b</w:t>
      </w:r>
      <w:r>
        <w:rPr>
          <w:rFonts w:ascii="Times New Roman" w:hAnsi="Times New Roman"/>
          <w:b w:val="0"/>
          <w:i w:val="0"/>
          <w:color w:val="000000"/>
          <w:sz w:val="24"/>
        </w:rPr>
        <w:t xml:space="preserve"> measure is also bounded by the platform's adaptive offer frequency — students cannot exhibit high </w:t>
      </w:r>
      <w:r>
        <w:rPr>
          <w:rFonts w:ascii="Times New Roman" w:hAnsi="Times New Roman"/>
          <w:b w:val="0"/>
          <w:i/>
          <w:color w:val="000000"/>
          <w:sz w:val="24"/>
        </w:rPr>
        <w:t>R_b</w:t>
      </w:r>
      <w:r>
        <w:rPr>
          <w:rFonts w:ascii="Times New Roman" w:hAnsi="Times New Roman"/>
          <w:b w:val="0"/>
          <w:i w:val="0"/>
          <w:color w:val="000000"/>
          <w:sz w:val="24"/>
        </w:rPr>
        <w:t xml:space="preserve"> if the system rarely offers adaptive content.</w:t>
      </w:r>
    </w:p>
    <w:p>
      <w:pPr>
        <w:spacing w:line="480" w:lineRule="auto" w:before="0" w:after="0"/>
        <w:ind w:firstLine="720"/>
        <w:jc w:val="left"/>
      </w:pPr>
      <w:r>
        <w:rPr>
          <w:rFonts w:ascii="Times New Roman" w:hAnsi="Times New Roman"/>
          <w:b w:val="0"/>
          <w:i w:val="0"/>
          <w:color w:val="000000"/>
          <w:sz w:val="24"/>
        </w:rPr>
        <w:t xml:space="preserve">The severe zero-inflation in </w:t>
      </w:r>
      <w:r>
        <w:rPr>
          <w:rFonts w:ascii="Times New Roman" w:hAnsi="Times New Roman"/>
          <w:b w:val="0"/>
          <w:i/>
          <w:color w:val="000000"/>
          <w:sz w:val="24"/>
        </w:rPr>
        <w:t>R_b</w:t>
      </w:r>
      <w:r>
        <w:rPr>
          <w:rFonts w:ascii="Times New Roman" w:hAnsi="Times New Roman"/>
          <w:b w:val="0"/>
          <w:i w:val="0"/>
          <w:color w:val="000000"/>
          <w:sz w:val="24"/>
        </w:rPr>
        <w:t xml:space="preserve"> necessitated a shift from the planned longitudinal GMM (via `lcmm`) to a wide-format MBC (via `mclust`) for the primary analysis. While the `mclust` approach effectively identified trajectory classes, it does not model individual-level growth parameters and may be less sensitive to within-class trajectory variation than a true longitudinal mixed model.</w:t>
      </w:r>
    </w:p>
    <w:p>
      <w:pPr>
        <w:spacing w:line="480" w:lineRule="auto" w:before="0" w:after="0"/>
        <w:ind w:firstLine="720"/>
        <w:jc w:val="left"/>
      </w:pPr>
      <w:r>
        <w:rPr>
          <w:rFonts w:ascii="Times New Roman" w:hAnsi="Times New Roman"/>
          <w:b w:val="0"/>
          <w:i w:val="0"/>
          <w:color w:val="000000"/>
          <w:sz w:val="24"/>
        </w:rPr>
        <w:t xml:space="preserve">The LCGA analysis, while providing a complementary longitudinal perspective, has its own limitations. The analysis was conducted on a subsample of N = 3,204 students (those with at least 7 valid </w:t>
      </w:r>
      <w:r>
        <w:rPr>
          <w:rFonts w:ascii="Times New Roman" w:hAnsi="Times New Roman"/>
          <w:b w:val="0"/>
          <w:i/>
          <w:color w:val="000000"/>
          <w:sz w:val="24"/>
        </w:rPr>
        <w:t>P_{\text{adaptive}}</w:t>
      </w:r>
      <w:r>
        <w:rPr>
          <w:rFonts w:ascii="Times New Roman" w:hAnsi="Times New Roman"/>
          <w:b w:val="0"/>
          <w:i w:val="0"/>
          <w:color w:val="000000"/>
          <w:sz w:val="24"/>
        </w:rPr>
        <w:t xml:space="preserve"> windows), which may not be fully representative of the broader sample. The linear growth specification may not capture nonlinear calibration dynamics, and the fixed-to-zero within-class variance assumption (inherent in LCGA as opposed to full GMM) may overstate between-class heterogeneity. Convergence was achieved for all models up to </w:t>
      </w:r>
      <w:r>
        <w:rPr>
          <w:rFonts w:ascii="Times New Roman" w:hAnsi="Times New Roman"/>
          <w:b w:val="0"/>
          <w:i/>
          <w:color w:val="000000"/>
          <w:sz w:val="24"/>
        </w:rPr>
        <w:t>G</w:t>
      </w:r>
      <w:r>
        <w:rPr>
          <w:rFonts w:ascii="Times New Roman" w:hAnsi="Times New Roman"/>
          <w:b w:val="0"/>
          <w:i w:val="0"/>
          <w:color w:val="000000"/>
          <w:sz w:val="24"/>
        </w:rPr>
        <w:t xml:space="preserve"> = 5, but entropy values were not available for the 4- and 5-class solutions, limiting one dimension of model evaluation.</w:t>
      </w:r>
    </w:p>
    <w:p>
      <w:pPr>
        <w:spacing w:line="480" w:lineRule="auto" w:before="0" w:after="0"/>
        <w:ind w:firstLine="720"/>
        <w:jc w:val="left"/>
      </w:pPr>
      <w:r>
        <w:rPr>
          <w:rFonts w:ascii="Times New Roman" w:hAnsi="Times New Roman"/>
          <w:b w:val="0"/>
          <w:i w:val="0"/>
          <w:color w:val="000000"/>
          <w:sz w:val="24"/>
        </w:rPr>
        <w:t>The use of 10 decile-based windows imposes a relatively coarse temporal resolution that may obscure finer-grained dynamics. The windows are also defined by episode count rather than calendar time, meaning that a window may span different real-time durations for different students.</w:t>
      </w:r>
    </w:p>
    <w:p>
      <w:pPr>
        <w:spacing w:line="480" w:lineRule="auto" w:before="0" w:after="0"/>
        <w:ind w:firstLine="720"/>
        <w:jc w:val="left"/>
      </w:pPr>
      <w:r>
        <w:rPr>
          <w:rFonts w:ascii="Times New Roman" w:hAnsi="Times New Roman"/>
          <w:b w:val="0"/>
          <w:i w:val="0"/>
          <w:color w:val="000000"/>
          <w:sz w:val="24"/>
        </w:rPr>
        <w:t>The study is entirely observational. The associations between trajectory class and outcomes cannot support causal claims. Students who followed convergent calibration trajectories may have done so because of characteristics (e.g., motivation, metacognitive skill) that independently caused both the calibration pattern and the learning gains.</w:t>
      </w:r>
    </w:p>
    <w:p>
      <w:pPr>
        <w:spacing w:line="480" w:lineRule="auto" w:before="0" w:after="0"/>
        <w:jc w:val="left"/>
      </w:pPr>
      <w:r>
        <w:rPr>
          <w:rFonts w:ascii="Times New Roman" w:hAnsi="Times New Roman"/>
          <w:b/>
          <w:i w:val="0"/>
          <w:color w:val="000000"/>
          <w:sz w:val="24"/>
        </w:rPr>
        <w:t>Future Research Directions</w:t>
      </w:r>
    </w:p>
    <w:p>
      <w:pPr>
        <w:spacing w:line="480" w:lineRule="auto" w:before="0" w:after="0"/>
        <w:ind w:firstLine="720"/>
        <w:jc w:val="left"/>
      </w:pPr>
      <w:r>
        <w:rPr>
          <w:rFonts w:ascii="Times New Roman" w:hAnsi="Times New Roman"/>
          <w:b w:val="0"/>
          <w:i w:val="0"/>
          <w:color w:val="000000"/>
          <w:sz w:val="24"/>
        </w:rPr>
        <w:t>Several directions for future research emerge from this study.</w:t>
      </w:r>
    </w:p>
    <w:p>
      <w:pPr>
        <w:spacing w:line="480" w:lineRule="auto" w:before="0" w:after="0"/>
        <w:ind w:firstLine="720"/>
        <w:jc w:val="left"/>
      </w:pPr>
      <w:r>
        <w:rPr>
          <w:rFonts w:ascii="Times New Roman" w:hAnsi="Times New Roman"/>
          <w:b w:val="0"/>
          <w:i w:val="0"/>
          <w:color w:val="000000"/>
          <w:sz w:val="24"/>
        </w:rPr>
        <w:t>The trust-in-automation literature predicts hysteresis effects — trust builds slowly but erodes quickly following failures (Muir &amp; Moray, 1996). Testing whether reliance calibration trajectories show similar asymmetric dynamics in educational contexts would bridge the human factors and educational technology literatures. This could be examined using event-level analysis within the EdNet data, examining reliance changes following incorrect AI recommendations. The ABE pattern discovered in this study is particularly relevant to hysteresis testing, as it may represent a case in which trust recovery lags behind improving AI performance.</w:t>
      </w:r>
    </w:p>
    <w:p>
      <w:pPr>
        <w:spacing w:line="480" w:lineRule="auto" w:before="0" w:after="0"/>
        <w:ind w:firstLine="720"/>
        <w:jc w:val="left"/>
      </w:pPr>
      <w:r>
        <w:rPr>
          <w:rFonts w:ascii="Times New Roman" w:hAnsi="Times New Roman"/>
          <w:b w:val="0"/>
          <w:i w:val="0"/>
          <w:color w:val="000000"/>
          <w:sz w:val="24"/>
        </w:rPr>
        <w:t>Replicating this analysis across different AI tutoring platforms, educational domains, and student populations is essential for establishing the generalizability of the trajectory typology. Datasets from platforms such as Khan Academy, Duolingo, or ALEKS could provide comparative evidence. Of particular interest would be replication of the ABE pattern, which, if confirmed across contexts, would warrant its formal incorporation into trust calibration theory.</w:t>
      </w:r>
    </w:p>
    <w:p>
      <w:pPr>
        <w:spacing w:line="480" w:lineRule="auto" w:before="0" w:after="0"/>
        <w:ind w:firstLine="720"/>
        <w:jc w:val="left"/>
      </w:pPr>
      <w:r>
        <w:rPr>
          <w:rFonts w:ascii="Times New Roman" w:hAnsi="Times New Roman"/>
          <w:b w:val="0"/>
          <w:i w:val="0"/>
          <w:color w:val="000000"/>
          <w:sz w:val="24"/>
        </w:rPr>
        <w:t>Combining behavioral log data with self-report trust measures, cognitive load assessments, and potentially physiological indicators (e.g., eye-tracking in lab-based studies) would enable direct testing of the trust-to-reliance pathway and the cognitive dimensions of calibration.</w:t>
      </w:r>
    </w:p>
    <w:p>
      <w:pPr>
        <w:spacing w:line="480" w:lineRule="auto" w:before="0" w:after="0"/>
        <w:ind w:firstLine="720"/>
        <w:jc w:val="left"/>
      </w:pPr>
      <w:r>
        <w:rPr>
          <w:rFonts w:ascii="Times New Roman" w:hAnsi="Times New Roman"/>
          <w:b w:val="0"/>
          <w:i w:val="0"/>
          <w:color w:val="000000"/>
          <w:sz w:val="24"/>
        </w:rPr>
        <w:t>The class-specific intervention recommendations offered in this study are speculative. Experimental studies testing targeted interventions for different trajectory classes (e.g., trust calibration scaffolds for Gradual Adopters, AI benefit visibility features for ABE learners, independent practice prompts for Heavy Adopters) would provide evidence on the practical utility of trajectory classification.</w:t>
      </w:r>
    </w:p>
    <w:p>
      <w:pPr>
        <w:spacing w:line="480" w:lineRule="auto" w:before="0" w:after="0"/>
        <w:ind w:firstLine="720"/>
        <w:jc w:val="left"/>
      </w:pPr>
      <w:r>
        <w:rPr>
          <w:rFonts w:ascii="Times New Roman" w:hAnsi="Times New Roman"/>
          <w:b w:val="0"/>
          <w:i w:val="0"/>
          <w:color w:val="000000"/>
          <w:sz w:val="24"/>
        </w:rPr>
        <w:t>Developing online algorithms that classify students into trajectory types in real-time — updating classification as more data accumulates — would be a necessary step toward implementing the early detection and adaptive intervention approach discussed above.</w:t>
      </w:r>
    </w:p>
    <w:p>
      <w:r>
        <w:br w:type="page"/>
      </w:r>
    </w:p>
    <w:p>
      <w:pPr>
        <w:spacing w:line="480" w:lineRule="auto" w:before="0" w:after="0"/>
        <w:jc w:val="center"/>
      </w:pPr>
      <w:r>
        <w:rPr>
          <w:rFonts w:ascii="Times New Roman" w:hAnsi="Times New Roman"/>
          <w:b/>
          <w:i w:val="0"/>
          <w:color w:val="000000"/>
          <w:sz w:val="24"/>
        </w:rPr>
        <w:t>Conclusion</w:t>
      </w:r>
    </w:p>
    <w:p>
      <w:pPr>
        <w:spacing w:line="480" w:lineRule="auto" w:before="0" w:after="0"/>
        <w:ind w:firstLine="720"/>
        <w:jc w:val="left"/>
      </w:pPr>
      <w:r>
        <w:rPr>
          <w:rFonts w:ascii="Times New Roman" w:hAnsi="Times New Roman"/>
          <w:b w:val="0"/>
          <w:i w:val="0"/>
          <w:color w:val="000000"/>
          <w:sz w:val="24"/>
        </w:rPr>
        <w:t>This study provides the first large-scale, person-centered analysis of AI reliance calibration trajectories in an educational setting, employing methodological triangulation through model-based clustering and latent class growth analysis. Using data from 4,568 learners on the Santa AI tutoring platform, we identified six distinct MBC trajectory classes and four LCGA trajectory classes that converge on key findings: learners exhibit substantial heterogeneity in their calibration dynamics, with both convergent and stagnant patterns predicted by trust-in-automation theory observable in behavioral data.</w:t>
      </w:r>
    </w:p>
    <w:p>
      <w:pPr>
        <w:spacing w:line="480" w:lineRule="auto" w:before="0" w:after="0"/>
        <w:ind w:firstLine="720"/>
        <w:jc w:val="left"/>
      </w:pPr>
      <w:r>
        <w:rPr>
          <w:rFonts w:ascii="Times New Roman" w:hAnsi="Times New Roman"/>
          <w:b w:val="0"/>
          <w:i w:val="0"/>
          <w:color w:val="000000"/>
          <w:sz w:val="24"/>
        </w:rPr>
        <w:t>The findings demonstrate that learners are not homogeneous in how they calibrate their reliance on AI recommendations. Some learners gradually adopt AI support and show convergent calibration dynamics associated with learning gains. Others maintain high performance with consistently low reliance, exhibiting stagnant calibration that, while effective, may limit future growth opportunities. Still others rapidly escalate reliance without proportional performance benefits, warranting monitoring for potential over-reliance.</w:t>
      </w:r>
    </w:p>
    <w:p>
      <w:pPr>
        <w:spacing w:line="480" w:lineRule="auto" w:before="0" w:after="0"/>
        <w:ind w:firstLine="720"/>
        <w:jc w:val="left"/>
      </w:pPr>
      <w:r>
        <w:rPr>
          <w:rFonts w:ascii="Times New Roman" w:hAnsi="Times New Roman"/>
          <w:b w:val="0"/>
          <w:i w:val="0"/>
          <w:color w:val="000000"/>
          <w:sz w:val="24"/>
        </w:rPr>
        <w:t>The discovery of the AI Benefit Emergence pattern extends the theoretical framework by identifying a fifth trajectory type not predicted by the original theory. ABE learners — found by both MBC and LCGA — experience increasing AI effectiveness but fail to update their reliance accordingly, reflecting the trust asymmetry and hysteresis dynamics well-documented in the automation literature but previously undemonstrated in educational contexts. This pattern carries specific implications for educational AI design: systems should not merely improve their recommendations but also communicate their improving effectiveness to learners.</w:t>
      </w:r>
    </w:p>
    <w:p>
      <w:pPr>
        <w:spacing w:line="480" w:lineRule="auto" w:before="0" w:after="0"/>
        <w:ind w:firstLine="720"/>
        <w:jc w:val="left"/>
      </w:pPr>
      <w:r>
        <w:rPr>
          <w:rFonts w:ascii="Times New Roman" w:hAnsi="Times New Roman"/>
          <w:b w:val="0"/>
          <w:i w:val="0"/>
          <w:color w:val="000000"/>
          <w:sz w:val="24"/>
        </w:rPr>
        <w:t>Crucially, early explanation-seeking behavior — a proxy for metacognitive engagement with AI-provided content — emerged as the strongest predictor of long-term calibration trajectories. This finding underscores the importance of how learners interact with AI systems, not merely whether they do so. The depth of engagement with AI-provided explanations, rather than the mere frequency of AI recommendation acceptance, appears to distinguish productive calibration trajectories from less adaptive ones.</w:t>
      </w:r>
    </w:p>
    <w:p>
      <w:pPr>
        <w:spacing w:line="480" w:lineRule="auto" w:before="0" w:after="0"/>
        <w:ind w:firstLine="720"/>
        <w:jc w:val="left"/>
      </w:pPr>
      <w:r>
        <w:rPr>
          <w:rFonts w:ascii="Times New Roman" w:hAnsi="Times New Roman"/>
          <w:b w:val="0"/>
          <w:i w:val="0"/>
          <w:color w:val="000000"/>
          <w:sz w:val="24"/>
        </w:rPr>
        <w:t>These results contribute to the growing literature on trust and reliance in AI-assisted education by moving beyond cross-sectional and population-average approaches to reveal the heterogeneous, dynamic processes through which learners develop their relationships with AI systems. The convergence of findings across two complementary analytical methods strengthens confidence in the robustness of the identified trajectory types and provides behavioral evidence for trust calibration trajectory theory. As AI becomes increasingly integral to educational practice, understanding and supporting the development of appropriate reliance becomes not merely a technical optimization problem but an educational imperative — one that requires attention to the diverse trajectories that learners follow and the early signals that can inform timely, targeted support.</w:t>
      </w:r>
    </w:p>
    <w:p>
      <w:r>
        <w:br w:type="page"/>
      </w:r>
    </w:p>
    <w:p>
      <w:pPr>
        <w:spacing w:line="480" w:lineRule="auto" w:before="0" w:after="0"/>
        <w:jc w:val="center"/>
      </w:pPr>
      <w:r>
        <w:rPr>
          <w:rFonts w:ascii="Times New Roman" w:hAnsi="Times New Roman"/>
          <w:b/>
          <w:i w:val="0"/>
          <w:color w:val="000000"/>
          <w:sz w:val="24"/>
        </w:rPr>
        <w:t>References</w:t>
      </w:r>
    </w:p>
    <w:p>
      <w:pPr>
        <w:spacing w:line="480" w:lineRule="auto" w:before="0" w:after="0"/>
        <w:ind w:left="720" w:hanging="720"/>
      </w:pPr>
      <w:r>
        <w:rPr>
          <w:rFonts w:ascii="Times New Roman" w:hAnsi="Times New Roman"/>
          <w:b w:val="0"/>
          <w:i w:val="0"/>
          <w:color w:val="000000"/>
          <w:sz w:val="24"/>
        </w:rPr>
        <w:t xml:space="preserve">Abdelrahman, G., Wang, Q., &amp; Nunes, B. (2023). Knowledge tracing: A survey. </w:t>
      </w:r>
      <w:r>
        <w:rPr>
          <w:rFonts w:ascii="Times New Roman" w:hAnsi="Times New Roman"/>
          <w:b w:val="0"/>
          <w:i/>
          <w:color w:val="000000"/>
          <w:sz w:val="24"/>
        </w:rPr>
        <w:t>ACM Computing Surveys, 55</w:t>
      </w:r>
      <w:r>
        <w:rPr>
          <w:rFonts w:ascii="Times New Roman" w:hAnsi="Times New Roman"/>
          <w:b w:val="0"/>
          <w:i w:val="0"/>
          <w:color w:val="000000"/>
          <w:sz w:val="24"/>
        </w:rPr>
        <w:t>(11), 1--37. https://doi.org/10.1145/3569576</w:t>
      </w:r>
    </w:p>
    <w:p>
      <w:pPr>
        <w:spacing w:line="480" w:lineRule="auto" w:before="0" w:after="0"/>
        <w:ind w:left="720" w:hanging="720"/>
      </w:pPr>
      <w:r>
        <w:rPr>
          <w:rFonts w:ascii="Times New Roman" w:hAnsi="Times New Roman"/>
          <w:b w:val="0"/>
          <w:i w:val="0"/>
          <w:color w:val="000000"/>
          <w:sz w:val="24"/>
        </w:rPr>
        <w:t xml:space="preserve">Aleven, V., Stahl, E., Schworm, S., Fischer, F., &amp; Wallace, R. (2003). Help seeking and help design in interactive learning environments. </w:t>
      </w:r>
      <w:r>
        <w:rPr>
          <w:rFonts w:ascii="Times New Roman" w:hAnsi="Times New Roman"/>
          <w:b w:val="0"/>
          <w:i/>
          <w:color w:val="000000"/>
          <w:sz w:val="24"/>
        </w:rPr>
        <w:t>Review of Educational Research, 73</w:t>
      </w:r>
      <w:r>
        <w:rPr>
          <w:rFonts w:ascii="Times New Roman" w:hAnsi="Times New Roman"/>
          <w:b w:val="0"/>
          <w:i w:val="0"/>
          <w:color w:val="000000"/>
          <w:sz w:val="24"/>
        </w:rPr>
        <w:t>(3), 277--320. https://doi.org/10.3102/00346543073003277</w:t>
      </w:r>
    </w:p>
    <w:p>
      <w:pPr>
        <w:spacing w:line="480" w:lineRule="auto" w:before="0" w:after="0"/>
        <w:ind w:left="720" w:hanging="720"/>
      </w:pPr>
      <w:r>
        <w:rPr>
          <w:rFonts w:ascii="Times New Roman" w:hAnsi="Times New Roman"/>
          <w:b w:val="0"/>
          <w:i w:val="0"/>
          <w:color w:val="000000"/>
          <w:sz w:val="24"/>
        </w:rPr>
        <w:t xml:space="preserve">Baker, R. S. J. d., Corbett, A. T., &amp; Koedinger, K. R. (2004). Detecting student misuse of intelligent tutoring systems. In J. C. Lester, R. M. Vicari, &amp; F. Paraguacu (Eds.), </w:t>
      </w:r>
      <w:r>
        <w:rPr>
          <w:rFonts w:ascii="Times New Roman" w:hAnsi="Times New Roman"/>
          <w:b w:val="0"/>
          <w:i/>
          <w:color w:val="000000"/>
          <w:sz w:val="24"/>
        </w:rPr>
        <w:t>Intelligent Tutoring Systems</w:t>
      </w:r>
      <w:r>
        <w:rPr>
          <w:rFonts w:ascii="Times New Roman" w:hAnsi="Times New Roman"/>
          <w:b w:val="0"/>
          <w:i w:val="0"/>
          <w:color w:val="000000"/>
          <w:sz w:val="24"/>
        </w:rPr>
        <w:t xml:space="preserve"> (pp. 531--540). Springer.</w:t>
      </w:r>
    </w:p>
    <w:p>
      <w:pPr>
        <w:spacing w:line="480" w:lineRule="auto" w:before="0" w:after="0"/>
        <w:ind w:left="720" w:hanging="720"/>
      </w:pPr>
      <w:r>
        <w:rPr>
          <w:rFonts w:ascii="Times New Roman" w:hAnsi="Times New Roman"/>
          <w:b w:val="0"/>
          <w:i w:val="0"/>
          <w:color w:val="000000"/>
          <w:sz w:val="24"/>
        </w:rPr>
        <w:t xml:space="preserve">Baker, R. S. J. d., Corbett, A. T., Koedinger, K. R., &amp; Wagner, A. Z. (2004). Off-task behavior in the cognitive tutor classroom: When students "game the system." In </w:t>
      </w:r>
      <w:r>
        <w:rPr>
          <w:rFonts w:ascii="Times New Roman" w:hAnsi="Times New Roman"/>
          <w:b w:val="0"/>
          <w:i/>
          <w:color w:val="000000"/>
          <w:sz w:val="24"/>
        </w:rPr>
        <w:t>Proceedings of the SIGCHI Conference on Human Factors in Computing Systems</w:t>
      </w:r>
      <w:r>
        <w:rPr>
          <w:rFonts w:ascii="Times New Roman" w:hAnsi="Times New Roman"/>
          <w:b w:val="0"/>
          <w:i w:val="0"/>
          <w:color w:val="000000"/>
          <w:sz w:val="24"/>
        </w:rPr>
        <w:t xml:space="preserve"> (pp. 383--390). ACM.</w:t>
      </w:r>
    </w:p>
    <w:p>
      <w:pPr>
        <w:spacing w:line="480" w:lineRule="auto" w:before="0" w:after="0"/>
        <w:ind w:left="720" w:hanging="720"/>
      </w:pPr>
      <w:r>
        <w:rPr>
          <w:rFonts w:ascii="Times New Roman" w:hAnsi="Times New Roman"/>
          <w:b w:val="0"/>
          <w:i w:val="0"/>
          <w:color w:val="000000"/>
          <w:sz w:val="24"/>
        </w:rPr>
        <w:t xml:space="preserve">Baker, R. S. J. d., Corbett, A. T., Roll, I., &amp; Koedinger, K. R. (2008). Developing a generalizable detector of when students game the system. </w:t>
      </w:r>
      <w:r>
        <w:rPr>
          <w:rFonts w:ascii="Times New Roman" w:hAnsi="Times New Roman"/>
          <w:b w:val="0"/>
          <w:i/>
          <w:color w:val="000000"/>
          <w:sz w:val="24"/>
        </w:rPr>
        <w:t>User Modeling and User-Adapted Interaction, 18</w:t>
      </w:r>
      <w:r>
        <w:rPr>
          <w:rFonts w:ascii="Times New Roman" w:hAnsi="Times New Roman"/>
          <w:b w:val="0"/>
          <w:i w:val="0"/>
          <w:color w:val="000000"/>
          <w:sz w:val="24"/>
        </w:rPr>
        <w:t>(3), 287--314. https://doi.org/10.1007/s11257-007-9045-6</w:t>
      </w:r>
    </w:p>
    <w:p>
      <w:pPr>
        <w:spacing w:line="480" w:lineRule="auto" w:before="0" w:after="0"/>
        <w:ind w:left="720" w:hanging="720"/>
      </w:pPr>
      <w:r>
        <w:rPr>
          <w:rFonts w:ascii="Times New Roman" w:hAnsi="Times New Roman"/>
          <w:b w:val="0"/>
          <w:i w:val="0"/>
          <w:color w:val="000000"/>
          <w:sz w:val="24"/>
        </w:rPr>
        <w:t xml:space="preserve">Baker, R. S. J. d., D'Mello, S. K., Rodrigo, M. M. T., &amp; Graesser, A. C. (2010). Better to be frustrated than bored: The incidence, persistence, and impact of learners' cognitive-affective states during interactions with three different computer-based learning environments. </w:t>
      </w:r>
      <w:r>
        <w:rPr>
          <w:rFonts w:ascii="Times New Roman" w:hAnsi="Times New Roman"/>
          <w:b w:val="0"/>
          <w:i/>
          <w:color w:val="000000"/>
          <w:sz w:val="24"/>
        </w:rPr>
        <w:t>International Journal of Human-Computer Studies, 68</w:t>
      </w:r>
      <w:r>
        <w:rPr>
          <w:rFonts w:ascii="Times New Roman" w:hAnsi="Times New Roman"/>
          <w:b w:val="0"/>
          <w:i w:val="0"/>
          <w:color w:val="000000"/>
          <w:sz w:val="24"/>
        </w:rPr>
        <w:t>(4), 223--241. https://doi.org/10.1016/j.ijhcs.2009.12.003</w:t>
      </w:r>
    </w:p>
    <w:p>
      <w:pPr>
        <w:spacing w:line="480" w:lineRule="auto" w:before="0" w:after="0"/>
        <w:ind w:left="720" w:hanging="720"/>
      </w:pPr>
      <w:r>
        <w:rPr>
          <w:rFonts w:ascii="Times New Roman" w:hAnsi="Times New Roman"/>
          <w:b w:val="0"/>
          <w:i w:val="0"/>
          <w:color w:val="000000"/>
          <w:sz w:val="24"/>
        </w:rPr>
        <w:t xml:space="preserve">Bauer, D. J., &amp; Curran, P. J. (2003). Distributional assumptions of growth mixture models: Implications for overextraction of latent trajectory classes. </w:t>
      </w:r>
      <w:r>
        <w:rPr>
          <w:rFonts w:ascii="Times New Roman" w:hAnsi="Times New Roman"/>
          <w:b w:val="0"/>
          <w:i/>
          <w:color w:val="000000"/>
          <w:sz w:val="24"/>
        </w:rPr>
        <w:t>Psychological Methods, 8</w:t>
      </w:r>
      <w:r>
        <w:rPr>
          <w:rFonts w:ascii="Times New Roman" w:hAnsi="Times New Roman"/>
          <w:b w:val="0"/>
          <w:i w:val="0"/>
          <w:color w:val="000000"/>
          <w:sz w:val="24"/>
        </w:rPr>
        <w:t>(3), 338--363. https://doi.org/10.1037/1082-989X.8.3.338</w:t>
      </w:r>
    </w:p>
    <w:p>
      <w:pPr>
        <w:spacing w:line="480" w:lineRule="auto" w:before="0" w:after="0"/>
        <w:ind w:left="720" w:hanging="720"/>
      </w:pPr>
      <w:r>
        <w:rPr>
          <w:rFonts w:ascii="Times New Roman" w:hAnsi="Times New Roman"/>
          <w:b w:val="0"/>
          <w:i w:val="0"/>
          <w:color w:val="000000"/>
          <w:sz w:val="24"/>
        </w:rPr>
        <w:t xml:space="preserve">Boscardin, C. K., Muthen, B., Francis, D. J., &amp; Baker, E. L. (2008). Early identification of reading difficulties using heterogeneous developmental trajectories. </w:t>
      </w:r>
      <w:r>
        <w:rPr>
          <w:rFonts w:ascii="Times New Roman" w:hAnsi="Times New Roman"/>
          <w:b w:val="0"/>
          <w:i/>
          <w:color w:val="000000"/>
          <w:sz w:val="24"/>
        </w:rPr>
        <w:t>Journal of Educational Psychology, 100</w:t>
      </w:r>
      <w:r>
        <w:rPr>
          <w:rFonts w:ascii="Times New Roman" w:hAnsi="Times New Roman"/>
          <w:b w:val="0"/>
          <w:i w:val="0"/>
          <w:color w:val="000000"/>
          <w:sz w:val="24"/>
        </w:rPr>
        <w:t>(1), 192--208. https://doi.org/10.1037/0022-0663.100.1.192</w:t>
      </w:r>
    </w:p>
    <w:p>
      <w:pPr>
        <w:spacing w:line="480" w:lineRule="auto" w:before="0" w:after="0"/>
        <w:ind w:left="720" w:hanging="720"/>
      </w:pPr>
      <w:r>
        <w:rPr>
          <w:rFonts w:ascii="Times New Roman" w:hAnsi="Times New Roman"/>
          <w:b w:val="0"/>
          <w:i w:val="0"/>
          <w:color w:val="000000"/>
          <w:sz w:val="24"/>
        </w:rPr>
        <w:t xml:space="preserve">Broadbent, J., &amp; Poon, W. L. (2015). Self-regulated learning strategies &amp; academic achievement in online higher education learning environments: A systematic review. </w:t>
      </w:r>
      <w:r>
        <w:rPr>
          <w:rFonts w:ascii="Times New Roman" w:hAnsi="Times New Roman"/>
          <w:b w:val="0"/>
          <w:i/>
          <w:color w:val="000000"/>
          <w:sz w:val="24"/>
        </w:rPr>
        <w:t>The Internet and Higher Education, 27</w:t>
      </w:r>
      <w:r>
        <w:rPr>
          <w:rFonts w:ascii="Times New Roman" w:hAnsi="Times New Roman"/>
          <w:b w:val="0"/>
          <w:i w:val="0"/>
          <w:color w:val="000000"/>
          <w:sz w:val="24"/>
        </w:rPr>
        <w:t>, 1--13. https://doi.org/10.1016/j.iheduc.2015.04.007</w:t>
      </w:r>
    </w:p>
    <w:p>
      <w:pPr>
        <w:spacing w:line="480" w:lineRule="auto" w:before="0" w:after="0"/>
        <w:ind w:left="720" w:hanging="720"/>
      </w:pPr>
      <w:r>
        <w:rPr>
          <w:rFonts w:ascii="Times New Roman" w:hAnsi="Times New Roman"/>
          <w:b w:val="0"/>
          <w:i w:val="0"/>
          <w:color w:val="000000"/>
          <w:sz w:val="24"/>
        </w:rPr>
        <w:t xml:space="preserve">Chen, J. Y. C., Procci, K., Boyce, M., Wright, J., Garcia, A., &amp; Barnes, M. (2014). </w:t>
      </w:r>
      <w:r>
        <w:rPr>
          <w:rFonts w:ascii="Times New Roman" w:hAnsi="Times New Roman"/>
          <w:b w:val="0"/>
          <w:i/>
          <w:color w:val="000000"/>
          <w:sz w:val="24"/>
        </w:rPr>
        <w:t>Situation awareness-based agent transparency</w:t>
      </w:r>
      <w:r>
        <w:rPr>
          <w:rFonts w:ascii="Times New Roman" w:hAnsi="Times New Roman"/>
          <w:b w:val="0"/>
          <w:i w:val="0"/>
          <w:color w:val="000000"/>
          <w:sz w:val="24"/>
        </w:rPr>
        <w:t xml:space="preserve"> (ARL-TR-6905). U.S. Army Research Laboratory.</w:t>
      </w:r>
    </w:p>
    <w:p>
      <w:pPr>
        <w:spacing w:line="480" w:lineRule="auto" w:before="0" w:after="0"/>
        <w:ind w:left="720" w:hanging="720"/>
      </w:pPr>
      <w:r>
        <w:rPr>
          <w:rFonts w:ascii="Times New Roman" w:hAnsi="Times New Roman"/>
          <w:b w:val="0"/>
          <w:i w:val="0"/>
          <w:color w:val="000000"/>
          <w:sz w:val="24"/>
        </w:rPr>
        <w:t xml:space="preserve">Choi, Y., Lee, Y., Shin, D., Cho, J., Park, S., Lee, S., ... &amp; Heo, J. (2020). EdNet: A large-scale hierarchical dataset in education. In </w:t>
      </w:r>
      <w:r>
        <w:rPr>
          <w:rFonts w:ascii="Times New Roman" w:hAnsi="Times New Roman"/>
          <w:b w:val="0"/>
          <w:i/>
          <w:color w:val="000000"/>
          <w:sz w:val="24"/>
        </w:rPr>
        <w:t>Proceedings of the 21st International Conference on Artificial Intelligence in Education</w:t>
      </w:r>
      <w:r>
        <w:rPr>
          <w:rFonts w:ascii="Times New Roman" w:hAnsi="Times New Roman"/>
          <w:b w:val="0"/>
          <w:i w:val="0"/>
          <w:color w:val="000000"/>
          <w:sz w:val="24"/>
        </w:rPr>
        <w:t xml:space="preserve"> (pp. 69--73). Springer. https://doi.org/10.1007/978-3-030-52240-7_13</w:t>
      </w:r>
    </w:p>
    <w:p>
      <w:pPr>
        <w:spacing w:line="480" w:lineRule="auto" w:before="0" w:after="0"/>
        <w:ind w:left="720" w:hanging="720"/>
      </w:pPr>
      <w:r>
        <w:rPr>
          <w:rFonts w:ascii="Times New Roman" w:hAnsi="Times New Roman"/>
          <w:b w:val="0"/>
          <w:i w:val="0"/>
          <w:color w:val="000000"/>
          <w:sz w:val="24"/>
        </w:rPr>
        <w:t xml:space="preserve">Choudhury, A., Asan, O., &amp; Stahelin, L. (2020). Effect of AI explanation on trust and decision-making in healthcare. In </w:t>
      </w:r>
      <w:r>
        <w:rPr>
          <w:rFonts w:ascii="Times New Roman" w:hAnsi="Times New Roman"/>
          <w:b w:val="0"/>
          <w:i/>
          <w:color w:val="000000"/>
          <w:sz w:val="24"/>
        </w:rPr>
        <w:t>Proceedings of the Human Factors and Ergonomics Society Annual Meeting, 64</w:t>
      </w:r>
      <w:r>
        <w:rPr>
          <w:rFonts w:ascii="Times New Roman" w:hAnsi="Times New Roman"/>
          <w:b w:val="0"/>
          <w:i w:val="0"/>
          <w:color w:val="000000"/>
          <w:sz w:val="24"/>
        </w:rPr>
        <w:t>(1), 704--708. https://doi.org/10.1177/1071181320641165</w:t>
      </w:r>
    </w:p>
    <w:p>
      <w:pPr>
        <w:spacing w:line="480" w:lineRule="auto" w:before="0" w:after="0"/>
        <w:ind w:left="720" w:hanging="720"/>
      </w:pPr>
      <w:r>
        <w:rPr>
          <w:rFonts w:ascii="Times New Roman" w:hAnsi="Times New Roman"/>
          <w:b w:val="0"/>
          <w:i w:val="0"/>
          <w:color w:val="000000"/>
          <w:sz w:val="24"/>
        </w:rPr>
        <w:t xml:space="preserve">de Visser, E. J., Peeters, M. M., Jung, M. F., Kohn, S., Shaw, T. H., Pak, R., &amp; Neerincx, M. A. (2020). Towards a theory of longitudinal trust calibration in human--robot teams. </w:t>
      </w:r>
      <w:r>
        <w:rPr>
          <w:rFonts w:ascii="Times New Roman" w:hAnsi="Times New Roman"/>
          <w:b w:val="0"/>
          <w:i/>
          <w:color w:val="000000"/>
          <w:sz w:val="24"/>
        </w:rPr>
        <w:t>International Journal of Social Robotics, 12</w:t>
      </w:r>
      <w:r>
        <w:rPr>
          <w:rFonts w:ascii="Times New Roman" w:hAnsi="Times New Roman"/>
          <w:b w:val="0"/>
          <w:i w:val="0"/>
          <w:color w:val="000000"/>
          <w:sz w:val="24"/>
        </w:rPr>
        <w:t>, 459--478. https://doi.org/10.1007/s12369-019-00596-x</w:t>
      </w:r>
    </w:p>
    <w:p>
      <w:pPr>
        <w:spacing w:line="480" w:lineRule="auto" w:before="0" w:after="0"/>
        <w:ind w:left="720" w:hanging="720"/>
      </w:pPr>
      <w:r>
        <w:rPr>
          <w:rFonts w:ascii="Times New Roman" w:hAnsi="Times New Roman"/>
          <w:b w:val="0"/>
          <w:i w:val="0"/>
          <w:color w:val="000000"/>
          <w:sz w:val="24"/>
        </w:rPr>
        <w:t xml:space="preserve">du Boulay, B. (2016). Artificial intelligence as an effective classroom assistant. </w:t>
      </w:r>
      <w:r>
        <w:rPr>
          <w:rFonts w:ascii="Times New Roman" w:hAnsi="Times New Roman"/>
          <w:b w:val="0"/>
          <w:i/>
          <w:color w:val="000000"/>
          <w:sz w:val="24"/>
        </w:rPr>
        <w:t>IEEE Intelligent Systems, 31</w:t>
      </w:r>
      <w:r>
        <w:rPr>
          <w:rFonts w:ascii="Times New Roman" w:hAnsi="Times New Roman"/>
          <w:b w:val="0"/>
          <w:i w:val="0"/>
          <w:color w:val="000000"/>
          <w:sz w:val="24"/>
        </w:rPr>
        <w:t>(6), 76--81. https://doi.org/10.1109/MIS.2016.93</w:t>
      </w:r>
    </w:p>
    <w:p>
      <w:pPr>
        <w:spacing w:line="480" w:lineRule="auto" w:before="0" w:after="0"/>
        <w:ind w:left="720" w:hanging="720"/>
      </w:pPr>
      <w:r>
        <w:rPr>
          <w:rFonts w:ascii="Times New Roman" w:hAnsi="Times New Roman"/>
          <w:b w:val="0"/>
          <w:i w:val="0"/>
          <w:color w:val="000000"/>
          <w:sz w:val="24"/>
        </w:rPr>
        <w:t xml:space="preserve">Dzindolet, M. T., Peterson, S. A., Pomranky, R. A., Pierce, L. G., &amp; Beck, H. P. (2003). The role of trust in automation reliance. </w:t>
      </w:r>
      <w:r>
        <w:rPr>
          <w:rFonts w:ascii="Times New Roman" w:hAnsi="Times New Roman"/>
          <w:b w:val="0"/>
          <w:i/>
          <w:color w:val="000000"/>
          <w:sz w:val="24"/>
        </w:rPr>
        <w:t>International Journal of Human-Computer Studies, 58</w:t>
      </w:r>
      <w:r>
        <w:rPr>
          <w:rFonts w:ascii="Times New Roman" w:hAnsi="Times New Roman"/>
          <w:b w:val="0"/>
          <w:i w:val="0"/>
          <w:color w:val="000000"/>
          <w:sz w:val="24"/>
        </w:rPr>
        <w:t>(6), 697--718. https://doi.org/10.1016/S1071-5819(03)00038-7</w:t>
      </w:r>
    </w:p>
    <w:p>
      <w:pPr>
        <w:spacing w:line="480" w:lineRule="auto" w:before="0" w:after="0"/>
        <w:ind w:left="720" w:hanging="720"/>
      </w:pPr>
      <w:r>
        <w:rPr>
          <w:rFonts w:ascii="Times New Roman" w:hAnsi="Times New Roman"/>
          <w:b w:val="0"/>
          <w:i w:val="0"/>
          <w:color w:val="000000"/>
          <w:sz w:val="24"/>
        </w:rPr>
        <w:t xml:space="preserve">Fraley, C., &amp; Raftery, A. E. (2002). Model-based clustering, discriminant analysis, and density estimation. </w:t>
      </w:r>
      <w:r>
        <w:rPr>
          <w:rFonts w:ascii="Times New Roman" w:hAnsi="Times New Roman"/>
          <w:b w:val="0"/>
          <w:i/>
          <w:color w:val="000000"/>
          <w:sz w:val="24"/>
        </w:rPr>
        <w:t>Journal of the American Statistical Association, 97</w:t>
      </w:r>
      <w:r>
        <w:rPr>
          <w:rFonts w:ascii="Times New Roman" w:hAnsi="Times New Roman"/>
          <w:b w:val="0"/>
          <w:i w:val="0"/>
          <w:color w:val="000000"/>
          <w:sz w:val="24"/>
        </w:rPr>
        <w:t>(458), 611--631. https://doi.org/10.1198/016214502760047131</w:t>
      </w:r>
    </w:p>
    <w:p>
      <w:pPr>
        <w:spacing w:line="480" w:lineRule="auto" w:before="0" w:after="0"/>
        <w:ind w:left="720" w:hanging="720"/>
      </w:pPr>
      <w:r>
        <w:rPr>
          <w:rFonts w:ascii="Times New Roman" w:hAnsi="Times New Roman"/>
          <w:b w:val="0"/>
          <w:i w:val="0"/>
          <w:color w:val="000000"/>
          <w:sz w:val="24"/>
        </w:rPr>
        <w:t xml:space="preserve">Ghosh, A., Heffernan, N., &amp; Lan, A. S. (2020). Context-aware attentive knowledge tracing. In </w:t>
      </w:r>
      <w:r>
        <w:rPr>
          <w:rFonts w:ascii="Times New Roman" w:hAnsi="Times New Roman"/>
          <w:b w:val="0"/>
          <w:i/>
          <w:color w:val="000000"/>
          <w:sz w:val="24"/>
        </w:rPr>
        <w:t>Proceedings of the 26th ACM SIGKDD International Conference on Knowledge Discovery &amp; Data Mining</w:t>
      </w:r>
      <w:r>
        <w:rPr>
          <w:rFonts w:ascii="Times New Roman" w:hAnsi="Times New Roman"/>
          <w:b w:val="0"/>
          <w:i w:val="0"/>
          <w:color w:val="000000"/>
          <w:sz w:val="24"/>
        </w:rPr>
        <w:t xml:space="preserve"> (pp. 2330--2339). https://doi.org/10.1145/3394486.3403282</w:t>
      </w:r>
    </w:p>
    <w:p>
      <w:pPr>
        <w:spacing w:line="480" w:lineRule="auto" w:before="0" w:after="0"/>
        <w:ind w:left="720" w:hanging="720"/>
      </w:pPr>
      <w:r>
        <w:rPr>
          <w:rFonts w:ascii="Times New Roman" w:hAnsi="Times New Roman"/>
          <w:b w:val="0"/>
          <w:i w:val="0"/>
          <w:color w:val="000000"/>
          <w:sz w:val="24"/>
        </w:rPr>
        <w:t xml:space="preserve">Guo, P. J., &amp; Yang, D. (2021). MOOC learner behaviors by country and culture: An exploratory analysis. In </w:t>
      </w:r>
      <w:r>
        <w:rPr>
          <w:rFonts w:ascii="Times New Roman" w:hAnsi="Times New Roman"/>
          <w:b w:val="0"/>
          <w:i/>
          <w:color w:val="000000"/>
          <w:sz w:val="24"/>
        </w:rPr>
        <w:t>Proceedings of the Eighth ACM Conference on Learning @ Scale</w:t>
      </w:r>
      <w:r>
        <w:rPr>
          <w:rFonts w:ascii="Times New Roman" w:hAnsi="Times New Roman"/>
          <w:b w:val="0"/>
          <w:i w:val="0"/>
          <w:color w:val="000000"/>
          <w:sz w:val="24"/>
        </w:rPr>
        <w:t xml:space="preserve"> (pp. 127--137). ACM.</w:t>
      </w:r>
    </w:p>
    <w:p>
      <w:pPr>
        <w:spacing w:line="480" w:lineRule="auto" w:before="0" w:after="0"/>
        <w:ind w:left="720" w:hanging="720"/>
      </w:pPr>
      <w:r>
        <w:rPr>
          <w:rFonts w:ascii="Times New Roman" w:hAnsi="Times New Roman"/>
          <w:b w:val="0"/>
          <w:i w:val="0"/>
          <w:color w:val="000000"/>
          <w:sz w:val="24"/>
        </w:rPr>
        <w:t xml:space="preserve">Holmes, W., Bialik, M., &amp; Fadel, C. (2022). </w:t>
      </w:r>
      <w:r>
        <w:rPr>
          <w:rFonts w:ascii="Times New Roman" w:hAnsi="Times New Roman"/>
          <w:b w:val="0"/>
          <w:i/>
          <w:color w:val="000000"/>
          <w:sz w:val="24"/>
        </w:rPr>
        <w:t>Artificial intelligence in education: Promises and implications for teaching and learning</w:t>
      </w:r>
      <w:r>
        <w:rPr>
          <w:rFonts w:ascii="Times New Roman" w:hAnsi="Times New Roman"/>
          <w:b w:val="0"/>
          <w:i w:val="0"/>
          <w:color w:val="000000"/>
          <w:sz w:val="24"/>
        </w:rPr>
        <w:t xml:space="preserve"> (2nd ed.). Center for Curriculum Redesign.</w:t>
      </w:r>
    </w:p>
    <w:p>
      <w:pPr>
        <w:spacing w:line="480" w:lineRule="auto" w:before="0" w:after="0"/>
        <w:ind w:left="720" w:hanging="720"/>
      </w:pPr>
      <w:r>
        <w:rPr>
          <w:rFonts w:ascii="Times New Roman" w:hAnsi="Times New Roman"/>
          <w:b w:val="0"/>
          <w:i w:val="0"/>
          <w:color w:val="000000"/>
          <w:sz w:val="24"/>
        </w:rPr>
        <w:t xml:space="preserve">Jian, J. Y., Bisantz, A. M., &amp; Drury, C. G. (2000). Foundations for an empirically determined scale of trust in automated systems. </w:t>
      </w:r>
      <w:r>
        <w:rPr>
          <w:rFonts w:ascii="Times New Roman" w:hAnsi="Times New Roman"/>
          <w:b w:val="0"/>
          <w:i/>
          <w:color w:val="000000"/>
          <w:sz w:val="24"/>
        </w:rPr>
        <w:t>International Journal of Cognitive Ergonomics, 4</w:t>
      </w:r>
      <w:r>
        <w:rPr>
          <w:rFonts w:ascii="Times New Roman" w:hAnsi="Times New Roman"/>
          <w:b w:val="0"/>
          <w:i w:val="0"/>
          <w:color w:val="000000"/>
          <w:sz w:val="24"/>
        </w:rPr>
        <w:t>(1), 53--71. https://doi.org/10.1207/S15327566IJCE0401_04</w:t>
      </w:r>
    </w:p>
    <w:p>
      <w:pPr>
        <w:spacing w:line="480" w:lineRule="auto" w:before="0" w:after="0"/>
        <w:ind w:left="720" w:hanging="720"/>
      </w:pPr>
      <w:r>
        <w:rPr>
          <w:rFonts w:ascii="Times New Roman" w:hAnsi="Times New Roman"/>
          <w:b w:val="0"/>
          <w:i w:val="0"/>
          <w:color w:val="000000"/>
          <w:sz w:val="24"/>
        </w:rPr>
        <w:t xml:space="preserve">Kaur, H., Nori, H., Jenkins, S., Caruana, R., Wallach, H., &amp; Wortman Vaughan, J. (2022). Interpreting interpretability: Understanding data scientists' use of interpretability tools for machine learning. In </w:t>
      </w:r>
      <w:r>
        <w:rPr>
          <w:rFonts w:ascii="Times New Roman" w:hAnsi="Times New Roman"/>
          <w:b w:val="0"/>
          <w:i/>
          <w:color w:val="000000"/>
          <w:sz w:val="24"/>
        </w:rPr>
        <w:t>Proceedings of the 2020 CHI Conference on Human Factors in Computing Systems</w:t>
      </w:r>
      <w:r>
        <w:rPr>
          <w:rFonts w:ascii="Times New Roman" w:hAnsi="Times New Roman"/>
          <w:b w:val="0"/>
          <w:i w:val="0"/>
          <w:color w:val="000000"/>
          <w:sz w:val="24"/>
        </w:rPr>
        <w:t xml:space="preserve"> (pp. 1--14). ACM.</w:t>
      </w:r>
    </w:p>
    <w:p>
      <w:pPr>
        <w:spacing w:line="480" w:lineRule="auto" w:before="0" w:after="0"/>
        <w:ind w:left="720" w:hanging="720"/>
      </w:pPr>
      <w:r>
        <w:rPr>
          <w:rFonts w:ascii="Times New Roman" w:hAnsi="Times New Roman"/>
          <w:b w:val="0"/>
          <w:i w:val="0"/>
          <w:color w:val="000000"/>
          <w:sz w:val="24"/>
        </w:rPr>
        <w:t xml:space="preserve">Korber, M. (2019). Theoretical considerations and development of a questionnaire to measure trust in automation. In S. Bagnara et al. (Eds.), </w:t>
      </w:r>
      <w:r>
        <w:rPr>
          <w:rFonts w:ascii="Times New Roman" w:hAnsi="Times New Roman"/>
          <w:b w:val="0"/>
          <w:i/>
          <w:color w:val="000000"/>
          <w:sz w:val="24"/>
        </w:rPr>
        <w:t>Proceedings of the 20th Congress of the International Ergonomics Association</w:t>
      </w:r>
      <w:r>
        <w:rPr>
          <w:rFonts w:ascii="Times New Roman" w:hAnsi="Times New Roman"/>
          <w:b w:val="0"/>
          <w:i w:val="0"/>
          <w:color w:val="000000"/>
          <w:sz w:val="24"/>
        </w:rPr>
        <w:t xml:space="preserve"> (pp. 13--30). Springer.</w:t>
      </w:r>
    </w:p>
    <w:p>
      <w:pPr>
        <w:spacing w:line="480" w:lineRule="auto" w:before="0" w:after="0"/>
        <w:ind w:left="720" w:hanging="720"/>
      </w:pPr>
      <w:r>
        <w:rPr>
          <w:rFonts w:ascii="Times New Roman" w:hAnsi="Times New Roman"/>
          <w:b w:val="0"/>
          <w:i w:val="0"/>
          <w:color w:val="000000"/>
          <w:sz w:val="24"/>
        </w:rPr>
        <w:t xml:space="preserve">Lee, J. D., &amp; Moray, N. (1994). Trust, self-confidence, and operators' adaptation to automation. </w:t>
      </w:r>
      <w:r>
        <w:rPr>
          <w:rFonts w:ascii="Times New Roman" w:hAnsi="Times New Roman"/>
          <w:b w:val="0"/>
          <w:i/>
          <w:color w:val="000000"/>
          <w:sz w:val="24"/>
        </w:rPr>
        <w:t>International Journal of Human-Computer Studies, 40</w:t>
      </w:r>
      <w:r>
        <w:rPr>
          <w:rFonts w:ascii="Times New Roman" w:hAnsi="Times New Roman"/>
          <w:b w:val="0"/>
          <w:i w:val="0"/>
          <w:color w:val="000000"/>
          <w:sz w:val="24"/>
        </w:rPr>
        <w:t>(1), 153--184. https://doi.org/10.1006/ijhc.1994.1007</w:t>
      </w:r>
    </w:p>
    <w:p>
      <w:pPr>
        <w:spacing w:line="480" w:lineRule="auto" w:before="0" w:after="0"/>
        <w:ind w:left="720" w:hanging="720"/>
      </w:pPr>
      <w:r>
        <w:rPr>
          <w:rFonts w:ascii="Times New Roman" w:hAnsi="Times New Roman"/>
          <w:b w:val="0"/>
          <w:i w:val="0"/>
          <w:color w:val="000000"/>
          <w:sz w:val="24"/>
        </w:rPr>
        <w:t xml:space="preserve">Lee, J. D., &amp; See, K. A. (2004). Trust in automation: Designing for appropriate reliance. </w:t>
      </w:r>
      <w:r>
        <w:rPr>
          <w:rFonts w:ascii="Times New Roman" w:hAnsi="Times New Roman"/>
          <w:b w:val="0"/>
          <w:i/>
          <w:color w:val="000000"/>
          <w:sz w:val="24"/>
        </w:rPr>
        <w:t>Human Factors, 46</w:t>
      </w:r>
      <w:r>
        <w:rPr>
          <w:rFonts w:ascii="Times New Roman" w:hAnsi="Times New Roman"/>
          <w:b w:val="0"/>
          <w:i w:val="0"/>
          <w:color w:val="000000"/>
          <w:sz w:val="24"/>
        </w:rPr>
        <w:t>(1), 50--80. https://doi.org/10.1518/hfes.46.1.50.30392</w:t>
      </w:r>
    </w:p>
    <w:p>
      <w:pPr>
        <w:spacing w:line="480" w:lineRule="auto" w:before="0" w:after="0"/>
        <w:ind w:left="720" w:hanging="720"/>
      </w:pPr>
      <w:r>
        <w:rPr>
          <w:rFonts w:ascii="Times New Roman" w:hAnsi="Times New Roman"/>
          <w:b w:val="0"/>
          <w:i w:val="0"/>
          <w:color w:val="000000"/>
          <w:sz w:val="24"/>
        </w:rPr>
        <w:t xml:space="preserve">Muir, B. M. (1994). Trust in automation: Part I. Theoretical issues in the study of trust and human intervention in automated systems. </w:t>
      </w:r>
      <w:r>
        <w:rPr>
          <w:rFonts w:ascii="Times New Roman" w:hAnsi="Times New Roman"/>
          <w:b w:val="0"/>
          <w:i/>
          <w:color w:val="000000"/>
          <w:sz w:val="24"/>
        </w:rPr>
        <w:t>Ergonomics, 37</w:t>
      </w:r>
      <w:r>
        <w:rPr>
          <w:rFonts w:ascii="Times New Roman" w:hAnsi="Times New Roman"/>
          <w:b w:val="0"/>
          <w:i w:val="0"/>
          <w:color w:val="000000"/>
          <w:sz w:val="24"/>
        </w:rPr>
        <w:t>(11), 1905--1922. https://doi.org/10.1080/00140139408964957</w:t>
      </w:r>
    </w:p>
    <w:p>
      <w:pPr>
        <w:spacing w:line="480" w:lineRule="auto" w:before="0" w:after="0"/>
        <w:ind w:left="720" w:hanging="720"/>
      </w:pPr>
      <w:r>
        <w:rPr>
          <w:rFonts w:ascii="Times New Roman" w:hAnsi="Times New Roman"/>
          <w:b w:val="0"/>
          <w:i w:val="0"/>
          <w:color w:val="000000"/>
          <w:sz w:val="24"/>
        </w:rPr>
        <w:t xml:space="preserve">Muir, B. M., &amp; Moray, N. (1996). Trust in automation: Part II. Experimental studies of trust and human intervention in a process control simulation. </w:t>
      </w:r>
      <w:r>
        <w:rPr>
          <w:rFonts w:ascii="Times New Roman" w:hAnsi="Times New Roman"/>
          <w:b w:val="0"/>
          <w:i/>
          <w:color w:val="000000"/>
          <w:sz w:val="24"/>
        </w:rPr>
        <w:t>Ergonomics, 39</w:t>
      </w:r>
      <w:r>
        <w:rPr>
          <w:rFonts w:ascii="Times New Roman" w:hAnsi="Times New Roman"/>
          <w:b w:val="0"/>
          <w:i w:val="0"/>
          <w:color w:val="000000"/>
          <w:sz w:val="24"/>
        </w:rPr>
        <w:t>(3), 429--460. https://doi.org/10.1080/00140139608964474</w:t>
      </w:r>
    </w:p>
    <w:p>
      <w:pPr>
        <w:spacing w:line="480" w:lineRule="auto" w:before="0" w:after="0"/>
        <w:ind w:left="720" w:hanging="720"/>
      </w:pPr>
      <w:r>
        <w:rPr>
          <w:rFonts w:ascii="Times New Roman" w:hAnsi="Times New Roman"/>
          <w:b w:val="0"/>
          <w:i w:val="0"/>
          <w:color w:val="000000"/>
          <w:sz w:val="24"/>
        </w:rPr>
        <w:t xml:space="preserve">Musu-Gillette, L. E., Wigfield, A., Harring, J. R., &amp; Eccles, J. S. (2015). Trajectories of change in students' self-concepts of ability and values in math and college major choice. </w:t>
      </w:r>
      <w:r>
        <w:rPr>
          <w:rFonts w:ascii="Times New Roman" w:hAnsi="Times New Roman"/>
          <w:b w:val="0"/>
          <w:i/>
          <w:color w:val="000000"/>
          <w:sz w:val="24"/>
        </w:rPr>
        <w:t>Educational Research and Evaluation, 21</w:t>
      </w:r>
      <w:r>
        <w:rPr>
          <w:rFonts w:ascii="Times New Roman" w:hAnsi="Times New Roman"/>
          <w:b w:val="0"/>
          <w:i w:val="0"/>
          <w:color w:val="000000"/>
          <w:sz w:val="24"/>
        </w:rPr>
        <w:t>(4), 343--370. https://doi.org/10.1080/13803611.2015.1057161</w:t>
      </w:r>
    </w:p>
    <w:p>
      <w:pPr>
        <w:spacing w:line="480" w:lineRule="auto" w:before="0" w:after="0"/>
        <w:ind w:left="720" w:hanging="720"/>
      </w:pPr>
      <w:r>
        <w:rPr>
          <w:rFonts w:ascii="Times New Roman" w:hAnsi="Times New Roman"/>
          <w:b w:val="0"/>
          <w:i w:val="0"/>
          <w:color w:val="000000"/>
          <w:sz w:val="24"/>
        </w:rPr>
        <w:t xml:space="preserve">Muthen, B. (2004). Latent variable analysis: Growth mixture modeling and related techniques for longitudinal data. In D. Kaplan (Ed.), </w:t>
      </w:r>
      <w:r>
        <w:rPr>
          <w:rFonts w:ascii="Times New Roman" w:hAnsi="Times New Roman"/>
          <w:b w:val="0"/>
          <w:i/>
          <w:color w:val="000000"/>
          <w:sz w:val="24"/>
        </w:rPr>
        <w:t>The SAGE handbook of quantitative methodology for the social sciences</w:t>
      </w:r>
      <w:r>
        <w:rPr>
          <w:rFonts w:ascii="Times New Roman" w:hAnsi="Times New Roman"/>
          <w:b w:val="0"/>
          <w:i w:val="0"/>
          <w:color w:val="000000"/>
          <w:sz w:val="24"/>
        </w:rPr>
        <w:t xml:space="preserve"> (pp. 345--368). SAGE.</w:t>
      </w:r>
    </w:p>
    <w:p>
      <w:pPr>
        <w:spacing w:line="480" w:lineRule="auto" w:before="0" w:after="0"/>
        <w:ind w:left="720" w:hanging="720"/>
      </w:pPr>
      <w:r>
        <w:rPr>
          <w:rFonts w:ascii="Times New Roman" w:hAnsi="Times New Roman"/>
          <w:b w:val="0"/>
          <w:i w:val="0"/>
          <w:color w:val="000000"/>
          <w:sz w:val="24"/>
        </w:rPr>
        <w:t xml:space="preserve">Nagin, D. S. (2005). </w:t>
      </w:r>
      <w:r>
        <w:rPr>
          <w:rFonts w:ascii="Times New Roman" w:hAnsi="Times New Roman"/>
          <w:b w:val="0"/>
          <w:i/>
          <w:color w:val="000000"/>
          <w:sz w:val="24"/>
        </w:rPr>
        <w:t>Group-based modeling of development</w:t>
      </w:r>
      <w:r>
        <w:rPr>
          <w:rFonts w:ascii="Times New Roman" w:hAnsi="Times New Roman"/>
          <w:b w:val="0"/>
          <w:i w:val="0"/>
          <w:color w:val="000000"/>
          <w:sz w:val="24"/>
        </w:rPr>
        <w:t>. Harvard University Press.</w:t>
      </w:r>
    </w:p>
    <w:p>
      <w:pPr>
        <w:spacing w:line="480" w:lineRule="auto" w:before="0" w:after="0"/>
        <w:ind w:left="720" w:hanging="720"/>
      </w:pPr>
      <w:r>
        <w:rPr>
          <w:rFonts w:ascii="Times New Roman" w:hAnsi="Times New Roman"/>
          <w:b w:val="0"/>
          <w:i w:val="0"/>
          <w:color w:val="000000"/>
          <w:sz w:val="24"/>
        </w:rPr>
        <w:t xml:space="preserve">Nagin, D. S., &amp; Land, K. C. (1993). Age, criminal careers, and population heterogeneity: Specification and estimation of a nonparametric, mixed Poisson model. </w:t>
      </w:r>
      <w:r>
        <w:rPr>
          <w:rFonts w:ascii="Times New Roman" w:hAnsi="Times New Roman"/>
          <w:b w:val="0"/>
          <w:i/>
          <w:color w:val="000000"/>
          <w:sz w:val="24"/>
        </w:rPr>
        <w:t>Criminology, 31</w:t>
      </w:r>
      <w:r>
        <w:rPr>
          <w:rFonts w:ascii="Times New Roman" w:hAnsi="Times New Roman"/>
          <w:b w:val="0"/>
          <w:i w:val="0"/>
          <w:color w:val="000000"/>
          <w:sz w:val="24"/>
        </w:rPr>
        <w:t>(3), 327--362. https://doi.org/10.1111/j.1745-9125.1993.tb01133.x</w:t>
      </w:r>
    </w:p>
    <w:p>
      <w:pPr>
        <w:spacing w:line="480" w:lineRule="auto" w:before="0" w:after="0"/>
        <w:ind w:left="720" w:hanging="720"/>
      </w:pPr>
      <w:r>
        <w:rPr>
          <w:rFonts w:ascii="Times New Roman" w:hAnsi="Times New Roman"/>
          <w:b w:val="0"/>
          <w:i w:val="0"/>
          <w:color w:val="000000"/>
          <w:sz w:val="24"/>
        </w:rPr>
        <w:t xml:space="preserve">Nazaretsky, T., Ariely, M., Cukurova, M., &amp; Alexandron, G. (2022). Teachers' trust in AI-powered educational technology and a professional development program to improve it. </w:t>
      </w:r>
      <w:r>
        <w:rPr>
          <w:rFonts w:ascii="Times New Roman" w:hAnsi="Times New Roman"/>
          <w:b w:val="0"/>
          <w:i/>
          <w:color w:val="000000"/>
          <w:sz w:val="24"/>
        </w:rPr>
        <w:t>British Journal of Educational Technology, 53</w:t>
      </w:r>
      <w:r>
        <w:rPr>
          <w:rFonts w:ascii="Times New Roman" w:hAnsi="Times New Roman"/>
          <w:b w:val="0"/>
          <w:i w:val="0"/>
          <w:color w:val="000000"/>
          <w:sz w:val="24"/>
        </w:rPr>
        <w:t>(4), 914--931. https://doi.org/10.1111/bjet.13232</w:t>
      </w:r>
    </w:p>
    <w:p>
      <w:pPr>
        <w:spacing w:line="480" w:lineRule="auto" w:before="0" w:after="0"/>
        <w:ind w:left="720" w:hanging="720"/>
      </w:pPr>
      <w:r>
        <w:rPr>
          <w:rFonts w:ascii="Times New Roman" w:hAnsi="Times New Roman"/>
          <w:b w:val="0"/>
          <w:i w:val="0"/>
          <w:color w:val="000000"/>
          <w:sz w:val="24"/>
        </w:rPr>
        <w:t xml:space="preserve">Nylund, K. L., Asparouhov, T., &amp; Muthen, B. O. (2007). Deciding on the number of classes in latent class analysis and growth mixture modeling: A Monte Carlo simulation study. </w:t>
      </w:r>
      <w:r>
        <w:rPr>
          <w:rFonts w:ascii="Times New Roman" w:hAnsi="Times New Roman"/>
          <w:b w:val="0"/>
          <w:i/>
          <w:color w:val="000000"/>
          <w:sz w:val="24"/>
        </w:rPr>
        <w:t>Structural Equation Modeling, 14</w:t>
      </w:r>
      <w:r>
        <w:rPr>
          <w:rFonts w:ascii="Times New Roman" w:hAnsi="Times New Roman"/>
          <w:b w:val="0"/>
          <w:i w:val="0"/>
          <w:color w:val="000000"/>
          <w:sz w:val="24"/>
        </w:rPr>
        <w:t>(4), 535--569. https://doi.org/10.1080/10705510701575396</w:t>
      </w:r>
    </w:p>
    <w:p>
      <w:pPr>
        <w:spacing w:line="480" w:lineRule="auto" w:before="0" w:after="0"/>
        <w:ind w:left="720" w:hanging="720"/>
      </w:pPr>
      <w:r>
        <w:rPr>
          <w:rFonts w:ascii="Times New Roman" w:hAnsi="Times New Roman"/>
          <w:b w:val="0"/>
          <w:i w:val="0"/>
          <w:color w:val="000000"/>
          <w:sz w:val="24"/>
        </w:rPr>
        <w:t xml:space="preserve">Parasuraman, R., &amp; Manzey, D. H. (2010). Complacency and bias in human use of automation: An attentional integration. </w:t>
      </w:r>
      <w:r>
        <w:rPr>
          <w:rFonts w:ascii="Times New Roman" w:hAnsi="Times New Roman"/>
          <w:b w:val="0"/>
          <w:i/>
          <w:color w:val="000000"/>
          <w:sz w:val="24"/>
        </w:rPr>
        <w:t>Human Factors, 52</w:t>
      </w:r>
      <w:r>
        <w:rPr>
          <w:rFonts w:ascii="Times New Roman" w:hAnsi="Times New Roman"/>
          <w:b w:val="0"/>
          <w:i w:val="0"/>
          <w:color w:val="000000"/>
          <w:sz w:val="24"/>
        </w:rPr>
        <w:t>(3), 381--410. https://doi.org/10.1177/0018720810376055</w:t>
      </w:r>
    </w:p>
    <w:p>
      <w:pPr>
        <w:spacing w:line="480" w:lineRule="auto" w:before="0" w:after="0"/>
        <w:ind w:left="720" w:hanging="720"/>
      </w:pPr>
      <w:r>
        <w:rPr>
          <w:rFonts w:ascii="Times New Roman" w:hAnsi="Times New Roman"/>
          <w:b w:val="0"/>
          <w:i w:val="0"/>
          <w:color w:val="000000"/>
          <w:sz w:val="24"/>
        </w:rPr>
        <w:t xml:space="preserve">Parasuraman, R., &amp; Riley, V. (1997). Humans and automation: Use, misuse, disuse, abuse. </w:t>
      </w:r>
      <w:r>
        <w:rPr>
          <w:rFonts w:ascii="Times New Roman" w:hAnsi="Times New Roman"/>
          <w:b w:val="0"/>
          <w:i/>
          <w:color w:val="000000"/>
          <w:sz w:val="24"/>
        </w:rPr>
        <w:t>Human Factors, 39</w:t>
      </w:r>
      <w:r>
        <w:rPr>
          <w:rFonts w:ascii="Times New Roman" w:hAnsi="Times New Roman"/>
          <w:b w:val="0"/>
          <w:i w:val="0"/>
          <w:color w:val="000000"/>
          <w:sz w:val="24"/>
        </w:rPr>
        <w:t>(2), 230--253. https://doi.org/10.1518/001872097778543886</w:t>
      </w:r>
    </w:p>
    <w:p>
      <w:pPr>
        <w:spacing w:line="480" w:lineRule="auto" w:before="0" w:after="0"/>
        <w:ind w:left="720" w:hanging="720"/>
      </w:pPr>
      <w:r>
        <w:rPr>
          <w:rFonts w:ascii="Times New Roman" w:hAnsi="Times New Roman"/>
          <w:b w:val="0"/>
          <w:i w:val="0"/>
          <w:color w:val="000000"/>
          <w:sz w:val="24"/>
        </w:rPr>
        <w:t xml:space="preserve">Proust-Lima, C., Philipps, V., &amp; Liquet, B. (2017). Estimation of extended mixed models using latent classes and latent processes: The R package lcmm. </w:t>
      </w:r>
      <w:r>
        <w:rPr>
          <w:rFonts w:ascii="Times New Roman" w:hAnsi="Times New Roman"/>
          <w:b w:val="0"/>
          <w:i/>
          <w:color w:val="000000"/>
          <w:sz w:val="24"/>
        </w:rPr>
        <w:t>Journal of Statistical Software, 78</w:t>
      </w:r>
      <w:r>
        <w:rPr>
          <w:rFonts w:ascii="Times New Roman" w:hAnsi="Times New Roman"/>
          <w:b w:val="0"/>
          <w:i w:val="0"/>
          <w:color w:val="000000"/>
          <w:sz w:val="24"/>
        </w:rPr>
        <w:t>(2), 1--56. https://doi.org/10.18637/jss.v078.i02</w:t>
      </w:r>
    </w:p>
    <w:p>
      <w:pPr>
        <w:spacing w:line="480" w:lineRule="auto" w:before="0" w:after="0"/>
        <w:ind w:left="720" w:hanging="720"/>
      </w:pPr>
      <w:r>
        <w:rPr>
          <w:rFonts w:ascii="Times New Roman" w:hAnsi="Times New Roman"/>
          <w:b w:val="0"/>
          <w:i w:val="0"/>
          <w:color w:val="000000"/>
          <w:sz w:val="24"/>
        </w:rPr>
        <w:t xml:space="preserve">Ram, N., &amp; Grimm, K. J. (2009). Growth mixture modeling: A method for identifying differences in longitudinal change among unobserved groups. </w:t>
      </w:r>
      <w:r>
        <w:rPr>
          <w:rFonts w:ascii="Times New Roman" w:hAnsi="Times New Roman"/>
          <w:b w:val="0"/>
          <w:i/>
          <w:color w:val="000000"/>
          <w:sz w:val="24"/>
        </w:rPr>
        <w:t>International Journal of Behavioral Development, 33</w:t>
      </w:r>
      <w:r>
        <w:rPr>
          <w:rFonts w:ascii="Times New Roman" w:hAnsi="Times New Roman"/>
          <w:b w:val="0"/>
          <w:i w:val="0"/>
          <w:color w:val="000000"/>
          <w:sz w:val="24"/>
        </w:rPr>
        <w:t>(6), 565--576. https://doi.org/10.1177/0165025409343765</w:t>
      </w:r>
    </w:p>
    <w:p>
      <w:pPr>
        <w:spacing w:line="480" w:lineRule="auto" w:before="0" w:after="0"/>
        <w:ind w:left="720" w:hanging="720"/>
      </w:pPr>
      <w:r>
        <w:rPr>
          <w:rFonts w:ascii="Times New Roman" w:hAnsi="Times New Roman"/>
          <w:b w:val="0"/>
          <w:i w:val="0"/>
          <w:color w:val="000000"/>
          <w:sz w:val="24"/>
        </w:rPr>
        <w:t xml:space="preserve">Schemmer, M., Kuehl, N., Benz, C., Bartos, A., Satzger, G., &amp; Dennerlein, A. (2023). Appropriate reliance on AI advice: Conceptualization and the effect of explanations. In </w:t>
      </w:r>
      <w:r>
        <w:rPr>
          <w:rFonts w:ascii="Times New Roman" w:hAnsi="Times New Roman"/>
          <w:b w:val="0"/>
          <w:i/>
          <w:color w:val="000000"/>
          <w:sz w:val="24"/>
        </w:rPr>
        <w:t>Proceedings of the 28th International Conference on Intelligent User Interfaces</w:t>
      </w:r>
      <w:r>
        <w:rPr>
          <w:rFonts w:ascii="Times New Roman" w:hAnsi="Times New Roman"/>
          <w:b w:val="0"/>
          <w:i w:val="0"/>
          <w:color w:val="000000"/>
          <w:sz w:val="24"/>
        </w:rPr>
        <w:t xml:space="preserve"> (pp. 410--422). ACM. https://doi.org/10.1145/3581641.3584066</w:t>
      </w:r>
    </w:p>
    <w:p>
      <w:pPr>
        <w:spacing w:line="480" w:lineRule="auto" w:before="0" w:after="0"/>
        <w:ind w:left="720" w:hanging="720"/>
      </w:pPr>
      <w:r>
        <w:rPr>
          <w:rFonts w:ascii="Times New Roman" w:hAnsi="Times New Roman"/>
          <w:b w:val="0"/>
          <w:i w:val="0"/>
          <w:color w:val="000000"/>
          <w:sz w:val="24"/>
        </w:rPr>
        <w:t xml:space="preserve">Scrucca, L., Fop, M., Murphy, T. B., &amp; Raftery, A. E. (2016). mclust 5: Clustering, classification and density estimation using Gaussian finite mixture models. </w:t>
      </w:r>
      <w:r>
        <w:rPr>
          <w:rFonts w:ascii="Times New Roman" w:hAnsi="Times New Roman"/>
          <w:b w:val="0"/>
          <w:i/>
          <w:color w:val="000000"/>
          <w:sz w:val="24"/>
        </w:rPr>
        <w:t>The R Journal, 8</w:t>
      </w:r>
      <w:r>
        <w:rPr>
          <w:rFonts w:ascii="Times New Roman" w:hAnsi="Times New Roman"/>
          <w:b w:val="0"/>
          <w:i w:val="0"/>
          <w:color w:val="000000"/>
          <w:sz w:val="24"/>
        </w:rPr>
        <w:t>(1), 289--317. https://doi.org/10.32614/RJ-2016-021</w:t>
      </w:r>
    </w:p>
    <w:p>
      <w:pPr>
        <w:spacing w:line="480" w:lineRule="auto" w:before="0" w:after="0"/>
        <w:ind w:left="720" w:hanging="720"/>
      </w:pPr>
      <w:r>
        <w:rPr>
          <w:rFonts w:ascii="Times New Roman" w:hAnsi="Times New Roman"/>
          <w:b w:val="0"/>
          <w:i w:val="0"/>
          <w:color w:val="000000"/>
          <w:sz w:val="24"/>
        </w:rPr>
        <w:t xml:space="preserve">Shin, D., Shim, Y., Yu, H., Lee, S., Kim, B., &amp; Choi, Y. (2021). SAINT+: Integrating temporal features for EdNet correctness prediction. In </w:t>
      </w:r>
      <w:r>
        <w:rPr>
          <w:rFonts w:ascii="Times New Roman" w:hAnsi="Times New Roman"/>
          <w:b w:val="0"/>
          <w:i/>
          <w:color w:val="000000"/>
          <w:sz w:val="24"/>
        </w:rPr>
        <w:t>LAK21: 11th International Learning Analytics and Knowledge Conference</w:t>
      </w:r>
      <w:r>
        <w:rPr>
          <w:rFonts w:ascii="Times New Roman" w:hAnsi="Times New Roman"/>
          <w:b w:val="0"/>
          <w:i w:val="0"/>
          <w:color w:val="000000"/>
          <w:sz w:val="24"/>
        </w:rPr>
        <w:t xml:space="preserve"> (pp. 490--496). ACM. https://doi.org/10.1145/3448139.3448188</w:t>
      </w:r>
    </w:p>
    <w:p>
      <w:pPr>
        <w:spacing w:line="480" w:lineRule="auto" w:before="0" w:after="0"/>
        <w:ind w:left="720" w:hanging="720"/>
      </w:pPr>
      <w:r>
        <w:rPr>
          <w:rFonts w:ascii="Times New Roman" w:hAnsi="Times New Roman"/>
          <w:b w:val="0"/>
          <w:i w:val="0"/>
          <w:color w:val="000000"/>
          <w:sz w:val="24"/>
        </w:rPr>
        <w:t xml:space="preserve">Siau, K., &amp; Wang, W. (2018). Building trust in artificial intelligence, machine learning, and robotics. </w:t>
      </w:r>
      <w:r>
        <w:rPr>
          <w:rFonts w:ascii="Times New Roman" w:hAnsi="Times New Roman"/>
          <w:b w:val="0"/>
          <w:i/>
          <w:color w:val="000000"/>
          <w:sz w:val="24"/>
        </w:rPr>
        <w:t>Cutter Business Technology Journal, 31</w:t>
      </w:r>
      <w:r>
        <w:rPr>
          <w:rFonts w:ascii="Times New Roman" w:hAnsi="Times New Roman"/>
          <w:b w:val="0"/>
          <w:i w:val="0"/>
          <w:color w:val="000000"/>
          <w:sz w:val="24"/>
        </w:rPr>
        <w:t>(2), 47--53.</w:t>
      </w:r>
    </w:p>
    <w:p>
      <w:pPr>
        <w:spacing w:line="480" w:lineRule="auto" w:before="0" w:after="0"/>
        <w:ind w:left="720" w:hanging="720"/>
      </w:pPr>
      <w:r>
        <w:rPr>
          <w:rFonts w:ascii="Times New Roman" w:hAnsi="Times New Roman"/>
          <w:b w:val="0"/>
          <w:i w:val="0"/>
          <w:color w:val="000000"/>
          <w:sz w:val="24"/>
        </w:rPr>
        <w:t xml:space="preserve">Tversky, A., &amp; Kahneman, D. (1974). Judgment under uncertainty: Heuristics and biases. </w:t>
      </w:r>
      <w:r>
        <w:rPr>
          <w:rFonts w:ascii="Times New Roman" w:hAnsi="Times New Roman"/>
          <w:b w:val="0"/>
          <w:i/>
          <w:color w:val="000000"/>
          <w:sz w:val="24"/>
        </w:rPr>
        <w:t>Science, 185</w:t>
      </w:r>
      <w:r>
        <w:rPr>
          <w:rFonts w:ascii="Times New Roman" w:hAnsi="Times New Roman"/>
          <w:b w:val="0"/>
          <w:i w:val="0"/>
          <w:color w:val="000000"/>
          <w:sz w:val="24"/>
        </w:rPr>
        <w:t>(4157), 1124--1131. https://doi.org/10.1126/science.185.4157.1124</w:t>
      </w:r>
    </w:p>
    <w:p>
      <w:pPr>
        <w:spacing w:line="480" w:lineRule="auto" w:before="0" w:after="0"/>
        <w:ind w:left="720" w:hanging="720"/>
      </w:pPr>
      <w:r>
        <w:rPr>
          <w:rFonts w:ascii="Times New Roman" w:hAnsi="Times New Roman"/>
          <w:b w:val="0"/>
          <w:i w:val="0"/>
          <w:color w:val="000000"/>
          <w:sz w:val="24"/>
        </w:rPr>
        <w:t xml:space="preserve">VanLehn, K. (2011). The relative effectiveness of human tutoring, intelligent tutoring systems, and other tutoring systems. </w:t>
      </w:r>
      <w:r>
        <w:rPr>
          <w:rFonts w:ascii="Times New Roman" w:hAnsi="Times New Roman"/>
          <w:b w:val="0"/>
          <w:i/>
          <w:color w:val="000000"/>
          <w:sz w:val="24"/>
        </w:rPr>
        <w:t>Educational Psychologist, 46</w:t>
      </w:r>
      <w:r>
        <w:rPr>
          <w:rFonts w:ascii="Times New Roman" w:hAnsi="Times New Roman"/>
          <w:b w:val="0"/>
          <w:i w:val="0"/>
          <w:color w:val="000000"/>
          <w:sz w:val="24"/>
        </w:rPr>
        <w:t>(4), 197--221. https://doi.org/10.1080/00461520.2011.611369</w:t>
      </w:r>
    </w:p>
    <w:p>
      <w:pPr>
        <w:spacing w:line="480" w:lineRule="auto" w:before="0" w:after="0"/>
        <w:ind w:left="720" w:hanging="720"/>
      </w:pPr>
      <w:r>
        <w:rPr>
          <w:rFonts w:ascii="Times New Roman" w:hAnsi="Times New Roman"/>
          <w:b w:val="0"/>
          <w:i w:val="0"/>
          <w:color w:val="000000"/>
          <w:sz w:val="24"/>
        </w:rPr>
        <w:t xml:space="preserve">Zawacki-Richter, O., Marin, V. I., Bond, M., &amp; Gouverneur, F. (2019). Systematic review of research on artificial intelligence applications in higher education -- where are the educators? </w:t>
      </w:r>
      <w:r>
        <w:rPr>
          <w:rFonts w:ascii="Times New Roman" w:hAnsi="Times New Roman"/>
          <w:b w:val="0"/>
          <w:i/>
          <w:color w:val="000000"/>
          <w:sz w:val="24"/>
        </w:rPr>
        <w:t>International Journal of Educational Technology in Higher Education, 16</w:t>
      </w:r>
      <w:r>
        <w:rPr>
          <w:rFonts w:ascii="Times New Roman" w:hAnsi="Times New Roman"/>
          <w:b w:val="0"/>
          <w:i w:val="0"/>
          <w:color w:val="000000"/>
          <w:sz w:val="24"/>
        </w:rPr>
        <w:t>(1), 39. https://doi.org/10.1186/s41239-019-0171-0</w:t>
      </w:r>
    </w:p>
    <w:p>
      <w:pPr>
        <w:spacing w:line="480" w:lineRule="auto" w:before="0" w:after="0"/>
        <w:jc w:val="center"/>
      </w:pPr>
      <w:r>
        <w:rPr>
          <w:rFonts w:ascii="Times New Roman" w:hAnsi="Times New Roman"/>
          <w:b/>
          <w:i w:val="0"/>
          <w:color w:val="000000"/>
          <w:sz w:val="24"/>
        </w:rPr>
        <w:t>Appendix A: Supplementary Materials</w:t>
      </w:r>
    </w:p>
    <w:p>
      <w:pPr>
        <w:spacing w:line="480" w:lineRule="auto" w:before="0" w:after="0"/>
        <w:jc w:val="left"/>
      </w:pPr>
      <w:r>
        <w:rPr>
          <w:rFonts w:ascii="Times New Roman" w:hAnsi="Times New Roman"/>
          <w:b/>
          <w:i w:val="0"/>
          <w:color w:val="000000"/>
          <w:sz w:val="24"/>
        </w:rPr>
        <w:t>A.1 R Code Availability</w:t>
      </w:r>
    </w:p>
    <w:p>
      <w:pPr>
        <w:spacing w:line="480" w:lineRule="auto" w:before="0" w:after="0"/>
        <w:ind w:firstLine="720"/>
        <w:jc w:val="left"/>
      </w:pPr>
      <w:r>
        <w:rPr>
          <w:rFonts w:ascii="Times New Roman" w:hAnsi="Times New Roman"/>
          <w:b w:val="0"/>
          <w:i w:val="0"/>
          <w:color w:val="000000"/>
          <w:sz w:val="24"/>
        </w:rPr>
        <w:t>All R code used for data processing, model-based clustering (mclust), latent class growth analysis (lcmm), multinomial logistic regression, and ANOVA analyses is available in the supplementary materials accompanying this article.</w:t>
      </w:r>
    </w:p>
    <w:p>
      <w:pPr>
        <w:spacing w:line="480" w:lineRule="auto" w:before="0" w:after="0"/>
        <w:jc w:val="left"/>
      </w:pPr>
      <w:r>
        <w:rPr>
          <w:rFonts w:ascii="Times New Roman" w:hAnsi="Times New Roman"/>
          <w:b/>
          <w:i w:val="0"/>
          <w:color w:val="000000"/>
          <w:sz w:val="24"/>
        </w:rPr>
        <w:t>A.2 Data Availability</w:t>
      </w:r>
    </w:p>
    <w:p>
      <w:pPr>
        <w:spacing w:line="480" w:lineRule="auto" w:before="0" w:after="0"/>
        <w:ind w:firstLine="720"/>
        <w:jc w:val="left"/>
      </w:pPr>
      <w:r>
        <w:rPr>
          <w:rFonts w:ascii="Times New Roman" w:hAnsi="Times New Roman"/>
          <w:b w:val="0"/>
          <w:i w:val="0"/>
          <w:color w:val="000000"/>
          <w:sz w:val="24"/>
        </w:rPr>
        <w:t>This study used the publicly available EdNet KT3 dataset (Choi et al., 2020), accessible at https://github.com/riiid/ednet. The derived analytic datasets and variable definitions are described in the Method section and supplementary code.</w:t>
      </w:r>
    </w:p>
    <w:p>
      <w:pPr>
        <w:spacing w:line="480" w:lineRule="auto" w:before="0" w:after="0"/>
        <w:jc w:val="left"/>
      </w:pPr>
      <w:r>
        <w:rPr>
          <w:rFonts w:ascii="Times New Roman" w:hAnsi="Times New Roman"/>
          <w:b/>
          <w:i w:val="0"/>
          <w:color w:val="000000"/>
          <w:sz w:val="24"/>
        </w:rPr>
        <w:t>A.3 LCGA Model Fit Details</w:t>
      </w:r>
    </w:p>
    <w:p>
      <w:pPr>
        <w:spacing w:line="480" w:lineRule="auto" w:before="0" w:after="0"/>
        <w:ind w:firstLine="720"/>
        <w:jc w:val="left"/>
      </w:pPr>
      <w:r>
        <w:rPr>
          <w:rFonts w:ascii="Times New Roman" w:hAnsi="Times New Roman"/>
          <w:b w:val="0"/>
          <w:i w:val="0"/>
          <w:color w:val="000000"/>
          <w:sz w:val="24"/>
        </w:rPr>
        <w:t>Detailed model fit statistics for all LCGA solutions (G = 1 through G = 7), including log-likelihood values, number of parameters, BIC, AIC, and entropy (where available), are provided in Supplementary Table S1. Convergence diagnostics, including the number of random starts that converged to the best solution for each G, are provided in Supplementary Table S2. Class-specific growth parameter estimates (intercepts and slopes) with standard errors for the optimal 4-class solution are provided in Supplementary Table S3.</w:t>
      </w:r>
    </w:p>
    <w:p>
      <w:pPr>
        <w:spacing w:line="480" w:lineRule="auto" w:before="0" w:after="0"/>
        <w:ind w:firstLine="720"/>
        <w:jc w:val="left"/>
      </w:pPr>
      <w:r>
        <w:rPr>
          <w:rFonts w:ascii="Times New Roman" w:hAnsi="Times New Roman"/>
          <w:b w:val="0"/>
          <w:i/>
          <w:color w:val="000000"/>
          <w:sz w:val="24"/>
        </w:rPr>
        <w:t>Manuscript word count: approximately 12,500 words (excluding references and appendices)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