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jc w:val="center"/>
      </w:pPr>
      <w:r>
        <w:rPr>
          <w:rFonts w:ascii="Times New Roman" w:hAnsi="Times New Roman"/>
          <w:b/>
          <w:i w:val="0"/>
          <w:sz w:val="24"/>
        </w:rPr>
        <w:t>Trust Calibration in Educational AI:</w:t>
      </w:r>
    </w:p>
    <w:p>
      <w:pPr>
        <w:spacing w:before="0" w:after="0" w:line="480" w:lineRule="auto"/>
        <w:jc w:val="center"/>
      </w:pPr>
      <w:r>
        <w:rPr>
          <w:rFonts w:ascii="Times New Roman" w:hAnsi="Times New Roman"/>
          <w:b/>
          <w:i w:val="0"/>
          <w:sz w:val="24"/>
        </w:rPr>
        <w:t>A Process Model and Scale Development</w:t>
      </w:r>
    </w:p>
    <w:p>
      <w:pPr>
        <w:spacing w:before="0" w:after="0" w:line="480" w:lineRule="auto"/>
      </w:pPr>
    </w:p>
    <w:p>
      <w:pPr>
        <w:spacing w:before="0" w:after="0" w:line="480" w:lineRule="auto"/>
        <w:jc w:val="center"/>
      </w:pPr>
      <w:r>
        <w:rPr>
          <w:rFonts w:ascii="Times New Roman" w:hAnsi="Times New Roman"/>
          <w:b w:val="0"/>
          <w:i w:val="0"/>
          <w:sz w:val="24"/>
        </w:rPr>
        <w:t>Hosung You</w:t>
      </w:r>
    </w:p>
    <w:p>
      <w:pPr>
        <w:spacing w:before="0" w:after="0" w:line="480" w:lineRule="auto"/>
        <w:jc w:val="center"/>
      </w:pPr>
      <w:r>
        <w:rPr>
          <w:rFonts w:ascii="Times New Roman" w:hAnsi="Times New Roman"/>
          <w:b w:val="0"/>
          <w:i w:val="0"/>
          <w:sz w:val="24"/>
        </w:rPr>
        <w:t>Department of Artificial Intelligence Convergence Education</w:t>
      </w:r>
    </w:p>
    <w:p>
      <w:pPr>
        <w:spacing w:before="0" w:after="0" w:line="480" w:lineRule="auto"/>
        <w:jc w:val="center"/>
      </w:pPr>
      <w:r>
        <w:rPr>
          <w:rFonts w:ascii="Times New Roman" w:hAnsi="Times New Roman"/>
          <w:b w:val="0"/>
          <w:i w:val="0"/>
          <w:sz w:val="24"/>
        </w:rPr>
        <w:t>Sungkyunkwan University</w:t>
      </w:r>
    </w:p>
    <w:p>
      <w:pPr>
        <w:spacing w:before="0" w:after="0" w:line="480" w:lineRule="auto"/>
      </w:pPr>
    </w:p>
    <w:p>
      <w:pPr>
        <w:spacing w:before="0" w:after="0" w:line="480" w:lineRule="auto"/>
      </w:pPr>
    </w:p>
    <w:p>
      <w:pPr>
        <w:spacing w:before="0" w:after="0" w:line="480" w:lineRule="auto"/>
      </w:pPr>
    </w:p>
    <w:p>
      <w:pPr>
        <w:spacing w:before="0" w:after="0" w:line="480" w:lineRule="auto"/>
        <w:jc w:val="center"/>
      </w:pPr>
      <w:r>
        <w:rPr>
          <w:rFonts w:ascii="Times New Roman" w:hAnsi="Times New Roman"/>
          <w:b/>
          <w:i w:val="0"/>
          <w:sz w:val="24"/>
        </w:rPr>
        <w:t>Author Note</w:t>
      </w:r>
    </w:p>
    <w:p>
      <w:pPr>
        <w:spacing w:before="0" w:after="0" w:line="480" w:lineRule="auto"/>
        <w:ind w:firstLine="720"/>
      </w:pPr>
      <w:r>
        <w:rPr>
          <w:rFonts w:ascii="Times New Roman" w:hAnsi="Times New Roman"/>
          <w:b w:val="0"/>
          <w:i w:val="0"/>
          <w:sz w:val="24"/>
        </w:rPr>
        <w:t>Correspondence concerning this article should be addressed to Hosung You, Department of Artificial Intelligence Convergence Education, Sungkyunkwan University, Seoul, South Korea.</w:t>
      </w:r>
    </w:p>
    <w:p>
      <w:r>
        <w:br w:type="page"/>
      </w:r>
    </w:p>
    <w:p>
      <w:pPr>
        <w:spacing w:before="240" w:after="120" w:line="480" w:lineRule="auto"/>
        <w:jc w:val="center"/>
      </w:pPr>
      <w:r>
        <w:rPr>
          <w:rFonts w:ascii="Times New Roman" w:hAnsi="Times New Roman"/>
          <w:b/>
          <w:i w:val="0"/>
          <w:sz w:val="24"/>
        </w:rPr>
        <w:t>Abstract</w:t>
      </w:r>
    </w:p>
    <w:p>
      <w:pPr>
        <w:spacing w:before="0" w:after="0" w:line="480" w:lineRule="auto"/>
        <w:ind w:firstLine="720"/>
      </w:pPr>
      <w:r>
        <w:rPr>
          <w:rFonts w:ascii="Times New Roman" w:hAnsi="Times New Roman"/>
          <w:b w:val="0"/>
          <w:i w:val="0"/>
          <w:sz w:val="24"/>
        </w:rPr>
        <w:t>As artificial intelligence becomes increasingly integrated into educational settings, the question of whether learners can appropriately calibrate their trust in AI systems has become critical. A recent systematic review found that 83.5% of studies examining trust in educational AI fell below a calibration threshold, revealing a pervasive gap between learner trust and AI reliability. Yet no instrument currently exists to measure learners' readiness to calibrate their trust in AI tools. This study addresses this gap through two contributions. First, we propose a process model of trust calibration that synthesizes metacognitive monitoring theory, trust in automation research, and human agency theory into a theorized sequential framework: Awareness (recognizing one's trust state) → Judgment (evaluating trust appropriateness) → Action (actively adjusting trust and verifying AI outputs). Second, we develop and validate the Trust Calibration Readiness Scale (TCRS), a self-report instrument measuring learners' preparedness at each stage of this calibration process. In Study 1 (N = [TBC]), exploratory factor analysis was conducted to determine the scale's factor structure. In Study 2 (N = [TBC]), confirmatory factor analysis and convergent/discriminant validity evidence were examined. The results [TO BE COMPLETED]. The TCRS offers educators and researchers a practical tool for assessing and supporting learners' capacity to engage in appropriate trust calibration when using AI for learning.</w:t>
      </w:r>
    </w:p>
    <w:p>
      <w:pPr>
        <w:spacing w:before="0" w:after="0" w:line="480" w:lineRule="auto"/>
        <w:ind w:firstLine="720"/>
      </w:pPr>
      <w:r>
        <w:rPr>
          <w:rFonts w:ascii="Times New Roman" w:hAnsi="Times New Roman"/>
          <w:b w:val="0"/>
          <w:i/>
          <w:sz w:val="24"/>
        </w:rPr>
        <w:t xml:space="preserve">Keywords: </w:t>
      </w:r>
      <w:r>
        <w:rPr>
          <w:rFonts w:ascii="Times New Roman" w:hAnsi="Times New Roman"/>
          <w:b w:val="0"/>
          <w:i w:val="0"/>
          <w:sz w:val="24"/>
        </w:rPr>
        <w:t>trust calibration, AI literacy, educational AI, scale development, metacognition, self-regulated learning</w:t>
      </w:r>
    </w:p>
    <w:p>
      <w:pPr>
        <w:spacing w:before="240" w:after="120" w:line="480" w:lineRule="auto"/>
        <w:jc w:val="center"/>
      </w:pPr>
      <w:r>
        <w:rPr>
          <w:rFonts w:ascii="Times New Roman" w:hAnsi="Times New Roman"/>
          <w:b/>
          <w:i w:val="0"/>
          <w:sz w:val="24"/>
        </w:rPr>
        <w:t>Introduction</w:t>
      </w:r>
    </w:p>
    <w:p>
      <w:pPr>
        <w:spacing w:before="240" w:after="120" w:line="480" w:lineRule="auto"/>
        <w:jc w:val="left"/>
      </w:pPr>
      <w:r>
        <w:rPr>
          <w:rFonts w:ascii="Times New Roman" w:hAnsi="Times New Roman"/>
          <w:b/>
          <w:i w:val="0"/>
          <w:sz w:val="24"/>
        </w:rPr>
        <w:t>The Trust Calibration Problem in Educational AI</w:t>
      </w:r>
    </w:p>
    <w:p>
      <w:pPr>
        <w:spacing w:before="0" w:after="0" w:line="480" w:lineRule="auto"/>
        <w:ind w:firstLine="720"/>
      </w:pPr>
      <w:r>
        <w:rPr>
          <w:rFonts w:ascii="Times New Roman" w:hAnsi="Times New Roman"/>
          <w:b w:val="0"/>
          <w:i w:val="0"/>
          <w:sz w:val="24"/>
        </w:rPr>
        <w:t>The integration of artificial intelligence into education has accelerated dramatically, with AI tools now supporting writing, problem-solving, assessment, and personalized learning at unprecedented scale. As learners interact with AI systems of varying reliability across diverse tasks, a fundamental question emerges: Can learners appropriately calibrate their trust in these systems?</w:t>
      </w:r>
    </w:p>
    <w:p>
      <w:pPr>
        <w:spacing w:before="0" w:after="0" w:line="480" w:lineRule="auto"/>
        <w:ind w:firstLine="720"/>
      </w:pPr>
      <w:r>
        <w:rPr>
          <w:rFonts w:ascii="Times New Roman" w:hAnsi="Times New Roman"/>
          <w:b w:val="0"/>
          <w:i w:val="0"/>
          <w:sz w:val="24"/>
        </w:rPr>
        <w:t>Trust calibration—the correspondence between a learner's level of trust and an AI system's actual reliability—is critical because miscalibration carries significant consequences. Overtrust leads to misuse: uncritical acceptance of inaccurate AI outputs, reduced critical thinking, and degraded learning outcomes (Lee &amp; See, 2004; Parasuraman &amp; Riley, 1997). Distrust leads to disuse: rejection of helpful AI support, increased cognitive load, and missed learning opportunities (Lee &amp; See, 2004). Appropriate trust—calibrated trust that matches the AI's actual capabilities and limitations—enables learners to leverage AI's strengths while maintaining intellectual autonomy.</w:t>
      </w:r>
    </w:p>
    <w:p>
      <w:pPr>
        <w:spacing w:before="0" w:after="0" w:line="480" w:lineRule="auto"/>
        <w:ind w:firstLine="720"/>
      </w:pPr>
      <w:r>
        <w:rPr>
          <w:rFonts w:ascii="Times New Roman" w:hAnsi="Times New Roman"/>
          <w:b w:val="0"/>
          <w:i w:val="0"/>
          <w:sz w:val="24"/>
        </w:rPr>
        <w:t>The scope of this problem is substantial. A systematic review of 97 studies examining trust in educational AI (2015–2026) found that 83.5% fell below a calibration threshold, meaning that the vast majority of research documented situations where learner trust was misaligned with AI reliability ([Author], 2026). This "calibration gap" is not merely an academic concern; it has direct implications for whether AI-enhanced education fulfills its promise or undermines the learning it aims to support.</w:t>
      </w:r>
    </w:p>
    <w:p>
      <w:pPr>
        <w:spacing w:before="0" w:after="0" w:line="480" w:lineRule="auto"/>
        <w:ind w:firstLine="720"/>
      </w:pPr>
      <w:r>
        <w:rPr>
          <w:rFonts w:ascii="Times New Roman" w:hAnsi="Times New Roman"/>
          <w:b w:val="0"/>
          <w:i w:val="0"/>
          <w:sz w:val="24"/>
        </w:rPr>
        <w:t>Despite the growing recognition of this problem, the field lacks a measurement instrument that captures learners' readiness to calibrate their trust in AI. Existing AI literacy scales focus on general knowledge and skills (Carolus et al., 2023; Laupichler et al., 2023; Ng et al., 2024) but do not address the specific cognitive and behavioral processes involved in trust calibration. Trust measurement instruments capture trust attitudes (Jian et al., 2000) but not the capacity to calibrate those attitudes. This study addresses this gap by developing the Trust Calibration Readiness Scale (TCRS).</w:t>
      </w:r>
    </w:p>
    <w:p>
      <w:pPr>
        <w:spacing w:before="240" w:after="120" w:line="480" w:lineRule="auto"/>
        <w:jc w:val="left"/>
      </w:pPr>
      <w:r>
        <w:rPr>
          <w:rFonts w:ascii="Times New Roman" w:hAnsi="Times New Roman"/>
          <w:b/>
          <w:i w:val="0"/>
          <w:sz w:val="24"/>
        </w:rPr>
        <w:t>Distinguishing Trust from Trust Calibration</w:t>
      </w:r>
    </w:p>
    <w:p>
      <w:pPr>
        <w:spacing w:before="0" w:after="0" w:line="480" w:lineRule="auto"/>
        <w:ind w:firstLine="720"/>
      </w:pPr>
      <w:r>
        <w:rPr>
          <w:rFonts w:ascii="Times New Roman" w:hAnsi="Times New Roman"/>
          <w:b w:val="0"/>
          <w:i w:val="0"/>
          <w:sz w:val="24"/>
        </w:rPr>
        <w:t>A critical distinction must be drawn between trust and trust calibration, as the two are often conflated in educational AI research.</w:t>
      </w:r>
    </w:p>
    <w:p>
      <w:pPr>
        <w:spacing w:before="0" w:after="0" w:line="480" w:lineRule="auto"/>
        <w:ind w:firstLine="720"/>
      </w:pPr>
      <w:r>
        <w:rPr>
          <w:rFonts w:ascii="Times New Roman" w:hAnsi="Times New Roman"/>
          <w:b w:val="0"/>
          <w:i w:val="0"/>
          <w:sz w:val="24"/>
        </w:rPr>
      </w:r>
      <w:r>
        <w:rPr>
          <w:rFonts w:ascii="Times New Roman" w:hAnsi="Times New Roman"/>
          <w:b/>
          <w:i w:val="0"/>
          <w:sz w:val="24"/>
        </w:rPr>
        <w:t>Trust</w:t>
      </w:r>
      <w:r>
        <w:rPr>
          <w:rFonts w:ascii="Times New Roman" w:hAnsi="Times New Roman"/>
          <w:b w:val="0"/>
          <w:i w:val="0"/>
          <w:sz w:val="24"/>
        </w:rPr>
        <w:t xml:space="preserve"> is an attitude: a learner's willingness to be vulnerable to an AI system based on expectations about its future behavior (Lee &amp; See, 2004; Mayer et al., 1995). Trust can be measured as a level (high or low) and is influenced by factors such as perceived reliability, system transparency, and prior experience.</w:t>
      </w:r>
    </w:p>
    <w:p>
      <w:pPr>
        <w:spacing w:before="0" w:after="0" w:line="480" w:lineRule="auto"/>
        <w:ind w:firstLine="720"/>
      </w:pPr>
      <w:r>
        <w:rPr>
          <w:rFonts w:ascii="Times New Roman" w:hAnsi="Times New Roman"/>
          <w:b w:val="0"/>
          <w:i w:val="0"/>
          <w:sz w:val="24"/>
        </w:rPr>
      </w:r>
      <w:r>
        <w:rPr>
          <w:rFonts w:ascii="Times New Roman" w:hAnsi="Times New Roman"/>
          <w:b/>
          <w:i w:val="0"/>
          <w:sz w:val="24"/>
        </w:rPr>
        <w:t>Trust calibration</w:t>
      </w:r>
      <w:r>
        <w:rPr>
          <w:rFonts w:ascii="Times New Roman" w:hAnsi="Times New Roman"/>
          <w:b w:val="0"/>
          <w:i w:val="0"/>
          <w:sz w:val="24"/>
        </w:rPr>
        <w:t xml:space="preserve"> is a process: the degree to which a learner's trust level matches the AI system's actual reliability (Lee &amp; See, 2004). Calibration is not about having more or less trust; it is about having the </w:t>
      </w:r>
      <w:r>
        <w:rPr>
          <w:rFonts w:ascii="Times New Roman" w:hAnsi="Times New Roman"/>
          <w:b w:val="0"/>
          <w:i/>
          <w:sz w:val="24"/>
        </w:rPr>
        <w:t>right amount</w:t>
      </w:r>
      <w:r>
        <w:rPr>
          <w:rFonts w:ascii="Times New Roman" w:hAnsi="Times New Roman"/>
          <w:b w:val="0"/>
          <w:i w:val="0"/>
          <w:sz w:val="24"/>
        </w:rPr>
        <w:t xml:space="preserve"> of trust for the situation. A learner who highly trusts a highly reliable AI system is well-calibrated; a learner who highly trusts an unreliable AI system is miscalibrated (overtrusting).</w:t>
      </w:r>
    </w:p>
    <w:p>
      <w:pPr>
        <w:spacing w:before="0" w:after="0" w:line="480" w:lineRule="auto"/>
        <w:ind w:firstLine="720"/>
      </w:pPr>
      <w:r>
        <w:rPr>
          <w:rFonts w:ascii="Times New Roman" w:hAnsi="Times New Roman"/>
          <w:b w:val="0"/>
          <w:i w:val="0"/>
          <w:sz w:val="24"/>
        </w:rPr>
        <w:t xml:space="preserve">This distinction has a direct measurement implication. Existing trust scales (e.g., Trust in Automation Scale; Jian et al., 2000) measure trust level but cannot assess whether that trust is appropriately calibrated. Measuring calibration accuracy would require comparing self-reported trust against an objective reliability benchmark—a design that is infeasible for a general-purpose survey instrument. We therefore adopt a third approach: measuring </w:t>
      </w:r>
      <w:r>
        <w:rPr>
          <w:rFonts w:ascii="Times New Roman" w:hAnsi="Times New Roman"/>
          <w:b/>
          <w:i w:val="0"/>
          <w:sz w:val="24"/>
        </w:rPr>
        <w:t>trust calibration readiness</w:t>
      </w:r>
      <w:r>
        <w:rPr>
          <w:rFonts w:ascii="Times New Roman" w:hAnsi="Times New Roman"/>
          <w:b w:val="0"/>
          <w:i w:val="0"/>
          <w:sz w:val="24"/>
        </w:rPr>
        <w:t>—the knowledge, awareness, and behavioral disposition that enable a learner to engage in the calibration process. This approach is analogous to measuring metacognitive awareness (Schraw &amp; Dennison, 1994) rather than metacognitive accuracy, or measuring self-regulated learning strategies (Pintrich et al., 1993) rather than actual self-regulation outcomes.</w:t>
      </w:r>
    </w:p>
    <w:p>
      <w:pPr>
        <w:spacing w:before="240" w:after="120" w:line="480" w:lineRule="auto"/>
        <w:jc w:val="left"/>
      </w:pPr>
      <w:r>
        <w:rPr>
          <w:rFonts w:ascii="Times New Roman" w:hAnsi="Times New Roman"/>
          <w:b/>
          <w:i w:val="0"/>
          <w:sz w:val="24"/>
        </w:rPr>
        <w:t>Existing AI Literacy Scales and Their Limitations</w:t>
      </w:r>
    </w:p>
    <w:p>
      <w:pPr>
        <w:spacing w:before="0" w:after="0" w:line="480" w:lineRule="auto"/>
        <w:ind w:firstLine="720"/>
      </w:pPr>
      <w:r>
        <w:rPr>
          <w:rFonts w:ascii="Times New Roman" w:hAnsi="Times New Roman"/>
          <w:b w:val="0"/>
          <w:i w:val="0"/>
          <w:sz w:val="24"/>
        </w:rPr>
        <w:t>The field of AI literacy measurement has grown rapidly, with a systematic review identifying 16 distinct scales validated across 22 studies (Lintner, 2024). These instruments represent important advances but leave the trust calibration domain unaddressed.</w:t>
      </w:r>
    </w:p>
    <w:p>
      <w:pPr>
        <w:spacing w:before="0" w:after="0" w:line="480" w:lineRule="auto"/>
        <w:ind w:firstLine="720"/>
      </w:pPr>
      <w:r>
        <w:rPr>
          <w:rFonts w:ascii="Times New Roman" w:hAnsi="Times New Roman"/>
          <w:b w:val="0"/>
          <w:i w:val="0"/>
          <w:sz w:val="24"/>
        </w:rPr>
      </w:r>
      <w:r>
        <w:rPr>
          <w:rFonts w:ascii="Times New Roman" w:hAnsi="Times New Roman"/>
          <w:b/>
          <w:i w:val="0"/>
          <w:sz w:val="24"/>
        </w:rPr>
        <w:t>General AI literacy scales</w:t>
      </w:r>
      <w:r>
        <w:rPr>
          <w:rFonts w:ascii="Times New Roman" w:hAnsi="Times New Roman"/>
          <w:b w:val="0"/>
          <w:i w:val="0"/>
          <w:sz w:val="24"/>
        </w:rPr>
        <w:t xml:space="preserve"> measure knowledge and skills related to AI understanding and use. The Scale for the Assessment of Non-experts' AI Literacy (SNAIL; Laupichler et al., 2023) measures technical understanding, critical appraisal, and practical application across 31 items. The Meta AI Literacy Scale (MAILS; Carolus et al., 2023) uniquely includes psychological meta-competencies such as persuasion literacy and emotion regulation alongside AI knowledge. The AI Literacy Questionnaire (AILQ; Ng et al., 2024) adopts an Affective-Behavioural-Cognitive-Ethical framework validated with secondary students. More recently, performance-based assessments have emerged, including SAIL4ALL (Pinski et al., 2025), which measures AI literacy through knowledge tests rather than self-report.</w:t>
      </w:r>
    </w:p>
    <w:p>
      <w:pPr>
        <w:spacing w:before="0" w:after="0" w:line="480" w:lineRule="auto"/>
        <w:ind w:firstLine="720"/>
      </w:pPr>
      <w:r>
        <w:rPr>
          <w:rFonts w:ascii="Times New Roman" w:hAnsi="Times New Roman"/>
          <w:b w:val="0"/>
          <w:i w:val="0"/>
          <w:sz w:val="24"/>
        </w:rPr>
      </w:r>
      <w:r>
        <w:rPr>
          <w:rFonts w:ascii="Times New Roman" w:hAnsi="Times New Roman"/>
          <w:b/>
          <w:i w:val="0"/>
          <w:sz w:val="24"/>
        </w:rPr>
        <w:t>Generative AI literacy scales</w:t>
      </w:r>
      <w:r>
        <w:rPr>
          <w:rFonts w:ascii="Times New Roman" w:hAnsi="Times New Roman"/>
          <w:b w:val="0"/>
          <w:i w:val="0"/>
          <w:sz w:val="24"/>
        </w:rPr>
        <w:t xml:space="preserve"> have proliferated in response to the ChatGPT era. Multiple GAIL (Generative AI Literacy) scales have been proposed with varying structures, typically measuring awareness, usage, evaluation, and ethical dimensions of generative AI interaction.</w:t>
      </w:r>
    </w:p>
    <w:p>
      <w:pPr>
        <w:spacing w:before="0" w:after="0" w:line="480" w:lineRule="auto"/>
        <w:ind w:firstLine="720"/>
      </w:pPr>
      <w:r>
        <w:rPr>
          <w:rFonts w:ascii="Times New Roman" w:hAnsi="Times New Roman"/>
          <w:b w:val="0"/>
          <w:i w:val="0"/>
          <w:sz w:val="24"/>
        </w:rPr>
      </w:r>
      <w:r>
        <w:rPr>
          <w:rFonts w:ascii="Times New Roman" w:hAnsi="Times New Roman"/>
          <w:b/>
          <w:i w:val="0"/>
          <w:sz w:val="24"/>
        </w:rPr>
        <w:t>Collaborative AI metacognition scales</w:t>
      </w:r>
      <w:r>
        <w:rPr>
          <w:rFonts w:ascii="Times New Roman" w:hAnsi="Times New Roman"/>
          <w:b w:val="0"/>
          <w:i w:val="0"/>
          <w:sz w:val="24"/>
        </w:rPr>
        <w:t xml:space="preserve"> represent the closest existing construct to trust calibration readiness. Recent work on collaborative AI literacy and collaborative AI metacognition (2025) measures planning, monitoring, and evaluating in human-AI interaction through a distributed cognition lens.</w:t>
      </w:r>
    </w:p>
    <w:p>
      <w:pPr>
        <w:spacing w:before="0" w:after="0" w:line="480" w:lineRule="auto"/>
        <w:ind w:firstLine="720"/>
      </w:pPr>
      <w:r>
        <w:rPr>
          <w:rFonts w:ascii="Times New Roman" w:hAnsi="Times New Roman"/>
          <w:b w:val="0"/>
          <w:i w:val="0"/>
          <w:sz w:val="24"/>
        </w:rPr>
        <w:t>Despite this proliferation, no existing scale addresses three critical elements that trust calibration requires: (a) awareness of one's own trust state in relation to AI (not just general AI awareness), (b) evaluation of whether that trust is appropriate for the specific situation, and (c) active behavioral regulation of trust through verification and adjustment. The Trust Calibration Readiness Scale (TCRS) is designed to fill this gap.</w:t>
      </w:r>
    </w:p>
    <w:p>
      <w:pPr>
        <w:spacing w:before="240" w:after="120" w:line="480" w:lineRule="auto"/>
        <w:jc w:val="left"/>
      </w:pPr>
      <w:r>
        <w:rPr>
          <w:rFonts w:ascii="Times New Roman" w:hAnsi="Times New Roman"/>
          <w:b/>
          <w:i w:val="0"/>
          <w:sz w:val="24"/>
        </w:rPr>
        <w:t>Purpose of the Present Study</w:t>
      </w:r>
    </w:p>
    <w:p>
      <w:pPr>
        <w:spacing w:before="0" w:after="0" w:line="480" w:lineRule="auto"/>
        <w:ind w:firstLine="720"/>
      </w:pPr>
      <w:r>
        <w:rPr>
          <w:rFonts w:ascii="Times New Roman" w:hAnsi="Times New Roman"/>
          <w:b w:val="0"/>
          <w:i w:val="0"/>
          <w:sz w:val="24"/>
        </w:rPr>
        <w:t>This study has two aims:</w:t>
      </w:r>
    </w:p>
    <w:p>
      <w:pPr>
        <w:spacing w:before="0" w:after="0" w:line="480" w:lineRule="auto"/>
        <w:ind w:left="720" w:hanging="360"/>
      </w:pPr>
      <w:r>
        <w:rPr>
          <w:rFonts w:ascii="Times New Roman" w:hAnsi="Times New Roman"/>
          <w:b w:val="0"/>
          <w:i w:val="0"/>
          <w:sz w:val="24"/>
        </w:rPr>
        <w:t xml:space="preserve">1. </w:t>
      </w:r>
      <w:r>
        <w:rPr>
          <w:rFonts w:ascii="Times New Roman" w:hAnsi="Times New Roman"/>
          <w:b w:val="0"/>
          <w:i w:val="0"/>
          <w:sz w:val="24"/>
        </w:rPr>
      </w:r>
      <w:r>
        <w:rPr>
          <w:rFonts w:ascii="Times New Roman" w:hAnsi="Times New Roman"/>
          <w:b/>
          <w:i w:val="0"/>
          <w:sz w:val="24"/>
        </w:rPr>
        <w:t>Propose a process model of trust calibration</w:t>
      </w:r>
      <w:r>
        <w:rPr>
          <w:rFonts w:ascii="Times New Roman" w:hAnsi="Times New Roman"/>
          <w:b w:val="0"/>
          <w:i w:val="0"/>
          <w:sz w:val="24"/>
        </w:rPr>
        <w:t xml:space="preserve"> that integrates metacognitive monitoring theory, trust in automation research, and human agency theory to explain how learners calibrate their trust in AI systems.</w:t>
      </w:r>
    </w:p>
    <w:p>
      <w:pPr>
        <w:spacing w:before="0" w:after="0" w:line="480" w:lineRule="auto"/>
        <w:ind w:left="720" w:hanging="360"/>
      </w:pPr>
      <w:r>
        <w:rPr>
          <w:rFonts w:ascii="Times New Roman" w:hAnsi="Times New Roman"/>
          <w:b w:val="0"/>
          <w:i w:val="0"/>
          <w:sz w:val="24"/>
        </w:rPr>
        <w:t xml:space="preserve">2. </w:t>
      </w:r>
      <w:r>
        <w:rPr>
          <w:rFonts w:ascii="Times New Roman" w:hAnsi="Times New Roman"/>
          <w:b w:val="0"/>
          <w:i w:val="0"/>
          <w:sz w:val="24"/>
        </w:rPr>
      </w:r>
      <w:r>
        <w:rPr>
          <w:rFonts w:ascii="Times New Roman" w:hAnsi="Times New Roman"/>
          <w:b/>
          <w:i w:val="0"/>
          <w:sz w:val="24"/>
        </w:rPr>
        <w:t>Develop and validate the TCRS</w:t>
      </w:r>
      <w:r>
        <w:rPr>
          <w:rFonts w:ascii="Times New Roman" w:hAnsi="Times New Roman"/>
          <w:b w:val="0"/>
          <w:i w:val="0"/>
          <w:sz w:val="24"/>
        </w:rPr>
        <w:t>, a self-report instrument that measures learners' readiness to engage in each stage of the trust calibration process.</w:t>
      </w:r>
    </w:p>
    <w:p>
      <w:pPr>
        <w:spacing w:before="240" w:after="120" w:line="480" w:lineRule="auto"/>
        <w:jc w:val="center"/>
      </w:pPr>
      <w:r>
        <w:rPr>
          <w:rFonts w:ascii="Times New Roman" w:hAnsi="Times New Roman"/>
          <w:b/>
          <w:i w:val="0"/>
          <w:sz w:val="24"/>
        </w:rPr>
        <w:t>Theoretical Framework: A Process Model of Trust Calibration</w:t>
      </w:r>
    </w:p>
    <w:p>
      <w:pPr>
        <w:spacing w:before="240" w:after="120" w:line="480" w:lineRule="auto"/>
        <w:jc w:val="left"/>
      </w:pPr>
      <w:r>
        <w:rPr>
          <w:rFonts w:ascii="Times New Roman" w:hAnsi="Times New Roman"/>
          <w:b/>
          <w:i w:val="0"/>
          <w:sz w:val="24"/>
        </w:rPr>
        <w:t>Calibration as a Process, Not a Trait</w:t>
      </w:r>
    </w:p>
    <w:p>
      <w:pPr>
        <w:spacing w:before="0" w:after="0" w:line="480" w:lineRule="auto"/>
        <w:ind w:firstLine="720"/>
      </w:pPr>
      <w:r>
        <w:rPr>
          <w:rFonts w:ascii="Times New Roman" w:hAnsi="Times New Roman"/>
          <w:b w:val="0"/>
          <w:i w:val="0"/>
          <w:sz w:val="24"/>
        </w:rPr>
        <w:t>We propose that trust calibration is not a stable individual characteristic but a dynamic process that learners engage in (or fail to engage in) when interacting with AI systems. This process involves three cognitive-behavioral components with a theorized ordering, each grounded in established theory.</w:t>
      </w:r>
    </w:p>
    <w:p>
      <w:pPr>
        <w:spacing w:before="0" w:after="0" w:line="480" w:lineRule="auto"/>
        <w:ind w:firstLine="720"/>
      </w:pPr>
      <w:r>
        <w:rPr>
          <w:rFonts w:ascii="Times New Roman" w:hAnsi="Times New Roman"/>
          <w:b w:val="0"/>
          <w:i w:val="0"/>
          <w:sz w:val="24"/>
        </w:rPr>
        <w:t>This study adopts a post-positivist, critical realist position: we assume that trust calibration is a real cognitive-behavioral process with an underlying structure, while acknowledging that our measurement of it is fallible and theory-laden. This paradigmatic stance justifies the use of latent variable measurement for constructs that are real but not directly observable, and motivates the readiness framing—measuring dispositional capacity rather than claiming direct access to the calibration process itself.</w:t>
      </w:r>
    </w:p>
    <w:p>
      <w:pPr>
        <w:spacing w:before="0" w:after="0" w:line="480" w:lineRule="auto"/>
        <w:ind w:firstLine="720"/>
      </w:pPr>
      <w:r>
        <w:rPr>
          <w:rFonts w:ascii="Times New Roman" w:hAnsi="Times New Roman"/>
          <w:b w:val="0"/>
          <w:i w:val="0"/>
          <w:sz w:val="24"/>
        </w:rPr>
        <w:t>The model was developed through a deliberate theoretical construction that draws selectively from three established traditions not previously connected in the educational AI literature: metacognitive monitoring from self-regulated learning theory, trust dynamics from human-automation interaction research, and intentional self-regulation from social cognitive theory. We do not claim to import the full scope of any single framework; rather, each theory contributes a specific explanatory function to the calibration process—metacognition provides the awareness mechanism, trust theory identifies the variable being calibrated, and agency theory supplies the regulatory mechanism.</w:t>
      </w:r>
    </w:p>
    <w:p>
      <w:pPr>
        <w:spacing w:before="240" w:after="120" w:line="480" w:lineRule="auto"/>
        <w:jc w:val="left"/>
      </w:pPr>
      <w:r>
        <w:rPr>
          <w:rFonts w:ascii="Times New Roman" w:hAnsi="Times New Roman"/>
          <w:b/>
          <w:i w:val="0"/>
          <w:sz w:val="24"/>
        </w:rPr>
        <w:t>The Trust Calibration Process Model</w:t>
      </w:r>
    </w:p>
    <w:p>
      <w:pPr>
        <w:spacing w:before="0" w:after="0" w:line="480" w:lineRule="auto"/>
        <w:ind w:firstLine="720"/>
      </w:pPr>
      <w:r>
        <w:rPr>
          <w:rFonts w:ascii="Times New Roman" w:hAnsi="Times New Roman"/>
          <w:b w:val="0"/>
          <w:i w:val="0"/>
          <w:sz w:val="24"/>
        </w:rPr>
        <w:t>The process model consists of four components arranged in a theorized sequential relationship (see Figure 1). While we propose a sequential ordering from awareness through evaluation to action, we acknowledge that in practice, these components may involve feedback loops and parallel processing. The theorized sequence represents the canonical pathway of deliberate calibration; recursive cycles in which calibration outcomes inform subsequent metacognitive monitoring are expected and consistent with the model.</w:t>
      </w:r>
    </w:p>
    <w:p>
      <w:pPr>
        <w:spacing w:before="0" w:after="0" w:line="480" w:lineRule="auto"/>
        <w:ind w:firstLine="720"/>
      </w:pPr>
      <w:r>
        <w:rPr>
          <w:rFonts w:ascii="Times New Roman" w:hAnsi="Times New Roman"/>
          <w:b w:val="0"/>
          <w:i w:val="0"/>
          <w:sz w:val="24"/>
        </w:rPr>
      </w:r>
      <w:r>
        <w:rPr>
          <w:rFonts w:ascii="Times New Roman" w:hAnsi="Times New Roman"/>
          <w:b/>
          <w:i w:val="0"/>
          <w:sz w:val="24"/>
        </w:rPr>
        <w:t>Metacognition (Foundation).</w:t>
      </w:r>
      <w:r>
        <w:rPr>
          <w:rFonts w:ascii="Times New Roman" w:hAnsi="Times New Roman"/>
          <w:b w:val="0"/>
          <w:i w:val="0"/>
          <w:sz w:val="24"/>
        </w:rPr>
        <w:t xml:space="preserve"> The process begins with self-monitoring: the learner's awareness of their own trust state when interacting with an AI system. Drawing on Winne and Hadwin's (1998) model of self-regulated learning, this stage encompasses the learner's recognition of how much they trust the AI, their understanding of what the AI system is designed to do, and their awareness of the task context in which the AI is being used. Without this metacognitive foundation—without knowing "where they are" in the trust-reliability space—calibration cannot begin.</w:t>
      </w:r>
    </w:p>
    <w:p>
      <w:pPr>
        <w:spacing w:before="0" w:after="0" w:line="480" w:lineRule="auto"/>
        <w:ind w:firstLine="720"/>
      </w:pPr>
      <w:r>
        <w:rPr>
          <w:rFonts w:ascii="Times New Roman" w:hAnsi="Times New Roman"/>
          <w:b w:val="0"/>
          <w:i w:val="0"/>
          <w:sz w:val="24"/>
        </w:rPr>
      </w:r>
      <w:r>
        <w:rPr>
          <w:rFonts w:ascii="Times New Roman" w:hAnsi="Times New Roman"/>
          <w:b/>
          <w:i w:val="0"/>
          <w:sz w:val="24"/>
        </w:rPr>
        <w:t>Trust Evaluation (Variable).</w:t>
      </w:r>
      <w:r>
        <w:rPr>
          <w:rFonts w:ascii="Times New Roman" w:hAnsi="Times New Roman"/>
          <w:b w:val="0"/>
          <w:i w:val="0"/>
          <w:sz w:val="24"/>
        </w:rPr>
        <w:t xml:space="preserve"> Trust evaluation is the cognitive operation of assessing the variable being calibrated. Following Lee and See (2004), we conceptualize trust as a force that can push the learner away from the optimal point: upward toward overtrust (leading to misuse) or downward toward distrust (leading to disuse). Critically, trust in this model is not the agent of calibration but the object of calibration. The learner must evaluate whether their current trust level is appropriate for the situation—whether they are overtrusting, distrusting, or appropriately calibrated. The term "Trust Evaluation" distinguishes this cognitive operation (evaluating the appropriateness of one's trust) from the trust attitude itself.</w:t>
      </w:r>
    </w:p>
    <w:p>
      <w:pPr>
        <w:spacing w:before="0" w:after="0" w:line="480" w:lineRule="auto"/>
        <w:ind w:firstLine="720"/>
      </w:pPr>
      <w:r>
        <w:rPr>
          <w:rFonts w:ascii="Times New Roman" w:hAnsi="Times New Roman"/>
          <w:b w:val="0"/>
          <w:i w:val="0"/>
          <w:sz w:val="24"/>
        </w:rPr>
      </w:r>
      <w:r>
        <w:rPr>
          <w:rFonts w:ascii="Times New Roman" w:hAnsi="Times New Roman"/>
          <w:b/>
          <w:i w:val="0"/>
          <w:sz w:val="24"/>
        </w:rPr>
        <w:t>Human Agency (Mechanism).</w:t>
      </w:r>
      <w:r>
        <w:rPr>
          <w:rFonts w:ascii="Times New Roman" w:hAnsi="Times New Roman"/>
          <w:b w:val="0"/>
          <w:i w:val="0"/>
          <w:sz w:val="24"/>
        </w:rPr>
        <w:t xml:space="preserve"> Agency is the mechanism that enables calibration. Drawing on Bandura's (2001) theory of human agency—specifically the components of intentionality, forethought, self-reactiveness, and self-reflectiveness—this stage encompasses the learner's active behaviors to verify AI outputs, compare them against other sources, and adjust their reliance accordingly. Agency transforms the learner from a passive trust holder into an active trust regulator.</w:t>
      </w:r>
    </w:p>
    <w:p>
      <w:pPr>
        <w:spacing w:before="0" w:after="0" w:line="480" w:lineRule="auto"/>
        <w:ind w:firstLine="720"/>
      </w:pPr>
      <w:r>
        <w:rPr>
          <w:rFonts w:ascii="Times New Roman" w:hAnsi="Times New Roman"/>
          <w:b w:val="0"/>
          <w:i w:val="0"/>
          <w:sz w:val="24"/>
        </w:rPr>
      </w:r>
      <w:r>
        <w:rPr>
          <w:rFonts w:ascii="Times New Roman" w:hAnsi="Times New Roman"/>
          <w:b/>
          <w:i w:val="0"/>
          <w:sz w:val="24"/>
        </w:rPr>
        <w:t>Calibration (Outcome).</w:t>
      </w:r>
      <w:r>
        <w:rPr>
          <w:rFonts w:ascii="Times New Roman" w:hAnsi="Times New Roman"/>
          <w:b w:val="0"/>
          <w:i w:val="0"/>
          <w:sz w:val="24"/>
        </w:rPr>
        <w:t xml:space="preserve"> The outcome of this process is calibrated trust: a state in which the learner's trust level appropriately matches the AI system's actual reliability for the specific task and context. This is the "optimal point" on the regression line where trust corresponds to reliability (Figure 1a).</w:t>
      </w:r>
    </w:p>
    <w:p>
      <w:pPr>
        <w:spacing w:before="0" w:after="0" w:line="480" w:lineRule="auto"/>
        <w:ind w:firstLine="720"/>
      </w:pPr>
      <w:r>
        <w:rPr>
          <w:rFonts w:ascii="Times New Roman" w:hAnsi="Times New Roman"/>
          <w:b w:val="0"/>
          <w:i w:val="0"/>
          <w:sz w:val="24"/>
        </w:rPr>
        <w:t>It is important to note that the process model describes deliberate trust calibration—what dual-process theory terms System 2 processing (Kahneman, 2011). Much of everyday trust in AI may operate through automatic, heuristic-based responses (System 1): a learner may habitually accept AI outputs without conscious evaluation, or reflexively reject them based on prior negative experience. These automatic trust responses can preempt the deliberate calibration process entirely—a phenomenon well-documented in automation complacency research (Parasuraman &amp; Manzey, 2010). The TCRS, therefore, measures readiness to engage in deliberate calibration, not the automatic trust processes that may bypass it. This boundary condition also helps explain why calibration readiness (as measured by self-report) may not perfectly predict calibration accuracy in practice: a learner may possess the requisite awareness and evaluative capacity yet still default to automatic trust responses under cognitive load or time pressure.</w:t>
      </w:r>
    </w:p>
    <w:p>
      <w:pPr>
        <w:spacing w:before="240" w:after="120" w:line="480" w:lineRule="auto"/>
        <w:jc w:val="left"/>
      </w:pPr>
      <w:r>
        <w:rPr>
          <w:rFonts w:ascii="Times New Roman" w:hAnsi="Times New Roman"/>
          <w:b/>
          <w:i w:val="0"/>
          <w:sz w:val="24"/>
        </w:rPr>
        <w:t>The Trust Calibration Space</w:t>
      </w:r>
    </w:p>
    <w:p>
      <w:pPr>
        <w:spacing w:before="0" w:after="0" w:line="480" w:lineRule="auto"/>
        <w:ind w:firstLine="720"/>
      </w:pPr>
      <w:r>
        <w:rPr>
          <w:rFonts w:ascii="Times New Roman" w:hAnsi="Times New Roman"/>
          <w:b w:val="0"/>
          <w:i w:val="0"/>
          <w:sz w:val="24"/>
        </w:rPr>
        <w:t xml:space="preserve">The process model can be visualized through what we term the </w:t>
      </w:r>
      <w:r>
        <w:rPr>
          <w:rFonts w:ascii="Times New Roman" w:hAnsi="Times New Roman"/>
          <w:b w:val="0"/>
          <w:i/>
          <w:sz w:val="24"/>
        </w:rPr>
        <w:t>trust calibration space</w:t>
      </w:r>
      <w:r>
        <w:rPr>
          <w:rFonts w:ascii="Times New Roman" w:hAnsi="Times New Roman"/>
          <w:b w:val="0"/>
          <w:i w:val="0"/>
          <w:sz w:val="24"/>
        </w:rPr>
        <w:t xml:space="preserve"> (Figure 1a). In this space, the x-axis represents AI reliability (actual system performance) and the y-axis represents the learner's trust level. The diagonal line represents perfect calibration—the ideal where trust precisely matches reliability. Points above this line represent overtrust; points below represent distrust.</w:t>
      </w:r>
    </w:p>
    <w:p>
      <w:pPr>
        <w:spacing w:before="0" w:after="0" w:line="480" w:lineRule="auto"/>
        <w:ind w:firstLine="720"/>
      </w:pPr>
      <w:r>
        <w:rPr>
          <w:rFonts w:ascii="Times New Roman" w:hAnsi="Times New Roman"/>
          <w:b w:val="0"/>
          <w:i w:val="0"/>
          <w:sz w:val="24"/>
        </w:rPr>
        <w:t>Within this space, metacognition enables the learner to locate themselves ("Where am I?"), trust evaluation enables them to assess the distance from the calibration line ("Am I over- or under-trusting?"), and agency provides the mechanism to move toward the line ("Adjust"). This visual metaphor makes explicit what the process model describes abstractly: calibration is the act of moving toward appropriate trust through awareness, evaluation, and intentional adjustment.</w:t>
      </w:r>
    </w:p>
    <w:p>
      <w:pPr>
        <w:spacing w:before="0" w:after="0" w:line="480" w:lineRule="auto"/>
        <w:ind w:firstLine="720"/>
      </w:pPr>
      <w:r>
        <w:rPr>
          <w:rFonts w:ascii="Times New Roman" w:hAnsi="Times New Roman"/>
          <w:b w:val="0"/>
          <w:i w:val="0"/>
          <w:sz w:val="24"/>
        </w:rPr>
        <w:t>It is important to note that the TCRS measures learners' readiness to engage in the calibration process, not their actual position in the trust calibration space. Locating a learner's precise coordinates in this space would require an objective measure of both the learner's trust level and the AI system's reliability—a task-specific, context-dependent assessment that is beyond the scope of a general-purpose survey instrument. The trust calibration space serves as a conceptual framework for understanding what calibration means; the TCRS serves as a practical tool for assessing whether learners are prepared to engage in it.</w:t>
      </w:r>
    </w:p>
    <w:p>
      <w:pPr>
        <w:spacing w:before="240" w:after="120" w:line="480" w:lineRule="auto"/>
        <w:jc w:val="left"/>
      </w:pPr>
      <w:r>
        <w:rPr>
          <w:rFonts w:ascii="Times New Roman" w:hAnsi="Times New Roman"/>
          <w:b/>
          <w:i w:val="0"/>
          <w:sz w:val="24"/>
        </w:rPr>
        <w:t>From Process Model to Measurement: Three Subscales</w:t>
      </w:r>
    </w:p>
    <w:p>
      <w:pPr>
        <w:spacing w:before="0" w:after="0" w:line="480" w:lineRule="auto"/>
        <w:ind w:firstLine="720"/>
      </w:pPr>
      <w:r>
        <w:rPr>
          <w:rFonts w:ascii="Times New Roman" w:hAnsi="Times New Roman"/>
          <w:b w:val="0"/>
          <w:i w:val="0"/>
          <w:sz w:val="24"/>
        </w:rPr>
        <w:t>The process model yields three measurable constructs that correspond to the first three stages of the calibration process. The fourth component (calibration outcome) is not directly measured because the TCRS assesses readiness rather than accuracy.</w:t>
      </w:r>
    </w:p>
    <w:p>
      <w:pPr>
        <w:spacing w:before="0" w:after="0" w:line="480" w:lineRule="auto"/>
        <w:ind w:firstLine="720"/>
      </w:pPr>
      <w:r>
        <w:rPr>
          <w:rFonts w:ascii="Times New Roman" w:hAnsi="Times New Roman"/>
          <w:b w:val="0"/>
          <w:i w:val="0"/>
          <w:sz w:val="24"/>
        </w:rPr>
      </w:r>
      <w:r>
        <w:rPr>
          <w:rFonts w:ascii="Times New Roman" w:hAnsi="Times New Roman"/>
          <w:b/>
          <w:i w:val="0"/>
          <w:sz w:val="24"/>
        </w:rPr>
        <w:t>Calibration Awareness (CA-Aw)</w:t>
      </w:r>
      <w:r>
        <w:rPr>
          <w:rFonts w:ascii="Times New Roman" w:hAnsi="Times New Roman"/>
          <w:b w:val="0"/>
          <w:i w:val="0"/>
          <w:sz w:val="24"/>
        </w:rPr>
        <w:t xml:space="preserve"> captures the recognition stage: the learner's awareness of their own trust state, their understanding of the AI system's capabilities, and their recognition of task context factors that should influence trust. This subscale draws primarily on metacognitive monitoring theory (Winne &amp; Hadwin, 1998; Efklides, 2006), particularly the concepts of self-monitoring and metacognitive experiences. Winne and Hadwin's model contributes to this subscale through the monitoring processes central to Phases 1–3 of their SRL framework—the learner's capacity to observe and represent their own cognitive states.</w:t>
      </w:r>
    </w:p>
    <w:p>
      <w:pPr>
        <w:spacing w:before="0" w:after="0" w:line="480" w:lineRule="auto"/>
        <w:ind w:firstLine="720"/>
      </w:pPr>
      <w:r>
        <w:rPr>
          <w:rFonts w:ascii="Times New Roman" w:hAnsi="Times New Roman"/>
          <w:b w:val="0"/>
          <w:i w:val="0"/>
          <w:sz w:val="24"/>
        </w:rPr>
      </w:r>
      <w:r>
        <w:rPr>
          <w:rFonts w:ascii="Times New Roman" w:hAnsi="Times New Roman"/>
          <w:b/>
          <w:i w:val="0"/>
          <w:sz w:val="24"/>
        </w:rPr>
        <w:t>Calibration Judgment (CA-Jd)</w:t>
      </w:r>
      <w:r>
        <w:rPr>
          <w:rFonts w:ascii="Times New Roman" w:hAnsi="Times New Roman"/>
          <w:b w:val="0"/>
          <w:i w:val="0"/>
          <w:sz w:val="24"/>
        </w:rPr>
        <w:t xml:space="preserve"> captures the evaluation stage: the learner's tendency to evaluate whether their trust level is appropriate for the situation, to detect discrepancies between trust and reliability, and to consider contextual factors that should moderate their trust. This subscale draws on trust calibration theory (Lee &amp; See, 2004) and the concept of epistemic vigilance—the capacity to evaluate the reliability of information sources and the plausibility of claims (Sperber et al., 2010). The judgment dimension is further strengthened by its connection to epistemic cognition research (Barzilai &amp; Zohar, 2014), which reconceptualizes personal epistemology as a form of metacognition. This lens positions CA-Jd not merely as generic critical evaluation but as a domain-specific epistemic practice: evaluating the trustworthiness of AI-generated knowledge claims based on their source characteristics, internal coherence, and alignment with existing knowledge.</w:t>
      </w:r>
    </w:p>
    <w:p>
      <w:pPr>
        <w:spacing w:before="0" w:after="0" w:line="480" w:lineRule="auto"/>
        <w:ind w:firstLine="720"/>
      </w:pPr>
      <w:r>
        <w:rPr>
          <w:rFonts w:ascii="Times New Roman" w:hAnsi="Times New Roman"/>
          <w:b w:val="0"/>
          <w:i w:val="0"/>
          <w:sz w:val="24"/>
        </w:rPr>
      </w:r>
      <w:r>
        <w:rPr>
          <w:rFonts w:ascii="Times New Roman" w:hAnsi="Times New Roman"/>
          <w:b/>
          <w:i w:val="0"/>
          <w:sz w:val="24"/>
        </w:rPr>
        <w:t>Calibration Action (CA-Ac)</w:t>
      </w:r>
      <w:r>
        <w:rPr>
          <w:rFonts w:ascii="Times New Roman" w:hAnsi="Times New Roman"/>
          <w:b w:val="0"/>
          <w:i w:val="0"/>
          <w:sz w:val="24"/>
        </w:rPr>
        <w:t xml:space="preserve"> captures the regulation stage: the learner's active behaviors to verify AI outputs, adjust their reliance based on evidence, and employ deliberate strategies for trust regulation. This subscale draws on Bandura's (2001) agency theory and the self-regulation component of SRL theory (Winne &amp; Hadwin, 1998). Notably, Winne and Hadwin's contribution extends to this subscale as well: Phase 4 of their model—adaptation and meta-strategic regulation—maps directly onto the learner's capacity to revise their evaluation strategies and adjust their approach to trust calibration over time.</w:t>
      </w:r>
    </w:p>
    <w:p>
      <w:pPr>
        <w:spacing w:before="0" w:after="0" w:line="480" w:lineRule="auto"/>
        <w:ind w:firstLine="720"/>
      </w:pPr>
      <w:r>
        <w:rPr>
          <w:rFonts w:ascii="Times New Roman" w:hAnsi="Times New Roman"/>
          <w:b w:val="0"/>
          <w:i w:val="0"/>
          <w:sz w:val="24"/>
        </w:rPr>
        <w:t>It is important to note that these three subscales measure components of a theorized process sequence, yet they are assessed as parallel subscales within one instrument. This approach follows established precedent. The Motivated Strategies for Learning Questionnaire (MSLQ; Pintrich et al., 1993) measures planning, monitoring, and regulation—theoretically sequential SRL stages—as parallel subscales. The Metacognitive Awareness Inventory (MAI; Schraw &amp; Dennison, 1994) measures knowledge of cognition and regulation of cognition as parallel subscales despite their theoretical sequentiality. In each case, the instrument captures the learner's readiness or capacity at each stage, not the real-time execution of the process.</w:t>
      </w:r>
    </w:p>
    <w:p>
      <w:pPr>
        <w:spacing w:before="240" w:after="0" w:line="480" w:lineRule="auto"/>
        <w:jc w:val="left"/>
      </w:pPr>
      <w:r>
        <w:rPr>
          <w:rFonts w:ascii="Times New Roman" w:hAnsi="Times New Roman"/>
          <w:b/>
          <w:i/>
          <w:sz w:val="24"/>
        </w:rPr>
        <w:t>Figure 1</w:t>
      </w:r>
    </w:p>
    <w:p>
      <w:pPr>
        <w:spacing w:before="0" w:after="120" w:line="480" w:lineRule="auto"/>
        <w:jc w:val="left"/>
      </w:pPr>
      <w:r>
        <w:rPr>
          <w:rFonts w:ascii="Times New Roman" w:hAnsi="Times New Roman"/>
          <w:b w:val="0"/>
          <w:i w:val="0"/>
          <w:sz w:val="24"/>
        </w:rPr>
        <w:t>The Trust Calibration Process Model. Panel (a) depicts the trust calibration space where the diagonal line represents perfect calibration (trust matches AI reliability). Over-trust (above line) leads to misuse; distrust (below line) leads to disuse. Metacognition enables learners to recognize their position in this space, while agency provides the mechanism to adjust toward calibration. Note: The TCRS measures readiness to engage in this calibration process, not the learner’s position in this space. Panel (b) shows the process model with recursive feedback: Metacognition (foundation) → Trust Evaluation (variable being calibrated) → Human Agency (regulation mechanism) → Calibration (outcome), with a feedback loop from Calibration back to Metacognition. Corresponding scale subscales are mapped to each component.</w:t>
      </w:r>
    </w:p>
    <w:p>
      <w:pPr>
        <w:spacing w:before="0" w:after="240" w:line="240" w:lineRule="auto"/>
        <w:jc w:val="center"/>
      </w:pPr>
      <w:r>
        <w:drawing>
          <wp:inline xmlns:a="http://schemas.openxmlformats.org/drawingml/2006/main" xmlns:pic="http://schemas.openxmlformats.org/drawingml/2006/picture">
            <wp:extent cx="5943600" cy="3456953"/>
            <wp:docPr id="1" name="Picture 1"/>
            <wp:cNvGraphicFramePr>
              <a:graphicFrameLocks noChangeAspect="1"/>
            </wp:cNvGraphicFramePr>
            <a:graphic>
              <a:graphicData uri="http://schemas.openxmlformats.org/drawingml/2006/picture">
                <pic:pic>
                  <pic:nvPicPr>
                    <pic:cNvPr id="0" name="Figure_1_Trust_Calibration_Process_Model_v2.png"/>
                    <pic:cNvPicPr/>
                  </pic:nvPicPr>
                  <pic:blipFill>
                    <a:blip r:embed="rId9"/>
                    <a:stretch>
                      <a:fillRect/>
                    </a:stretch>
                  </pic:blipFill>
                  <pic:spPr>
                    <a:xfrm>
                      <a:off x="0" y="0"/>
                      <a:ext cx="5943600" cy="3456953"/>
                    </a:xfrm>
                    <a:prstGeom prst="rect"/>
                  </pic:spPr>
                </pic:pic>
              </a:graphicData>
            </a:graphic>
          </wp:inline>
        </w:drawing>
      </w:r>
    </w:p>
    <w:p>
      <w:pPr>
        <w:spacing w:before="240" w:after="120" w:line="480" w:lineRule="auto"/>
        <w:jc w:val="center"/>
      </w:pPr>
      <w:r>
        <w:rPr>
          <w:rFonts w:ascii="Times New Roman" w:hAnsi="Times New Roman"/>
          <w:b/>
          <w:i w:val="0"/>
          <w:sz w:val="24"/>
        </w:rPr>
        <w:t>The Present Study</w:t>
      </w:r>
    </w:p>
    <w:p>
      <w:pPr>
        <w:spacing w:before="240" w:after="120" w:line="480" w:lineRule="auto"/>
        <w:jc w:val="left"/>
      </w:pPr>
      <w:r>
        <w:rPr>
          <w:rFonts w:ascii="Times New Roman" w:hAnsi="Times New Roman"/>
          <w:b/>
          <w:i w:val="0"/>
          <w:sz w:val="24"/>
        </w:rPr>
        <w:t>Scale Development Overview</w:t>
      </w:r>
    </w:p>
    <w:p>
      <w:pPr>
        <w:spacing w:before="0" w:after="0" w:line="480" w:lineRule="auto"/>
        <w:ind w:firstLine="720"/>
      </w:pPr>
      <w:r>
        <w:rPr>
          <w:rFonts w:ascii="Times New Roman" w:hAnsi="Times New Roman"/>
          <w:b w:val="0"/>
          <w:i w:val="0"/>
          <w:sz w:val="24"/>
        </w:rPr>
        <w:t>The Trust Calibration Readiness Scale (TCRS) was developed following DeVellis and Thorpe's (2022) guidelines for scale development. The development process consisted of five phases:</w:t>
      </w:r>
    </w:p>
    <w:p>
      <w:pPr>
        <w:spacing w:before="0" w:after="0" w:line="480" w:lineRule="auto"/>
        <w:ind w:left="720" w:hanging="360"/>
      </w:pPr>
      <w:r>
        <w:rPr>
          <w:rFonts w:ascii="Times New Roman" w:hAnsi="Times New Roman"/>
          <w:b w:val="0"/>
          <w:i w:val="0"/>
          <w:sz w:val="24"/>
        </w:rPr>
        <w:t xml:space="preserve">1. </w:t>
      </w:r>
      <w:r>
        <w:rPr>
          <w:rFonts w:ascii="Times New Roman" w:hAnsi="Times New Roman"/>
          <w:b w:val="0"/>
          <w:i w:val="0"/>
          <w:sz w:val="24"/>
        </w:rPr>
      </w:r>
      <w:r>
        <w:rPr>
          <w:rFonts w:ascii="Times New Roman" w:hAnsi="Times New Roman"/>
          <w:b/>
          <w:i w:val="0"/>
          <w:sz w:val="24"/>
        </w:rPr>
        <w:t>Construct definition and item generation:</w:t>
      </w:r>
      <w:r>
        <w:rPr>
          <w:rFonts w:ascii="Times New Roman" w:hAnsi="Times New Roman"/>
          <w:b w:val="0"/>
          <w:i w:val="0"/>
          <w:sz w:val="24"/>
        </w:rPr>
        <w:t xml:space="preserve"> A pool of 48 items was generated based on the process model, existing literature, and related scales. Items were distributed across three subscales (16 per subscale) covering nine facets.</w:t>
      </w:r>
    </w:p>
    <w:p>
      <w:pPr>
        <w:spacing w:before="0" w:after="0" w:line="480" w:lineRule="auto"/>
        <w:ind w:left="720" w:hanging="360"/>
      </w:pPr>
      <w:r>
        <w:rPr>
          <w:rFonts w:ascii="Times New Roman" w:hAnsi="Times New Roman"/>
          <w:b w:val="0"/>
          <w:i w:val="0"/>
          <w:sz w:val="24"/>
        </w:rPr>
        <w:t xml:space="preserve">2. </w:t>
      </w:r>
      <w:r>
        <w:rPr>
          <w:rFonts w:ascii="Times New Roman" w:hAnsi="Times New Roman"/>
          <w:b w:val="0"/>
          <w:i w:val="0"/>
          <w:sz w:val="24"/>
        </w:rPr>
      </w:r>
      <w:r>
        <w:rPr>
          <w:rFonts w:ascii="Times New Roman" w:hAnsi="Times New Roman"/>
          <w:b/>
          <w:i w:val="0"/>
          <w:sz w:val="24"/>
        </w:rPr>
        <w:t>Expert panel review:</w:t>
      </w:r>
      <w:r>
        <w:rPr>
          <w:rFonts w:ascii="Times New Roman" w:hAnsi="Times New Roman"/>
          <w:b w:val="0"/>
          <w:i w:val="0"/>
          <w:sz w:val="24"/>
        </w:rPr>
        <w:t xml:space="preserve"> [NUMBER] experts in AI literacy, educational measurement, trust in automation, and metacognition evaluated each item for content validity using a 4-point relevance rating scale.</w:t>
      </w:r>
    </w:p>
    <w:p>
      <w:pPr>
        <w:spacing w:before="0" w:after="0" w:line="480" w:lineRule="auto"/>
        <w:ind w:left="720" w:hanging="360"/>
      </w:pPr>
      <w:r>
        <w:rPr>
          <w:rFonts w:ascii="Times New Roman" w:hAnsi="Times New Roman"/>
          <w:b w:val="0"/>
          <w:i w:val="0"/>
          <w:sz w:val="24"/>
        </w:rPr>
        <w:t xml:space="preserve">3. </w:t>
      </w:r>
      <w:r>
        <w:rPr>
          <w:rFonts w:ascii="Times New Roman" w:hAnsi="Times New Roman"/>
          <w:b w:val="0"/>
          <w:i w:val="0"/>
          <w:sz w:val="24"/>
        </w:rPr>
      </w:r>
      <w:r>
        <w:rPr>
          <w:rFonts w:ascii="Times New Roman" w:hAnsi="Times New Roman"/>
          <w:b/>
          <w:i w:val="0"/>
          <w:sz w:val="24"/>
        </w:rPr>
        <w:t>Cognitive interviews:</w:t>
      </w:r>
      <w:r>
        <w:rPr>
          <w:rFonts w:ascii="Times New Roman" w:hAnsi="Times New Roman"/>
          <w:b w:val="0"/>
          <w:i w:val="0"/>
          <w:sz w:val="24"/>
        </w:rPr>
        <w:t xml:space="preserve"> [NUMBER] undergraduate and graduate students participated in think-aloud protocols to assess item comprehension and response process validity.</w:t>
      </w:r>
    </w:p>
    <w:p>
      <w:pPr>
        <w:spacing w:before="0" w:after="0" w:line="480" w:lineRule="auto"/>
        <w:ind w:left="720" w:hanging="360"/>
      </w:pPr>
      <w:r>
        <w:rPr>
          <w:rFonts w:ascii="Times New Roman" w:hAnsi="Times New Roman"/>
          <w:b w:val="0"/>
          <w:i w:val="0"/>
          <w:sz w:val="24"/>
        </w:rPr>
        <w:t xml:space="preserve">4. </w:t>
      </w:r>
      <w:r>
        <w:rPr>
          <w:rFonts w:ascii="Times New Roman" w:hAnsi="Times New Roman"/>
          <w:b w:val="0"/>
          <w:i w:val="0"/>
          <w:sz w:val="24"/>
        </w:rPr>
      </w:r>
      <w:r>
        <w:rPr>
          <w:rFonts w:ascii="Times New Roman" w:hAnsi="Times New Roman"/>
          <w:b/>
          <w:i w:val="0"/>
          <w:sz w:val="24"/>
        </w:rPr>
        <w:t>Study 1 (Exploratory Factor Analysis):</w:t>
      </w:r>
      <w:r>
        <w:rPr>
          <w:rFonts w:ascii="Times New Roman" w:hAnsi="Times New Roman"/>
          <w:b w:val="0"/>
          <w:i w:val="0"/>
          <w:sz w:val="24"/>
        </w:rPr>
        <w:t xml:space="preserve"> An independent sample was surveyed to determine the scale's factor structure empirically.</w:t>
      </w:r>
    </w:p>
    <w:p>
      <w:pPr>
        <w:spacing w:before="0" w:after="0" w:line="480" w:lineRule="auto"/>
        <w:ind w:left="720" w:hanging="360"/>
      </w:pPr>
      <w:r>
        <w:rPr>
          <w:rFonts w:ascii="Times New Roman" w:hAnsi="Times New Roman"/>
          <w:b w:val="0"/>
          <w:i w:val="0"/>
          <w:sz w:val="24"/>
        </w:rPr>
        <w:t xml:space="preserve">5. </w:t>
      </w:r>
      <w:r>
        <w:rPr>
          <w:rFonts w:ascii="Times New Roman" w:hAnsi="Times New Roman"/>
          <w:b w:val="0"/>
          <w:i w:val="0"/>
          <w:sz w:val="24"/>
        </w:rPr>
      </w:r>
      <w:r>
        <w:rPr>
          <w:rFonts w:ascii="Times New Roman" w:hAnsi="Times New Roman"/>
          <w:b/>
          <w:i w:val="0"/>
          <w:sz w:val="24"/>
        </w:rPr>
        <w:t>Study 2 (Confirmatory Factor Analysis and Validity):</w:t>
      </w:r>
      <w:r>
        <w:rPr>
          <w:rFonts w:ascii="Times New Roman" w:hAnsi="Times New Roman"/>
          <w:b w:val="0"/>
          <w:i w:val="0"/>
          <w:sz w:val="24"/>
        </w:rPr>
        <w:t xml:space="preserve"> A second independent sample was surveyed to confirm the factor structure and establish convergent, discriminant, and known-groups validity.</w:t>
      </w:r>
    </w:p>
    <w:p>
      <w:pPr>
        <w:spacing w:before="240" w:after="120" w:line="480" w:lineRule="auto"/>
        <w:jc w:val="left"/>
      </w:pPr>
      <w:r>
        <w:rPr>
          <w:rFonts w:ascii="Times New Roman" w:hAnsi="Times New Roman"/>
          <w:b/>
          <w:i w:val="0"/>
          <w:sz w:val="24"/>
        </w:rPr>
        <w:t>Item Development</w:t>
      </w:r>
    </w:p>
    <w:p>
      <w:pPr>
        <w:spacing w:before="240" w:after="120" w:line="480" w:lineRule="auto"/>
        <w:jc w:val="left"/>
      </w:pPr>
      <w:r>
        <w:rPr>
          <w:rFonts w:ascii="Times New Roman" w:hAnsi="Times New Roman"/>
          <w:b/>
          <w:i/>
          <w:sz w:val="24"/>
        </w:rPr>
        <w:t>Item Generation</w:t>
      </w:r>
    </w:p>
    <w:p>
      <w:pPr>
        <w:spacing w:before="0" w:after="0" w:line="480" w:lineRule="auto"/>
        <w:ind w:firstLine="720"/>
      </w:pPr>
      <w:r>
        <w:rPr>
          <w:rFonts w:ascii="Times New Roman" w:hAnsi="Times New Roman"/>
          <w:b w:val="0"/>
          <w:i w:val="0"/>
          <w:sz w:val="24"/>
        </w:rPr>
        <w:t>An initial pool of 48 items was generated through a systematic process:</w:t>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Theoretical derivation:</w:t>
      </w:r>
      <w:r>
        <w:rPr>
          <w:rFonts w:ascii="Times New Roman" w:hAnsi="Times New Roman"/>
          <w:b w:val="0"/>
          <w:i w:val="0"/>
          <w:sz w:val="24"/>
        </w:rPr>
        <w:t xml:space="preserve"> Items were written to reflect the three process stages and their facets, using language grounded in the source theories (Winne &amp; Hadwin, 1998; Lee &amp; See, 2004; Bandura, 2001).</w:t>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Related scale adaptation:</w:t>
      </w:r>
      <w:r>
        <w:rPr>
          <w:rFonts w:ascii="Times New Roman" w:hAnsi="Times New Roman"/>
          <w:b w:val="0"/>
          <w:i w:val="0"/>
          <w:sz w:val="24"/>
        </w:rPr>
        <w:t xml:space="preserve"> Items were informed by (but not copied from) existing measures including the MAI (Schraw &amp; Dennison, 1994), MAILS (Carolus et al., 2023), and collaborative AI metacognition scales.</w:t>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Linguistic sharpening:</w:t>
      </w:r>
      <w:r>
        <w:rPr>
          <w:rFonts w:ascii="Times New Roman" w:hAnsi="Times New Roman"/>
          <w:b w:val="0"/>
          <w:i w:val="0"/>
          <w:sz w:val="24"/>
        </w:rPr>
        <w:t xml:space="preserve"> Following expert psychometric review, items were carefully crafted to maintain construct boundaries. Awareness items used monitoring verbs (e.g., "I notice," "I am aware," "I pay attention to") to capture passive metacognitive processes. Judgment items used evaluative verbs (e.g., "I evaluate," "I weigh," "I think about whether") without self-efficacy language (avoiding "I can" or "I am able to"). Action items used behavioral verbs (e.g., "I check," "I adjust," "I discuss") with frequency response anchors.</w:t>
      </w:r>
    </w:p>
    <w:p>
      <w:pPr>
        <w:spacing w:before="0" w:after="0" w:line="480" w:lineRule="auto"/>
        <w:ind w:firstLine="720"/>
      </w:pPr>
      <w:r>
        <w:rPr>
          <w:rFonts w:ascii="Times New Roman" w:hAnsi="Times New Roman"/>
          <w:b w:val="0"/>
          <w:i w:val="0"/>
          <w:sz w:val="24"/>
        </w:rPr>
        <w:t>The item pool covered nine facets across three subscales:</w:t>
      </w:r>
    </w:p>
    <w:p>
      <w:pPr>
        <w:spacing w:before="0" w:after="0" w:line="480" w:lineRule="auto"/>
        <w:ind w:firstLine="720"/>
      </w:pPr>
      <w:r>
        <w:rPr>
          <w:rFonts w:ascii="Times New Roman" w:hAnsi="Times New Roman"/>
          <w:b w:val="0"/>
          <w:i w:val="0"/>
          <w:sz w:val="24"/>
        </w:rPr>
      </w:r>
      <w:r>
        <w:rPr>
          <w:rFonts w:ascii="Times New Roman" w:hAnsi="Times New Roman"/>
          <w:b/>
          <w:i w:val="0"/>
          <w:sz w:val="24"/>
        </w:rPr>
        <w:t>Calibration Awareness (16 items):</w:t>
      </w:r>
      <w:r>
        <w:rPr>
          <w:rFonts w:ascii="Times New Roman" w:hAnsi="Times New Roman"/>
          <w:b w:val="0"/>
          <w:i w:val="0"/>
          <w:sz w:val="24"/>
        </w:rPr>
        <w:t xml:space="preserve"> trust state awareness (awareness of one's trust level), AI system understanding (knowledge of AI capabilities), task context recognition (awareness of situational factors), affective monitoring (noticing emotional responses to AI), temporal drift awareness (recognizing trust changes over time), and social awareness (noticing others' trust levels).</w:t>
      </w:r>
    </w:p>
    <w:p>
      <w:pPr>
        <w:spacing w:before="0" w:after="0" w:line="480" w:lineRule="auto"/>
        <w:ind w:firstLine="720"/>
      </w:pPr>
      <w:r>
        <w:rPr>
          <w:rFonts w:ascii="Times New Roman" w:hAnsi="Times New Roman"/>
          <w:b w:val="0"/>
          <w:i w:val="0"/>
          <w:sz w:val="24"/>
        </w:rPr>
      </w:r>
      <w:r>
        <w:rPr>
          <w:rFonts w:ascii="Times New Roman" w:hAnsi="Times New Roman"/>
          <w:b/>
          <w:i w:val="0"/>
          <w:sz w:val="24"/>
        </w:rPr>
        <w:t>Calibration Judgment (16 items):</w:t>
      </w:r>
      <w:r>
        <w:rPr>
          <w:rFonts w:ascii="Times New Roman" w:hAnsi="Times New Roman"/>
          <w:b w:val="0"/>
          <w:i w:val="0"/>
          <w:sz w:val="24"/>
        </w:rPr>
        <w:t xml:space="preserve"> appropriateness evaluation (judging whether trust matches the situation), situational comparison (evaluating trust relative to prior knowledge and other sources), discrepancy detection (noticing when trust is misaligned), temporal drift judgment (evaluating habituation effects), proportional trust (assessing whether trust is proportional to evidence), and overgeneralization detection (recognizing inappropriate trust transfer across domains).</w:t>
      </w:r>
    </w:p>
    <w:p>
      <w:pPr>
        <w:spacing w:before="0" w:after="0" w:line="480" w:lineRule="auto"/>
        <w:ind w:firstLine="720"/>
      </w:pPr>
      <w:r>
        <w:rPr>
          <w:rFonts w:ascii="Times New Roman" w:hAnsi="Times New Roman"/>
          <w:b w:val="0"/>
          <w:i w:val="0"/>
          <w:sz w:val="24"/>
        </w:rPr>
      </w:r>
      <w:r>
        <w:rPr>
          <w:rFonts w:ascii="Times New Roman" w:hAnsi="Times New Roman"/>
          <w:b/>
          <w:i w:val="0"/>
          <w:sz w:val="24"/>
        </w:rPr>
        <w:t>Calibration Action (16 items):</w:t>
      </w:r>
      <w:r>
        <w:rPr>
          <w:rFonts w:ascii="Times New Roman" w:hAnsi="Times New Roman"/>
          <w:b w:val="0"/>
          <w:i w:val="0"/>
          <w:sz w:val="24"/>
        </w:rPr>
        <w:t xml:space="preserve"> verification behaviors (checking AI outputs against other sources), trust adjustment (modifying reliance based on evidence), strategic regulation (employing deliberate evaluation strategies), social verification (discussing AI outputs with peers), proactive calibration (deliberately practicing critical evaluation), and meta-strategic regulation (revising one's evaluation approach).</w:t>
      </w:r>
    </w:p>
    <w:p>
      <w:pPr>
        <w:spacing w:before="240" w:after="120" w:line="480" w:lineRule="auto"/>
        <w:jc w:val="left"/>
      </w:pPr>
      <w:r>
        <w:rPr>
          <w:rFonts w:ascii="Times New Roman" w:hAnsi="Times New Roman"/>
          <w:b/>
          <w:i/>
          <w:sz w:val="24"/>
        </w:rPr>
        <w:t>Response Format</w:t>
      </w:r>
    </w:p>
    <w:p>
      <w:pPr>
        <w:spacing w:before="0" w:after="0" w:line="480" w:lineRule="auto"/>
        <w:ind w:firstLine="720"/>
      </w:pPr>
      <w:r>
        <w:rPr>
          <w:rFonts w:ascii="Times New Roman" w:hAnsi="Times New Roman"/>
          <w:b w:val="0"/>
          <w:i w:val="0"/>
          <w:sz w:val="24"/>
        </w:rPr>
        <w:t xml:space="preserve">Two response formats were used. Calibration Awareness and Calibration Judgment items used a 7-point agreement scale (1 = </w:t>
      </w:r>
      <w:r>
        <w:rPr>
          <w:rFonts w:ascii="Times New Roman" w:hAnsi="Times New Roman"/>
          <w:b w:val="0"/>
          <w:i/>
          <w:sz w:val="24"/>
        </w:rPr>
        <w:t>Strongly Disagree</w:t>
      </w:r>
      <w:r>
        <w:rPr>
          <w:rFonts w:ascii="Times New Roman" w:hAnsi="Times New Roman"/>
          <w:b w:val="0"/>
          <w:i w:val="0"/>
          <w:sz w:val="24"/>
        </w:rPr>
        <w:t xml:space="preserve"> to 7 = </w:t>
      </w:r>
      <w:r>
        <w:rPr>
          <w:rFonts w:ascii="Times New Roman" w:hAnsi="Times New Roman"/>
          <w:b w:val="0"/>
          <w:i/>
          <w:sz w:val="24"/>
        </w:rPr>
        <w:t>Strongly Agree</w:t>
      </w:r>
      <w:r>
        <w:rPr>
          <w:rFonts w:ascii="Times New Roman" w:hAnsi="Times New Roman"/>
          <w:b w:val="0"/>
          <w:i w:val="0"/>
          <w:sz w:val="24"/>
        </w:rPr>
        <w:t xml:space="preserve">) because these subscales assess self-perceptions of awareness and evaluative tendencies. Calibration Action items used a 7-point frequency scale (1 = </w:t>
      </w:r>
      <w:r>
        <w:rPr>
          <w:rFonts w:ascii="Times New Roman" w:hAnsi="Times New Roman"/>
          <w:b w:val="0"/>
          <w:i/>
          <w:sz w:val="24"/>
        </w:rPr>
        <w:t>Never</w:t>
      </w:r>
      <w:r>
        <w:rPr>
          <w:rFonts w:ascii="Times New Roman" w:hAnsi="Times New Roman"/>
          <w:b w:val="0"/>
          <w:i w:val="0"/>
          <w:sz w:val="24"/>
        </w:rPr>
        <w:t xml:space="preserve"> to 7 = </w:t>
      </w:r>
      <w:r>
        <w:rPr>
          <w:rFonts w:ascii="Times New Roman" w:hAnsi="Times New Roman"/>
          <w:b w:val="0"/>
          <w:i/>
          <w:sz w:val="24"/>
        </w:rPr>
        <w:t>Always</w:t>
      </w:r>
      <w:r>
        <w:rPr>
          <w:rFonts w:ascii="Times New Roman" w:hAnsi="Times New Roman"/>
          <w:b w:val="0"/>
          <w:i w:val="0"/>
          <w:sz w:val="24"/>
        </w:rPr>
        <w:t>) because this subscale assesses behavioral occurrence, and frequency anchors reduce acquiescence bias for behavioral items (Krosnick, 1999). This mixed-format approach follows the precedent of the MSLQ, which uses different response formats across subscales.</w:t>
      </w:r>
    </w:p>
    <w:p>
      <w:pPr>
        <w:spacing w:before="240" w:after="120" w:line="480" w:lineRule="auto"/>
        <w:jc w:val="left"/>
      </w:pPr>
      <w:r>
        <w:rPr>
          <w:rFonts w:ascii="Times New Roman" w:hAnsi="Times New Roman"/>
          <w:b/>
          <w:i/>
          <w:sz w:val="24"/>
        </w:rPr>
        <w:t>Reverse-Coded Items</w:t>
      </w:r>
    </w:p>
    <w:p>
      <w:pPr>
        <w:spacing w:before="0" w:after="0" w:line="480" w:lineRule="auto"/>
        <w:ind w:firstLine="720"/>
      </w:pPr>
      <w:r>
        <w:rPr>
          <w:rFonts w:ascii="Times New Roman" w:hAnsi="Times New Roman"/>
          <w:b w:val="0"/>
          <w:i w:val="0"/>
          <w:sz w:val="24"/>
        </w:rPr>
        <w:t>Nine items (19%) were reverse-coded to control for acquiescence bias (three per subscale). Reverse items were constructed as natural negations or behavioral absences (e.g., "I rarely think about whether I am trusting AI too much or too little") rather than awkward grammatical reversals.</w:t>
      </w:r>
    </w:p>
    <w:p>
      <w:pPr>
        <w:spacing w:before="240" w:after="120" w:line="480" w:lineRule="auto"/>
        <w:jc w:val="left"/>
      </w:pPr>
      <w:r>
        <w:rPr>
          <w:rFonts w:ascii="Times New Roman" w:hAnsi="Times New Roman"/>
          <w:b/>
          <w:i w:val="0"/>
          <w:sz w:val="24"/>
        </w:rPr>
        <w:t>Expert Panel Review</w:t>
      </w:r>
    </w:p>
    <w:p>
      <w:pPr>
        <w:spacing w:before="0" w:after="0" w:line="480" w:lineRule="auto"/>
        <w:ind w:firstLine="720"/>
      </w:pPr>
      <w:r>
        <w:rPr>
          <w:rFonts w:ascii="Times New Roman" w:hAnsi="Times New Roman"/>
          <w:b w:val="0"/>
          <w:i w:val="0"/>
          <w:sz w:val="24"/>
        </w:rPr>
        <w:t>[NUMBER] experts participated in a content validity review. Expert specializations included AI in education (n = [TBC]), trust in automation (n = [TBC]), psychometrics (n = [TBC]), metacognition and self-regulated learning (n = [TBC]), and AI literacy (n = [TBC]).</w:t>
      </w:r>
    </w:p>
    <w:p>
      <w:pPr>
        <w:spacing w:before="0" w:after="0" w:line="480" w:lineRule="auto"/>
        <w:ind w:firstLine="720"/>
      </w:pPr>
      <w:r>
        <w:rPr>
          <w:rFonts w:ascii="Times New Roman" w:hAnsi="Times New Roman"/>
          <w:b w:val="0"/>
          <w:i w:val="0"/>
          <w:sz w:val="24"/>
        </w:rPr>
        <w:t xml:space="preserve">Each expert rated every item on a 4-point relevance scale (1 = </w:t>
      </w:r>
      <w:r>
        <w:rPr>
          <w:rFonts w:ascii="Times New Roman" w:hAnsi="Times New Roman"/>
          <w:b w:val="0"/>
          <w:i/>
          <w:sz w:val="24"/>
        </w:rPr>
        <w:t>not relevant</w:t>
      </w:r>
      <w:r>
        <w:rPr>
          <w:rFonts w:ascii="Times New Roman" w:hAnsi="Times New Roman"/>
          <w:b w:val="0"/>
          <w:i w:val="0"/>
          <w:sz w:val="24"/>
        </w:rPr>
        <w:t xml:space="preserve">, 2 = </w:t>
      </w:r>
      <w:r>
        <w:rPr>
          <w:rFonts w:ascii="Times New Roman" w:hAnsi="Times New Roman"/>
          <w:b w:val="0"/>
          <w:i/>
          <w:sz w:val="24"/>
        </w:rPr>
        <w:t>somewhat relevant</w:t>
      </w:r>
      <w:r>
        <w:rPr>
          <w:rFonts w:ascii="Times New Roman" w:hAnsi="Times New Roman"/>
          <w:b w:val="0"/>
          <w:i w:val="0"/>
          <w:sz w:val="24"/>
        </w:rPr>
        <w:t xml:space="preserve">, 3 = </w:t>
      </w:r>
      <w:r>
        <w:rPr>
          <w:rFonts w:ascii="Times New Roman" w:hAnsi="Times New Roman"/>
          <w:b w:val="0"/>
          <w:i/>
          <w:sz w:val="24"/>
        </w:rPr>
        <w:t>quite relevant</w:t>
      </w:r>
      <w:r>
        <w:rPr>
          <w:rFonts w:ascii="Times New Roman" w:hAnsi="Times New Roman"/>
          <w:b w:val="0"/>
          <w:i w:val="0"/>
          <w:sz w:val="24"/>
        </w:rPr>
        <w:t xml:space="preserve">, 4 = </w:t>
      </w:r>
      <w:r>
        <w:rPr>
          <w:rFonts w:ascii="Times New Roman" w:hAnsi="Times New Roman"/>
          <w:b w:val="0"/>
          <w:i/>
          <w:sz w:val="24"/>
        </w:rPr>
        <w:t>highly relevant</w:t>
      </w:r>
      <w:r>
        <w:rPr>
          <w:rFonts w:ascii="Times New Roman" w:hAnsi="Times New Roman"/>
          <w:b w:val="0"/>
          <w:i w:val="0"/>
          <w:sz w:val="24"/>
        </w:rPr>
        <w:t>) and indicated which subscale each item best fit. Items with an item-level content validity index (I-CVI) below .78 were revised or removed. The scale-level CVI average (S-CVI/Ave) target was .90 or above.</w:t>
      </w:r>
    </w:p>
    <w:p>
      <w:pPr>
        <w:spacing w:before="0" w:after="0" w:line="480" w:lineRule="auto"/>
        <w:ind w:firstLine="720"/>
      </w:pPr>
      <w:r>
        <w:rPr>
          <w:rFonts w:ascii="Times New Roman" w:hAnsi="Times New Roman"/>
          <w:b w:val="0"/>
          <w:i w:val="0"/>
          <w:sz w:val="24"/>
        </w:rPr>
        <w:t>[RESULTS TO BE COMPLETED]</w:t>
      </w:r>
    </w:p>
    <w:p>
      <w:pPr>
        <w:spacing w:before="240" w:after="120" w:line="480" w:lineRule="auto"/>
        <w:jc w:val="left"/>
      </w:pPr>
      <w:r>
        <w:rPr>
          <w:rFonts w:ascii="Times New Roman" w:hAnsi="Times New Roman"/>
          <w:b/>
          <w:i w:val="0"/>
          <w:sz w:val="24"/>
        </w:rPr>
        <w:t>Cognitive Interviews</w:t>
      </w:r>
    </w:p>
    <w:p>
      <w:pPr>
        <w:spacing w:before="0" w:after="0" w:line="480" w:lineRule="auto"/>
        <w:ind w:firstLine="720"/>
      </w:pPr>
      <w:r>
        <w:rPr>
          <w:rFonts w:ascii="Times New Roman" w:hAnsi="Times New Roman"/>
          <w:b w:val="0"/>
          <w:i w:val="0"/>
          <w:sz w:val="24"/>
        </w:rPr>
        <w:t>[NUMBER] undergraduate and graduate students (STEM: n = [TBC]; humanities: n = [TBC]; varied AI experience) participated in think-aloud cognitive interviews. Participants read each item aloud, paraphrased its meaning, described a relevant personal experience, and identified any confusing language. Interviews focused on items flagged as potentially complex, new items without precedent in existing scales, and reverse-coded items.</w:t>
      </w:r>
    </w:p>
    <w:p>
      <w:pPr>
        <w:spacing w:before="0" w:after="0" w:line="480" w:lineRule="auto"/>
        <w:ind w:firstLine="720"/>
      </w:pPr>
      <w:r>
        <w:rPr>
          <w:rFonts w:ascii="Times New Roman" w:hAnsi="Times New Roman"/>
          <w:b w:val="0"/>
          <w:i w:val="0"/>
          <w:sz w:val="24"/>
        </w:rPr>
        <w:t>[RESULTS TO BE COMPLETED]</w:t>
      </w:r>
    </w:p>
    <w:p>
      <w:pPr>
        <w:spacing w:before="240" w:after="120" w:line="480" w:lineRule="auto"/>
        <w:jc w:val="center"/>
      </w:pPr>
      <w:r>
        <w:rPr>
          <w:rFonts w:ascii="Times New Roman" w:hAnsi="Times New Roman"/>
          <w:b/>
          <w:i w:val="0"/>
          <w:sz w:val="24"/>
        </w:rPr>
        <w:t>Study 1: Exploratory Factor Analysis</w:t>
      </w:r>
    </w:p>
    <w:p>
      <w:pPr>
        <w:spacing w:before="240" w:after="120" w:line="480" w:lineRule="auto"/>
        <w:jc w:val="left"/>
      </w:pPr>
      <w:r>
        <w:rPr>
          <w:rFonts w:ascii="Times New Roman" w:hAnsi="Times New Roman"/>
          <w:b/>
          <w:i w:val="0"/>
          <w:sz w:val="24"/>
        </w:rPr>
        <w:t>Method</w:t>
      </w:r>
    </w:p>
    <w:p>
      <w:pPr>
        <w:spacing w:before="240" w:after="120" w:line="480" w:lineRule="auto"/>
        <w:jc w:val="left"/>
      </w:pPr>
      <w:r>
        <w:rPr>
          <w:rFonts w:ascii="Times New Roman" w:hAnsi="Times New Roman"/>
          <w:b/>
          <w:i/>
          <w:sz w:val="24"/>
        </w:rPr>
        <w:t>Participants</w:t>
      </w:r>
    </w:p>
    <w:p>
      <w:pPr>
        <w:spacing w:before="0" w:after="0" w:line="480" w:lineRule="auto"/>
        <w:ind w:firstLine="720"/>
      </w:pPr>
      <w:r>
        <w:rPr>
          <w:rFonts w:ascii="Times New Roman" w:hAnsi="Times New Roman"/>
          <w:b w:val="0"/>
          <w:i w:val="0"/>
          <w:sz w:val="24"/>
        </w:rPr>
        <w:t>[TO BE COMPLETED]</w:t>
      </w:r>
    </w:p>
    <w:p>
      <w:pPr>
        <w:spacing w:before="0" w:after="0" w:line="480" w:lineRule="auto"/>
        <w:ind w:firstLine="720"/>
      </w:pPr>
      <w:r>
        <w:rPr>
          <w:rFonts w:ascii="Times New Roman" w:hAnsi="Times New Roman"/>
          <w:b w:val="0"/>
          <w:i w:val="0"/>
          <w:sz w:val="24"/>
        </w:rPr>
        <w:t>Target: N = 300–350 undergraduate and graduate students from [university/online platform]. Inclusion criteria: (a) enrolled in higher education, (b) experience using at least one AI tool for learning (e.g., ChatGPT, Grammarly, AI tutoring systems), (c) aged 18 or older.</w:t>
      </w:r>
    </w:p>
    <w:p>
      <w:pPr>
        <w:spacing w:before="240" w:after="120" w:line="480" w:lineRule="auto"/>
        <w:jc w:val="left"/>
      </w:pPr>
      <w:r>
        <w:rPr>
          <w:rFonts w:ascii="Times New Roman" w:hAnsi="Times New Roman"/>
          <w:b/>
          <w:i/>
          <w:sz w:val="24"/>
        </w:rPr>
        <w:t>Procedure</w:t>
      </w:r>
    </w:p>
    <w:p>
      <w:pPr>
        <w:spacing w:before="0" w:after="0" w:line="480" w:lineRule="auto"/>
        <w:ind w:firstLine="720"/>
      </w:pPr>
      <w:r>
        <w:rPr>
          <w:rFonts w:ascii="Times New Roman" w:hAnsi="Times New Roman"/>
          <w:b w:val="0"/>
          <w:i w:val="0"/>
          <w:sz w:val="24"/>
        </w:rPr>
        <w:t>Participants completed an online survey consisting of: (a) demographic questions (age, gender, field of study, year of study), (b) AI use questions (types of AI tools used, frequency of use, duration of use), (c) the TCRS item pool ([NUMBER] items after expert review and cognitive interviews), and (d) an attention check item.</w:t>
      </w:r>
    </w:p>
    <w:p>
      <w:pPr>
        <w:spacing w:before="240" w:after="120" w:line="480" w:lineRule="auto"/>
        <w:jc w:val="left"/>
      </w:pPr>
      <w:r>
        <w:rPr>
          <w:rFonts w:ascii="Times New Roman" w:hAnsi="Times New Roman"/>
          <w:b/>
          <w:i/>
          <w:sz w:val="24"/>
        </w:rPr>
        <w:t>Data Analysis</w:t>
      </w:r>
    </w:p>
    <w:p>
      <w:pPr>
        <w:spacing w:before="0" w:after="0" w:line="480" w:lineRule="auto"/>
        <w:ind w:firstLine="720"/>
      </w:pPr>
      <w:r>
        <w:rPr>
          <w:rFonts w:ascii="Times New Roman" w:hAnsi="Times New Roman"/>
          <w:b w:val="0"/>
          <w:i w:val="0"/>
          <w:sz w:val="24"/>
        </w:rPr>
        <w:t>Exploratory factor analysis was conducted following best practices (Watkins, 2018):</w:t>
      </w:r>
    </w:p>
    <w:p>
      <w:pPr>
        <w:spacing w:before="0" w:after="0" w:line="480" w:lineRule="auto"/>
        <w:ind w:left="720" w:hanging="360"/>
      </w:pPr>
      <w:r>
        <w:rPr>
          <w:rFonts w:ascii="Times New Roman" w:hAnsi="Times New Roman"/>
          <w:b w:val="0"/>
          <w:i w:val="0"/>
          <w:sz w:val="24"/>
        </w:rPr>
        <w:t xml:space="preserve">1. </w:t>
      </w:r>
      <w:r>
        <w:rPr>
          <w:rFonts w:ascii="Times New Roman" w:hAnsi="Times New Roman"/>
          <w:b w:val="0"/>
          <w:i w:val="0"/>
          <w:sz w:val="24"/>
        </w:rPr>
      </w:r>
      <w:r>
        <w:rPr>
          <w:rFonts w:ascii="Times New Roman" w:hAnsi="Times New Roman"/>
          <w:b/>
          <w:i w:val="0"/>
          <w:sz w:val="24"/>
        </w:rPr>
        <w:t>Data screening:</w:t>
      </w:r>
      <w:r>
        <w:rPr>
          <w:rFonts w:ascii="Times New Roman" w:hAnsi="Times New Roman"/>
          <w:b w:val="0"/>
          <w:i w:val="0"/>
          <w:sz w:val="24"/>
        </w:rPr>
        <w:t xml:space="preserve"> Multivariate normality, outliers, and missing data were assessed. Items with excessive skewness (&gt;|2.0|) or kurtosis (&gt;|7.0|) were flagged.</w:t>
      </w:r>
    </w:p>
    <w:p>
      <w:pPr>
        <w:spacing w:before="0" w:after="0" w:line="480" w:lineRule="auto"/>
        <w:ind w:left="720" w:hanging="360"/>
      </w:pPr>
      <w:r>
        <w:rPr>
          <w:rFonts w:ascii="Times New Roman" w:hAnsi="Times New Roman"/>
          <w:b w:val="0"/>
          <w:i w:val="0"/>
          <w:sz w:val="24"/>
        </w:rPr>
        <w:t xml:space="preserve">2. </w:t>
      </w:r>
      <w:r>
        <w:rPr>
          <w:rFonts w:ascii="Times New Roman" w:hAnsi="Times New Roman"/>
          <w:b w:val="0"/>
          <w:i w:val="0"/>
          <w:sz w:val="24"/>
        </w:rPr>
      </w:r>
      <w:r>
        <w:rPr>
          <w:rFonts w:ascii="Times New Roman" w:hAnsi="Times New Roman"/>
          <w:b/>
          <w:i w:val="0"/>
          <w:sz w:val="24"/>
        </w:rPr>
        <w:t>Factorability:</w:t>
      </w:r>
      <w:r>
        <w:rPr>
          <w:rFonts w:ascii="Times New Roman" w:hAnsi="Times New Roman"/>
          <w:b w:val="0"/>
          <w:i w:val="0"/>
          <w:sz w:val="24"/>
        </w:rPr>
        <w:t xml:space="preserve"> The Kaiser-Meyer-Olkin (KMO) measure of sampling adequacy (target &gt; .80) and Bartlett's test of sphericity were assessed.</w:t>
      </w:r>
    </w:p>
    <w:p>
      <w:pPr>
        <w:spacing w:before="0" w:after="0" w:line="480" w:lineRule="auto"/>
        <w:ind w:left="720" w:hanging="360"/>
      </w:pPr>
      <w:r>
        <w:rPr>
          <w:rFonts w:ascii="Times New Roman" w:hAnsi="Times New Roman"/>
          <w:b w:val="0"/>
          <w:i w:val="0"/>
          <w:sz w:val="24"/>
        </w:rPr>
        <w:t xml:space="preserve">3. </w:t>
      </w:r>
      <w:r>
        <w:rPr>
          <w:rFonts w:ascii="Times New Roman" w:hAnsi="Times New Roman"/>
          <w:b w:val="0"/>
          <w:i w:val="0"/>
          <w:sz w:val="24"/>
        </w:rPr>
      </w:r>
      <w:r>
        <w:rPr>
          <w:rFonts w:ascii="Times New Roman" w:hAnsi="Times New Roman"/>
          <w:b/>
          <w:i w:val="0"/>
          <w:sz w:val="24"/>
        </w:rPr>
        <w:t>Factor extraction:</w:t>
      </w:r>
      <w:r>
        <w:rPr>
          <w:rFonts w:ascii="Times New Roman" w:hAnsi="Times New Roman"/>
          <w:b w:val="0"/>
          <w:i w:val="0"/>
          <w:sz w:val="24"/>
        </w:rPr>
        <w:t xml:space="preserve"> Principal axis factoring was used as the extraction method. The number of factors was determined using multiple criteria: parallel analysis (Horn, 1965), the scree plot, eigenvalue &gt; 1, and theoretical coherence.</w:t>
      </w:r>
    </w:p>
    <w:p>
      <w:pPr>
        <w:spacing w:before="0" w:after="0" w:line="480" w:lineRule="auto"/>
        <w:ind w:left="720" w:hanging="360"/>
      </w:pPr>
      <w:r>
        <w:rPr>
          <w:rFonts w:ascii="Times New Roman" w:hAnsi="Times New Roman"/>
          <w:b w:val="0"/>
          <w:i w:val="0"/>
          <w:sz w:val="24"/>
        </w:rPr>
        <w:t xml:space="preserve">4. </w:t>
      </w:r>
      <w:r>
        <w:rPr>
          <w:rFonts w:ascii="Times New Roman" w:hAnsi="Times New Roman"/>
          <w:b w:val="0"/>
          <w:i w:val="0"/>
          <w:sz w:val="24"/>
        </w:rPr>
      </w:r>
      <w:r>
        <w:rPr>
          <w:rFonts w:ascii="Times New Roman" w:hAnsi="Times New Roman"/>
          <w:b/>
          <w:i w:val="0"/>
          <w:sz w:val="24"/>
        </w:rPr>
        <w:t>Factor rotation:</w:t>
      </w:r>
      <w:r>
        <w:rPr>
          <w:rFonts w:ascii="Times New Roman" w:hAnsi="Times New Roman"/>
          <w:b w:val="0"/>
          <w:i w:val="0"/>
          <w:sz w:val="24"/>
        </w:rPr>
        <w:t xml:space="preserve"> Oblique rotation (Promax, kappa = 4) was used because subscales were expected to be moderately correlated (r = .40–.60).</w:t>
      </w:r>
    </w:p>
    <w:p>
      <w:pPr>
        <w:spacing w:before="0" w:after="0" w:line="480" w:lineRule="auto"/>
        <w:ind w:left="720" w:hanging="360"/>
      </w:pPr>
      <w:r>
        <w:rPr>
          <w:rFonts w:ascii="Times New Roman" w:hAnsi="Times New Roman"/>
          <w:b w:val="0"/>
          <w:i w:val="0"/>
          <w:sz w:val="24"/>
        </w:rPr>
        <w:t xml:space="preserve">5. </w:t>
      </w:r>
      <w:r>
        <w:rPr>
          <w:rFonts w:ascii="Times New Roman" w:hAnsi="Times New Roman"/>
          <w:b w:val="0"/>
          <w:i w:val="0"/>
          <w:sz w:val="24"/>
        </w:rPr>
      </w:r>
      <w:r>
        <w:rPr>
          <w:rFonts w:ascii="Times New Roman" w:hAnsi="Times New Roman"/>
          <w:b/>
          <w:i w:val="0"/>
          <w:sz w:val="24"/>
        </w:rPr>
        <w:t>Item retention criteria:</w:t>
      </w:r>
      <w:r>
        <w:rPr>
          <w:rFonts w:ascii="Times New Roman" w:hAnsi="Times New Roman"/>
          <w:b w:val="0"/>
          <w:i w:val="0"/>
          <w:sz w:val="24"/>
        </w:rPr>
        <w:t xml:space="preserve"> Items were retained if they loaded ≥ .40 on the primary factor, loaded &lt; .30 on non-target factors, and had a communality ≥ .30.</w:t>
      </w:r>
    </w:p>
    <w:p>
      <w:pPr>
        <w:spacing w:before="0" w:after="0" w:line="480" w:lineRule="auto"/>
        <w:ind w:left="720" w:hanging="360"/>
      </w:pPr>
      <w:r>
        <w:rPr>
          <w:rFonts w:ascii="Times New Roman" w:hAnsi="Times New Roman"/>
          <w:b w:val="0"/>
          <w:i w:val="0"/>
          <w:sz w:val="24"/>
        </w:rPr>
        <w:t xml:space="preserve">6. </w:t>
      </w:r>
      <w:r>
        <w:rPr>
          <w:rFonts w:ascii="Times New Roman" w:hAnsi="Times New Roman"/>
          <w:b w:val="0"/>
          <w:i w:val="0"/>
          <w:sz w:val="24"/>
        </w:rPr>
      </w:r>
      <w:r>
        <w:rPr>
          <w:rFonts w:ascii="Times New Roman" w:hAnsi="Times New Roman"/>
          <w:b/>
          <w:i w:val="0"/>
          <w:sz w:val="24"/>
        </w:rPr>
        <w:t>Internal consistency:</w:t>
      </w:r>
      <w:r>
        <w:rPr>
          <w:rFonts w:ascii="Times New Roman" w:hAnsi="Times New Roman"/>
          <w:b w:val="0"/>
          <w:i w:val="0"/>
          <w:sz w:val="24"/>
        </w:rPr>
        <w:t xml:space="preserve"> Cronbach's alpha and McDonald's omega were computed for each retained subscale.</w:t>
      </w:r>
    </w:p>
    <w:p>
      <w:pPr>
        <w:spacing w:before="240" w:after="120" w:line="480" w:lineRule="auto"/>
        <w:jc w:val="left"/>
      </w:pPr>
      <w:r>
        <w:rPr>
          <w:rFonts w:ascii="Times New Roman" w:hAnsi="Times New Roman"/>
          <w:b/>
          <w:i/>
          <w:sz w:val="24"/>
        </w:rPr>
        <w:t>Planned Comparisons</w:t>
      </w:r>
    </w:p>
    <w:p>
      <w:pPr>
        <w:spacing w:before="0" w:after="0" w:line="480" w:lineRule="auto"/>
        <w:ind w:firstLine="720"/>
      </w:pPr>
      <w:r>
        <w:rPr>
          <w:rFonts w:ascii="Times New Roman" w:hAnsi="Times New Roman"/>
          <w:b w:val="0"/>
          <w:i w:val="0"/>
          <w:sz w:val="24"/>
        </w:rPr>
        <w:t>Three factor models were compared:</w:t>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Three-factor model:</w:t>
      </w:r>
      <w:r>
        <w:rPr>
          <w:rFonts w:ascii="Times New Roman" w:hAnsi="Times New Roman"/>
          <w:b w:val="0"/>
          <w:i w:val="0"/>
          <w:sz w:val="24"/>
        </w:rPr>
        <w:t xml:space="preserve"> As theorized (Awareness, Judgment, Action)</w:t>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Two-factor model:</w:t>
      </w:r>
      <w:r>
        <w:rPr>
          <w:rFonts w:ascii="Times New Roman" w:hAnsi="Times New Roman"/>
          <w:b w:val="0"/>
          <w:i w:val="0"/>
          <w:sz w:val="24"/>
        </w:rPr>
        <w:t xml:space="preserve"> Cognition (Awareness + Judgment) and Action</w:t>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Single-factor model:</w:t>
      </w:r>
      <w:r>
        <w:rPr>
          <w:rFonts w:ascii="Times New Roman" w:hAnsi="Times New Roman"/>
          <w:b w:val="0"/>
          <w:i w:val="0"/>
          <w:sz w:val="24"/>
        </w:rPr>
        <w:t xml:space="preserve"> Unidimensional trust calibration readiness</w:t>
      </w:r>
    </w:p>
    <w:p>
      <w:pPr>
        <w:spacing w:before="0" w:after="0" w:line="480" w:lineRule="auto"/>
        <w:ind w:firstLine="720"/>
      </w:pPr>
      <w:r>
        <w:rPr>
          <w:rFonts w:ascii="Times New Roman" w:hAnsi="Times New Roman"/>
          <w:b w:val="0"/>
          <w:i w:val="0"/>
          <w:sz w:val="24"/>
        </w:rPr>
        <w:t>The factor structure was determined empirically; the theoretical model was treated as one candidate rather than a foregone conclusion.</w:t>
      </w:r>
    </w:p>
    <w:p>
      <w:pPr>
        <w:spacing w:before="240" w:after="120" w:line="480" w:lineRule="auto"/>
        <w:jc w:val="left"/>
      </w:pPr>
      <w:r>
        <w:rPr>
          <w:rFonts w:ascii="Times New Roman" w:hAnsi="Times New Roman"/>
          <w:b/>
          <w:i w:val="0"/>
          <w:sz w:val="24"/>
        </w:rPr>
        <w:t>Results</w:t>
      </w:r>
    </w:p>
    <w:p>
      <w:pPr>
        <w:spacing w:before="0" w:after="0" w:line="480" w:lineRule="auto"/>
        <w:ind w:firstLine="720"/>
      </w:pPr>
      <w:r>
        <w:rPr>
          <w:rFonts w:ascii="Times New Roman" w:hAnsi="Times New Roman"/>
          <w:b w:val="0"/>
          <w:i w:val="0"/>
          <w:sz w:val="24"/>
        </w:rPr>
        <w:t>[TO BE COMPLETED AFTER DATA COLLECTION]</w:t>
      </w:r>
    </w:p>
    <w:p>
      <w:pPr>
        <w:spacing w:before="240" w:after="120" w:line="480" w:lineRule="auto"/>
        <w:jc w:val="center"/>
      </w:pPr>
      <w:r>
        <w:rPr>
          <w:rFonts w:ascii="Times New Roman" w:hAnsi="Times New Roman"/>
          <w:b/>
          <w:i w:val="0"/>
          <w:sz w:val="24"/>
        </w:rPr>
        <w:t>Study 2: Confirmatory Factor Analysis and Validity Evidence</w:t>
      </w:r>
    </w:p>
    <w:p>
      <w:pPr>
        <w:spacing w:before="240" w:after="120" w:line="480" w:lineRule="auto"/>
        <w:jc w:val="left"/>
      </w:pPr>
      <w:r>
        <w:rPr>
          <w:rFonts w:ascii="Times New Roman" w:hAnsi="Times New Roman"/>
          <w:b/>
          <w:i w:val="0"/>
          <w:sz w:val="24"/>
        </w:rPr>
        <w:t>Method</w:t>
      </w:r>
    </w:p>
    <w:p>
      <w:pPr>
        <w:spacing w:before="240" w:after="120" w:line="480" w:lineRule="auto"/>
        <w:jc w:val="left"/>
      </w:pPr>
      <w:r>
        <w:rPr>
          <w:rFonts w:ascii="Times New Roman" w:hAnsi="Times New Roman"/>
          <w:b/>
          <w:i/>
          <w:sz w:val="24"/>
        </w:rPr>
        <w:t>Participants</w:t>
      </w:r>
    </w:p>
    <w:p>
      <w:pPr>
        <w:spacing w:before="0" w:after="0" w:line="480" w:lineRule="auto"/>
        <w:ind w:firstLine="720"/>
      </w:pPr>
      <w:r>
        <w:rPr>
          <w:rFonts w:ascii="Times New Roman" w:hAnsi="Times New Roman"/>
          <w:b w:val="0"/>
          <w:i w:val="0"/>
          <w:sz w:val="24"/>
        </w:rPr>
        <w:t>[TO BE COMPLETED]</w:t>
      </w:r>
    </w:p>
    <w:p>
      <w:pPr>
        <w:spacing w:before="0" w:after="0" w:line="480" w:lineRule="auto"/>
        <w:ind w:firstLine="720"/>
      </w:pPr>
      <w:r>
        <w:rPr>
          <w:rFonts w:ascii="Times New Roman" w:hAnsi="Times New Roman"/>
          <w:b w:val="0"/>
          <w:i w:val="0"/>
          <w:sz w:val="24"/>
        </w:rPr>
        <w:t>Target: N = 300–350 undergraduate and graduate students from [university/online platform], independent of Study 1 sample. Same inclusion criteria as Study 1.</w:t>
      </w:r>
    </w:p>
    <w:p>
      <w:pPr>
        <w:spacing w:before="240" w:after="120" w:line="480" w:lineRule="auto"/>
        <w:jc w:val="left"/>
      </w:pPr>
      <w:r>
        <w:rPr>
          <w:rFonts w:ascii="Times New Roman" w:hAnsi="Times New Roman"/>
          <w:b/>
          <w:i/>
          <w:sz w:val="24"/>
        </w:rPr>
        <w:t>Instruments</w:t>
      </w:r>
    </w:p>
    <w:p>
      <w:pPr>
        <w:spacing w:before="0" w:after="0" w:line="480" w:lineRule="auto"/>
        <w:ind w:firstLine="720"/>
      </w:pPr>
      <w:r>
        <w:rPr>
          <w:rFonts w:ascii="Times New Roman" w:hAnsi="Times New Roman"/>
          <w:b w:val="0"/>
          <w:i w:val="0"/>
          <w:sz w:val="24"/>
        </w:rPr>
      </w:r>
      <w:r>
        <w:rPr>
          <w:rFonts w:ascii="Times New Roman" w:hAnsi="Times New Roman"/>
          <w:b/>
          <w:i w:val="0"/>
          <w:sz w:val="24"/>
        </w:rPr>
        <w:t>Trust Calibration Readiness Scale (TCRS).</w:t>
      </w:r>
      <w:r>
        <w:rPr>
          <w:rFonts w:ascii="Times New Roman" w:hAnsi="Times New Roman"/>
          <w:b w:val="0"/>
          <w:i w:val="0"/>
          <w:sz w:val="24"/>
        </w:rPr>
        <w:t xml:space="preserve"> The items retained from Study 1 EFA.</w:t>
      </w:r>
    </w:p>
    <w:p>
      <w:pPr>
        <w:spacing w:before="0" w:after="0" w:line="480" w:lineRule="auto"/>
        <w:ind w:firstLine="720"/>
      </w:pPr>
      <w:r>
        <w:rPr>
          <w:rFonts w:ascii="Times New Roman" w:hAnsi="Times New Roman"/>
          <w:b w:val="0"/>
          <w:i w:val="0"/>
          <w:sz w:val="24"/>
        </w:rPr>
      </w:r>
      <w:r>
        <w:rPr>
          <w:rFonts w:ascii="Times New Roman" w:hAnsi="Times New Roman"/>
          <w:b/>
          <w:i w:val="0"/>
          <w:sz w:val="24"/>
        </w:rPr>
        <w:t>Convergent validity instruments:</w:t>
      </w:r>
      <w:r>
        <w:rPr>
          <w:rFonts w:ascii="Times New Roman" w:hAnsi="Times New Roman"/>
          <w:b w:val="0"/>
          <w:i w:val="0"/>
          <w:sz w:val="24"/>
        </w:rPr>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val="0"/>
          <w:i/>
          <w:sz w:val="24"/>
        </w:rPr>
        <w:t>MAILS Short Version</w:t>
      </w:r>
      <w:r>
        <w:rPr>
          <w:rFonts w:ascii="Times New Roman" w:hAnsi="Times New Roman"/>
          <w:b w:val="0"/>
          <w:i w:val="0"/>
          <w:sz w:val="24"/>
        </w:rPr>
        <w:t xml:space="preserve"> (Carolus et al., 2024): 10 items measuring general AI literacy. AI literacy is a related but broader construct; moderate positive correlation is expected because calibration readiness requires some AI knowledge. Differentiated predictions: CA-Aw × MAILS is expected to show the strongest association (r = .45–.55) because metacognitive awareness of one's trust state draws on foundational AI knowledge; CA-Jd × MAILS is expected to be moderate (r = .35–.45) as evaluative judgment requires AI knowledge but also draws on broader epistemic skills; CA-Ac × MAILS is expected to be weakest (r = .30–.40) because behavioral regulation is less dependent on declarative AI knowledge.</w:t>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val="0"/>
          <w:i/>
          <w:sz w:val="24"/>
        </w:rPr>
        <w:t>Critical Thinking Disposition Scale</w:t>
      </w:r>
      <w:r>
        <w:rPr>
          <w:rFonts w:ascii="Times New Roman" w:hAnsi="Times New Roman"/>
          <w:b w:val="0"/>
          <w:i w:val="0"/>
          <w:sz w:val="24"/>
        </w:rPr>
        <w:t xml:space="preserve"> (Sosu, 2013): ~11 items measuring tendency toward evaluative thinking. Differentiated predictions: CA-Jd × CT is expected to show the strongest association (r = .45–.60) because trust evaluation and critical thinking share evaluative processing; CA-Ac × CT is expected to be moderate (r = .30–.40) as action regulation draws partly on critical thinking but primarily on behavioral habits; CA-Aw × CT is expected to be weakest (r = .25–.35) because metacognitive awareness is conceptually distinct from evaluative thinking disposition. This instrument also serves a </w:t>
      </w:r>
      <w:r>
        <w:rPr>
          <w:rFonts w:ascii="Times New Roman" w:hAnsi="Times New Roman"/>
          <w:b/>
          <w:i w:val="0"/>
          <w:sz w:val="24"/>
        </w:rPr>
        <w:t>falsification test</w:t>
      </w:r>
      <w:r>
        <w:rPr>
          <w:rFonts w:ascii="Times New Roman" w:hAnsi="Times New Roman"/>
          <w:b w:val="0"/>
          <w:i w:val="0"/>
          <w:sz w:val="24"/>
        </w:rPr>
        <w:t xml:space="preserve"> for the Judgment subscale: if CA-Jd correlates r ≥ .60 with critical thinking, the subscale may be measuring critical thinking rather than a distinct calibration construct.</w:t>
      </w:r>
    </w:p>
    <w:p>
      <w:pPr>
        <w:spacing w:before="0" w:after="0" w:line="480" w:lineRule="auto"/>
        <w:ind w:firstLine="720"/>
      </w:pPr>
      <w:r>
        <w:rPr>
          <w:rFonts w:ascii="Times New Roman" w:hAnsi="Times New Roman"/>
          <w:b w:val="0"/>
          <w:i w:val="0"/>
          <w:sz w:val="24"/>
        </w:rPr>
      </w:r>
      <w:r>
        <w:rPr>
          <w:rFonts w:ascii="Times New Roman" w:hAnsi="Times New Roman"/>
          <w:b/>
          <w:i w:val="0"/>
          <w:sz w:val="24"/>
        </w:rPr>
        <w:t>Discriminant validity instruments (expected r &lt; .30):</w:t>
      </w:r>
      <w:r>
        <w:rPr>
          <w:rFonts w:ascii="Times New Roman" w:hAnsi="Times New Roman"/>
          <w:b w:val="0"/>
          <w:i w:val="0"/>
          <w:sz w:val="24"/>
        </w:rPr>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val="0"/>
          <w:i/>
          <w:sz w:val="24"/>
        </w:rPr>
        <w:t>S-TIAS</w:t>
      </w:r>
      <w:r>
        <w:rPr>
          <w:rFonts w:ascii="Times New Roman" w:hAnsi="Times New Roman"/>
          <w:b w:val="0"/>
          <w:i w:val="0"/>
          <w:sz w:val="24"/>
        </w:rPr>
        <w:t xml:space="preserve"> (2025): 3 items measuring general trust in automation. Trust attitude and trust calibration readiness are theoretically distinct; a low correlation would confirm that the TCRS measures something beyond general trust level.</w:t>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val="0"/>
          <w:i/>
          <w:sz w:val="24"/>
        </w:rPr>
        <w:t>General Self-Efficacy Scale</w:t>
      </w:r>
      <w:r>
        <w:rPr>
          <w:rFonts w:ascii="Times New Roman" w:hAnsi="Times New Roman"/>
          <w:b w:val="0"/>
          <w:i w:val="0"/>
          <w:sz w:val="24"/>
        </w:rPr>
        <w:t xml:space="preserve"> (Schwarzer &amp; Jerusalem, 1995): 10 items. Several TCRS items were revised to remove self-efficacy language; a low correlation would confirm the revisions were successful.</w:t>
      </w:r>
    </w:p>
    <w:p>
      <w:pPr>
        <w:spacing w:before="0" w:after="0" w:line="480" w:lineRule="auto"/>
        <w:ind w:firstLine="720"/>
      </w:pPr>
      <w:r>
        <w:rPr>
          <w:rFonts w:ascii="Times New Roman" w:hAnsi="Times New Roman"/>
          <w:b w:val="0"/>
          <w:i w:val="0"/>
          <w:sz w:val="24"/>
        </w:rPr>
      </w:r>
      <w:r>
        <w:rPr>
          <w:rFonts w:ascii="Times New Roman" w:hAnsi="Times New Roman"/>
          <w:b/>
          <w:i w:val="0"/>
          <w:sz w:val="24"/>
        </w:rPr>
        <w:t>Response bias control:</w:t>
      </w:r>
      <w:r>
        <w:rPr>
          <w:rFonts w:ascii="Times New Roman" w:hAnsi="Times New Roman"/>
          <w:b w:val="0"/>
          <w:i w:val="0"/>
          <w:sz w:val="24"/>
        </w:rPr>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val="0"/>
          <w:i/>
          <w:sz w:val="24"/>
        </w:rPr>
        <w:t>Marlowe-Crowne Social Desirability Scale — Short Form</w:t>
      </w:r>
      <w:r>
        <w:rPr>
          <w:rFonts w:ascii="Times New Roman" w:hAnsi="Times New Roman"/>
          <w:b w:val="0"/>
          <w:i w:val="0"/>
          <w:sz w:val="24"/>
        </w:rPr>
        <w:t xml:space="preserve"> (Crowne &amp; Marlowe, 1960): 13 items measuring the tendency to present oneself in a socially favorable light. Because trust calibration readiness may be perceived as a desirable quality—particularly among learners who are aware of AI literacy expectations—social desirability bias is a relevant concern. If any TCRS subscale correlates r &gt; .30 with social desirability, this will be noted as a limitation and considered when interpreting validity evidence.</w:t>
      </w:r>
    </w:p>
    <w:p>
      <w:pPr>
        <w:spacing w:before="240" w:after="120" w:line="480" w:lineRule="auto"/>
        <w:jc w:val="left"/>
      </w:pPr>
      <w:r>
        <w:rPr>
          <w:rFonts w:ascii="Times New Roman" w:hAnsi="Times New Roman"/>
          <w:b/>
          <w:i/>
          <w:sz w:val="24"/>
        </w:rPr>
        <w:t>Procedure</w:t>
      </w:r>
    </w:p>
    <w:p>
      <w:pPr>
        <w:spacing w:before="0" w:after="0" w:line="480" w:lineRule="auto"/>
        <w:ind w:firstLine="720"/>
      </w:pPr>
      <w:r>
        <w:rPr>
          <w:rFonts w:ascii="Times New Roman" w:hAnsi="Times New Roman"/>
          <w:b w:val="0"/>
          <w:i w:val="0"/>
          <w:sz w:val="24"/>
        </w:rPr>
        <w:t>Participants completed an online survey including: (a) demographics and AI use questions, (b) TCRS, (c) convergent and discriminant validity instruments (counterbalanced), (d) social desirability measure, and (e) attention checks.</w:t>
      </w:r>
    </w:p>
    <w:p>
      <w:pPr>
        <w:spacing w:before="240" w:after="120" w:line="480" w:lineRule="auto"/>
        <w:jc w:val="left"/>
      </w:pPr>
      <w:r>
        <w:rPr>
          <w:rFonts w:ascii="Times New Roman" w:hAnsi="Times New Roman"/>
          <w:b/>
          <w:i/>
          <w:sz w:val="24"/>
        </w:rPr>
        <w:t>Data Analysis</w:t>
      </w:r>
    </w:p>
    <w:p>
      <w:pPr>
        <w:spacing w:before="0" w:after="0" w:line="480" w:lineRule="auto"/>
        <w:ind w:firstLine="720"/>
      </w:pPr>
      <w:r>
        <w:rPr>
          <w:rFonts w:ascii="Times New Roman" w:hAnsi="Times New Roman"/>
          <w:b w:val="0"/>
          <w:i w:val="0"/>
          <w:sz w:val="24"/>
        </w:rPr>
      </w:r>
      <w:r>
        <w:rPr>
          <w:rFonts w:ascii="Times New Roman" w:hAnsi="Times New Roman"/>
          <w:b/>
          <w:i w:val="0"/>
          <w:sz w:val="24"/>
        </w:rPr>
        <w:t>Confirmatory factor analysis.</w:t>
      </w:r>
      <w:r>
        <w:rPr>
          <w:rFonts w:ascii="Times New Roman" w:hAnsi="Times New Roman"/>
          <w:b w:val="0"/>
          <w:i w:val="0"/>
          <w:sz w:val="24"/>
        </w:rPr>
        <w:t xml:space="preserve"> CFA was conducted using maximum likelihood estimation with robust standard errors (MLR) in [software]. Four models were compared:</w:t>
      </w:r>
    </w:p>
    <w:p>
      <w:pPr>
        <w:spacing w:before="0" w:after="0" w:line="480" w:lineRule="auto"/>
        <w:ind w:left="720" w:hanging="360"/>
      </w:pPr>
      <w:r>
        <w:rPr>
          <w:rFonts w:ascii="Times New Roman" w:hAnsi="Times New Roman"/>
          <w:b w:val="0"/>
          <w:i w:val="0"/>
          <w:sz w:val="24"/>
        </w:rPr>
        <w:t xml:space="preserve">1. </w:t>
      </w:r>
      <w:r>
        <w:rPr>
          <w:rFonts w:ascii="Times New Roman" w:hAnsi="Times New Roman"/>
          <w:b w:val="0"/>
          <w:i w:val="0"/>
          <w:sz w:val="24"/>
        </w:rPr>
      </w:r>
      <w:r>
        <w:rPr>
          <w:rFonts w:ascii="Times New Roman" w:hAnsi="Times New Roman"/>
          <w:b/>
          <w:i w:val="0"/>
          <w:sz w:val="24"/>
        </w:rPr>
        <w:t>Model 1:</w:t>
      </w:r>
      <w:r>
        <w:rPr>
          <w:rFonts w:ascii="Times New Roman" w:hAnsi="Times New Roman"/>
          <w:b w:val="0"/>
          <w:i w:val="0"/>
          <w:sz w:val="24"/>
        </w:rPr>
        <w:t xml:space="preserve"> Single-factor (all items on one factor)</w:t>
      </w:r>
    </w:p>
    <w:p>
      <w:pPr>
        <w:spacing w:before="0" w:after="0" w:line="480" w:lineRule="auto"/>
        <w:ind w:left="720" w:hanging="360"/>
      </w:pPr>
      <w:r>
        <w:rPr>
          <w:rFonts w:ascii="Times New Roman" w:hAnsi="Times New Roman"/>
          <w:b w:val="0"/>
          <w:i w:val="0"/>
          <w:sz w:val="24"/>
        </w:rPr>
        <w:t xml:space="preserve">2. </w:t>
      </w:r>
      <w:r>
        <w:rPr>
          <w:rFonts w:ascii="Times New Roman" w:hAnsi="Times New Roman"/>
          <w:b w:val="0"/>
          <w:i w:val="0"/>
          <w:sz w:val="24"/>
        </w:rPr>
      </w:r>
      <w:r>
        <w:rPr>
          <w:rFonts w:ascii="Times New Roman" w:hAnsi="Times New Roman"/>
          <w:b/>
          <w:i w:val="0"/>
          <w:sz w:val="24"/>
        </w:rPr>
        <w:t>Model 2:</w:t>
      </w:r>
      <w:r>
        <w:rPr>
          <w:rFonts w:ascii="Times New Roman" w:hAnsi="Times New Roman"/>
          <w:b w:val="0"/>
          <w:i w:val="0"/>
          <w:sz w:val="24"/>
        </w:rPr>
        <w:t xml:space="preserve"> Two correlated factors (Cognition + Action), if Study 1 suggested a two-factor solution</w:t>
      </w:r>
    </w:p>
    <w:p>
      <w:pPr>
        <w:spacing w:before="0" w:after="0" w:line="480" w:lineRule="auto"/>
        <w:ind w:left="720" w:hanging="360"/>
      </w:pPr>
      <w:r>
        <w:rPr>
          <w:rFonts w:ascii="Times New Roman" w:hAnsi="Times New Roman"/>
          <w:b w:val="0"/>
          <w:i w:val="0"/>
          <w:sz w:val="24"/>
        </w:rPr>
        <w:t xml:space="preserve">3. </w:t>
      </w:r>
      <w:r>
        <w:rPr>
          <w:rFonts w:ascii="Times New Roman" w:hAnsi="Times New Roman"/>
          <w:b w:val="0"/>
          <w:i w:val="0"/>
          <w:sz w:val="24"/>
        </w:rPr>
      </w:r>
      <w:r>
        <w:rPr>
          <w:rFonts w:ascii="Times New Roman" w:hAnsi="Times New Roman"/>
          <w:b/>
          <w:i w:val="0"/>
          <w:sz w:val="24"/>
        </w:rPr>
        <w:t>Model 3:</w:t>
      </w:r>
      <w:r>
        <w:rPr>
          <w:rFonts w:ascii="Times New Roman" w:hAnsi="Times New Roman"/>
          <w:b w:val="0"/>
          <w:i w:val="0"/>
          <w:sz w:val="24"/>
        </w:rPr>
        <w:t xml:space="preserve"> Three correlated factors (Awareness, Judgment, Action), as theorized</w:t>
      </w:r>
    </w:p>
    <w:p>
      <w:pPr>
        <w:spacing w:before="0" w:after="0" w:line="480" w:lineRule="auto"/>
        <w:ind w:left="720" w:hanging="360"/>
      </w:pPr>
      <w:r>
        <w:rPr>
          <w:rFonts w:ascii="Times New Roman" w:hAnsi="Times New Roman"/>
          <w:b w:val="0"/>
          <w:i w:val="0"/>
          <w:sz w:val="24"/>
        </w:rPr>
        <w:t xml:space="preserve">4. </w:t>
      </w:r>
      <w:r>
        <w:rPr>
          <w:rFonts w:ascii="Times New Roman" w:hAnsi="Times New Roman"/>
          <w:b w:val="0"/>
          <w:i w:val="0"/>
          <w:sz w:val="24"/>
        </w:rPr>
      </w:r>
      <w:r>
        <w:rPr>
          <w:rFonts w:ascii="Times New Roman" w:hAnsi="Times New Roman"/>
          <w:b/>
          <w:i w:val="0"/>
          <w:sz w:val="24"/>
        </w:rPr>
        <w:t>Model 4:</w:t>
      </w:r>
      <w:r>
        <w:rPr>
          <w:rFonts w:ascii="Times New Roman" w:hAnsi="Times New Roman"/>
          <w:b w:val="0"/>
          <w:i w:val="0"/>
          <w:sz w:val="24"/>
        </w:rPr>
        <w:t xml:space="preserve"> Bifactor model (general trust calibration readiness factor + three specific factors)</w:t>
      </w:r>
    </w:p>
    <w:p>
      <w:pPr>
        <w:spacing w:before="0" w:after="0" w:line="480" w:lineRule="auto"/>
        <w:ind w:firstLine="720"/>
      </w:pPr>
      <w:r>
        <w:rPr>
          <w:rFonts w:ascii="Times New Roman" w:hAnsi="Times New Roman"/>
          <w:b w:val="0"/>
          <w:i w:val="0"/>
          <w:sz w:val="24"/>
        </w:rPr>
        <w:t>Model fit was evaluated using: chi-square (χ²), comparative fit index (CFI &gt; .95), Tucker-Lewis index (TLI &gt; .95), root mean square error of approximation (RMSEA &lt; .06), and standardized root mean square residual (SRMR &lt; .08) (Hu &amp; Bentler, 1999). Model comparison used the chi-square difference test and information criteria (AIC, BIC).</w:t>
      </w:r>
    </w:p>
    <w:p>
      <w:pPr>
        <w:spacing w:before="0" w:after="0" w:line="480" w:lineRule="auto"/>
        <w:ind w:firstLine="720"/>
      </w:pPr>
      <w:r>
        <w:rPr>
          <w:rFonts w:ascii="Times New Roman" w:hAnsi="Times New Roman"/>
          <w:b w:val="0"/>
          <w:i w:val="0"/>
          <w:sz w:val="24"/>
        </w:rPr>
        <w:t>If the bifactor model was supported, omega hierarchical (ω_h) and omega subscale (ω_s) coefficients were computed to assess the proportion of variance attributable to the general factor versus specific factors (Rodriguez et al., 2016).</w:t>
      </w:r>
    </w:p>
    <w:p>
      <w:pPr>
        <w:spacing w:before="0" w:after="0" w:line="480" w:lineRule="auto"/>
        <w:ind w:firstLine="720"/>
      </w:pPr>
      <w:r>
        <w:rPr>
          <w:rFonts w:ascii="Times New Roman" w:hAnsi="Times New Roman"/>
          <w:b w:val="0"/>
          <w:i w:val="0"/>
          <w:sz w:val="24"/>
        </w:rPr>
      </w:r>
      <w:r>
        <w:rPr>
          <w:rFonts w:ascii="Times New Roman" w:hAnsi="Times New Roman"/>
          <w:b/>
          <w:i w:val="0"/>
          <w:sz w:val="24"/>
        </w:rPr>
        <w:t>Method factor modeling.</w:t>
      </w:r>
      <w:r>
        <w:rPr>
          <w:rFonts w:ascii="Times New Roman" w:hAnsi="Times New Roman"/>
          <w:b w:val="0"/>
          <w:i w:val="0"/>
          <w:sz w:val="24"/>
        </w:rPr>
        <w:t xml:space="preserve"> Because the TCRS uses mixed response formats (agreement for Awareness/Judgment, frequency for Action), a method factor for response format was modeled to ensure that the factor structure reflects substantive constructs rather than method variance (Podsakoff et al., 2003).</w:t>
      </w:r>
    </w:p>
    <w:p>
      <w:pPr>
        <w:spacing w:before="0" w:after="0" w:line="480" w:lineRule="auto"/>
        <w:ind w:firstLine="720"/>
      </w:pPr>
      <w:r>
        <w:rPr>
          <w:rFonts w:ascii="Times New Roman" w:hAnsi="Times New Roman"/>
          <w:b w:val="0"/>
          <w:i w:val="0"/>
          <w:sz w:val="24"/>
        </w:rPr>
      </w:r>
      <w:r>
        <w:rPr>
          <w:rFonts w:ascii="Times New Roman" w:hAnsi="Times New Roman"/>
          <w:b/>
          <w:i w:val="0"/>
          <w:sz w:val="24"/>
        </w:rPr>
        <w:t>Convergent and discriminant validity.</w:t>
      </w:r>
      <w:r>
        <w:rPr>
          <w:rFonts w:ascii="Times New Roman" w:hAnsi="Times New Roman"/>
          <w:b w:val="0"/>
          <w:i w:val="0"/>
          <w:sz w:val="24"/>
        </w:rPr>
        <w:t xml:space="preserve"> Bivariate correlations between TCRS subscales and validity instruments were computed. Convergent validity was supported if TCRS subscales showed the differentiated pattern of correlations described above. Discriminant validity was supported if TCRS subscales correlated r &lt; .30 with S-TIAS and General Self-Efficacy.</w:t>
      </w:r>
    </w:p>
    <w:p>
      <w:pPr>
        <w:spacing w:before="0" w:after="0" w:line="480" w:lineRule="auto"/>
        <w:ind w:firstLine="720"/>
      </w:pPr>
      <w:r>
        <w:rPr>
          <w:rFonts w:ascii="Times New Roman" w:hAnsi="Times New Roman"/>
          <w:b w:val="0"/>
          <w:i w:val="0"/>
          <w:sz w:val="24"/>
        </w:rPr>
      </w:r>
      <w:r>
        <w:rPr>
          <w:rFonts w:ascii="Times New Roman" w:hAnsi="Times New Roman"/>
          <w:b/>
          <w:i w:val="0"/>
          <w:sz w:val="24"/>
        </w:rPr>
        <w:t>Known-groups validity.</w:t>
      </w:r>
      <w:r>
        <w:rPr>
          <w:rFonts w:ascii="Times New Roman" w:hAnsi="Times New Roman"/>
          <w:b w:val="0"/>
          <w:i w:val="0"/>
          <w:sz w:val="24"/>
        </w:rPr>
        <w:t xml:space="preserve"> Group comparisons were planned based on:</w:t>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val="0"/>
          <w:i/>
          <w:sz w:val="24"/>
        </w:rPr>
        <w:t>AI use experience:</w:t>
      </w:r>
      <w:r>
        <w:rPr>
          <w:rFonts w:ascii="Times New Roman" w:hAnsi="Times New Roman"/>
          <w:b w:val="0"/>
          <w:i w:val="0"/>
          <w:sz w:val="24"/>
        </w:rPr>
        <w:t xml:space="preserve"> High-experience users (daily use, multiple tools) were expected to score higher than low-experience users on all TCRS subscales.</w:t>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val="0"/>
          <w:i/>
          <w:sz w:val="24"/>
        </w:rPr>
        <w:t>Field of study:</w:t>
      </w:r>
      <w:r>
        <w:rPr>
          <w:rFonts w:ascii="Times New Roman" w:hAnsi="Times New Roman"/>
          <w:b w:val="0"/>
          <w:i w:val="0"/>
          <w:sz w:val="24"/>
        </w:rPr>
        <w:t xml:space="preserve"> STEM students were expected to score higher on Calibration Awareness (greater familiarity with AI system properties) than humanities students, but similar on Calibration Action (behavioral regulation is domain-general).</w:t>
      </w:r>
    </w:p>
    <w:p>
      <w:pPr>
        <w:spacing w:before="0" w:after="0" w:line="480" w:lineRule="auto"/>
        <w:ind w:firstLine="720"/>
      </w:pPr>
      <w:r>
        <w:rPr>
          <w:rFonts w:ascii="Times New Roman" w:hAnsi="Times New Roman"/>
          <w:b w:val="0"/>
          <w:i w:val="0"/>
          <w:sz w:val="24"/>
        </w:rPr>
      </w:r>
      <w:r>
        <w:rPr>
          <w:rFonts w:ascii="Times New Roman" w:hAnsi="Times New Roman"/>
          <w:b/>
          <w:i w:val="0"/>
          <w:sz w:val="24"/>
        </w:rPr>
        <w:t>Falsification test for Calibration Judgment.</w:t>
      </w:r>
      <w:r>
        <w:rPr>
          <w:rFonts w:ascii="Times New Roman" w:hAnsi="Times New Roman"/>
          <w:b w:val="0"/>
          <w:i w:val="0"/>
          <w:sz w:val="24"/>
        </w:rPr>
        <w:t xml:space="preserve"> If the correlation between CA-Jd and the Critical Thinking Disposition Scale exceeded r = .60, this would suggest that Calibration Judgment does not provide incremental measurement beyond critical thinking. In this case, we would report a two-subscale solution (Awareness + Action) and discuss the implications honestly.</w:t>
      </w:r>
    </w:p>
    <w:p>
      <w:pPr>
        <w:spacing w:before="240" w:after="120" w:line="480" w:lineRule="auto"/>
        <w:jc w:val="left"/>
      </w:pPr>
      <w:r>
        <w:rPr>
          <w:rFonts w:ascii="Times New Roman" w:hAnsi="Times New Roman"/>
          <w:b/>
          <w:i w:val="0"/>
          <w:sz w:val="24"/>
        </w:rPr>
        <w:t>Results</w:t>
      </w:r>
    </w:p>
    <w:p>
      <w:pPr>
        <w:spacing w:before="0" w:after="0" w:line="480" w:lineRule="auto"/>
        <w:ind w:firstLine="720"/>
      </w:pPr>
      <w:r>
        <w:rPr>
          <w:rFonts w:ascii="Times New Roman" w:hAnsi="Times New Roman"/>
          <w:b w:val="0"/>
          <w:i w:val="0"/>
          <w:sz w:val="24"/>
        </w:rPr>
        <w:t>[TO BE COMPLETED AFTER DATA COLLECTION]</w:t>
      </w:r>
    </w:p>
    <w:p>
      <w:pPr>
        <w:spacing w:before="240" w:after="120" w:line="480" w:lineRule="auto"/>
        <w:jc w:val="center"/>
      </w:pPr>
      <w:r>
        <w:rPr>
          <w:rFonts w:ascii="Times New Roman" w:hAnsi="Times New Roman"/>
          <w:b/>
          <w:i w:val="0"/>
          <w:sz w:val="24"/>
        </w:rPr>
        <w:t>General Discussion</w:t>
      </w:r>
    </w:p>
    <w:p>
      <w:pPr>
        <w:spacing w:before="0" w:after="0" w:line="480" w:lineRule="auto"/>
        <w:ind w:firstLine="720"/>
      </w:pPr>
      <w:r>
        <w:rPr>
          <w:rFonts w:ascii="Times New Roman" w:hAnsi="Times New Roman"/>
          <w:b w:val="0"/>
          <w:i w:val="0"/>
          <w:sz w:val="24"/>
        </w:rPr>
        <w:t>[TO BE COMPLETED AFTER DATA COLLECTION. The following sections outline the planned discussion structure.]</w:t>
      </w:r>
    </w:p>
    <w:p>
      <w:pPr>
        <w:spacing w:before="240" w:after="120" w:line="480" w:lineRule="auto"/>
        <w:jc w:val="left"/>
      </w:pPr>
      <w:r>
        <w:rPr>
          <w:rFonts w:ascii="Times New Roman" w:hAnsi="Times New Roman"/>
          <w:b/>
          <w:i w:val="0"/>
          <w:sz w:val="24"/>
        </w:rPr>
        <w:t>Summary of Findings</w:t>
      </w:r>
    </w:p>
    <w:p>
      <w:pPr>
        <w:spacing w:before="0" w:after="0" w:line="480" w:lineRule="auto"/>
        <w:ind w:firstLine="720"/>
      </w:pPr>
      <w:r>
        <w:rPr>
          <w:rFonts w:ascii="Times New Roman" w:hAnsi="Times New Roman"/>
          <w:b w:val="0"/>
          <w:i w:val="0"/>
          <w:sz w:val="24"/>
        </w:rPr>
        <w:t>[Report factor structure, reliability, and validity evidence]</w:t>
      </w:r>
    </w:p>
    <w:p>
      <w:pPr>
        <w:spacing w:before="240" w:after="120" w:line="480" w:lineRule="auto"/>
        <w:jc w:val="left"/>
      </w:pPr>
      <w:r>
        <w:rPr>
          <w:rFonts w:ascii="Times New Roman" w:hAnsi="Times New Roman"/>
          <w:b/>
          <w:i w:val="0"/>
          <w:sz w:val="24"/>
        </w:rPr>
        <w:t>Theoretical Contributions</w:t>
      </w:r>
    </w:p>
    <w:p>
      <w:pPr>
        <w:spacing w:before="0" w:after="0" w:line="480" w:lineRule="auto"/>
        <w:ind w:firstLine="720"/>
      </w:pPr>
      <w:r>
        <w:rPr>
          <w:rFonts w:ascii="Times New Roman" w:hAnsi="Times New Roman"/>
          <w:b w:val="0"/>
          <w:i w:val="0"/>
          <w:sz w:val="24"/>
        </w:rPr>
        <w:t>The trust calibration process model makes three theoretical contributions.</w:t>
      </w:r>
    </w:p>
    <w:p>
      <w:pPr>
        <w:spacing w:before="0" w:after="0" w:line="480" w:lineRule="auto"/>
        <w:ind w:firstLine="720"/>
      </w:pPr>
      <w:r>
        <w:rPr>
          <w:rFonts w:ascii="Times New Roman" w:hAnsi="Times New Roman"/>
          <w:b w:val="0"/>
          <w:i w:val="0"/>
          <w:sz w:val="24"/>
        </w:rPr>
        <w:t>First, it connects three established theoretical traditions—metacognitive monitoring (Winne &amp; Hadwin, 1998), trust dynamics (Lee &amp; See, 2004), and human agency (Bandura, 2001)—into a theorized process that has not previously been articulated in the educational AI literature. This connection represents a deliberate theoretical construction: each tradition contributes a specific explanatory function, and we draw selectively from each rather than claiming full integration. Metacognition provides the awareness mechanism (knowing where you are), trust theory identifies the variable being calibrated (the force that displaces), and agency theory supplies the regulatory mechanism (the act of adjusting).</w:t>
      </w:r>
    </w:p>
    <w:p>
      <w:pPr>
        <w:spacing w:before="0" w:after="0" w:line="480" w:lineRule="auto"/>
        <w:ind w:firstLine="720"/>
      </w:pPr>
      <w:r>
        <w:rPr>
          <w:rFonts w:ascii="Times New Roman" w:hAnsi="Times New Roman"/>
          <w:b w:val="0"/>
          <w:i w:val="0"/>
          <w:sz w:val="24"/>
        </w:rPr>
        <w:t>Second, the model distinguishes trust calibration from trust itself. This distinction has important implications for intervention design. Interventions targeting calibration should not simply aim to increase or decrease trust; they should support learners' metacognitive awareness, evaluative judgment, and agentic regulation—the process by which appropriate trust is achieved.</w:t>
      </w:r>
    </w:p>
    <w:p>
      <w:pPr>
        <w:spacing w:before="0" w:after="0" w:line="480" w:lineRule="auto"/>
        <w:ind w:firstLine="720"/>
      </w:pPr>
      <w:r>
        <w:rPr>
          <w:rFonts w:ascii="Times New Roman" w:hAnsi="Times New Roman"/>
          <w:b w:val="0"/>
          <w:i w:val="0"/>
          <w:sz w:val="24"/>
        </w:rPr>
        <w:t>Third, the process model provides a framework for understanding why learners miscalibrate. A learner may overtrust not because of any single deficit, but because of failures at different process stages: lacking awareness that trust is high (awareness failure), failing to evaluate whether high trust is warranted (judgment failure), or knowing that trust should be lower but not acting on that knowledge (action failure). This stage-specific diagnosis has direct implications for targeted educational interventions.</w:t>
      </w:r>
    </w:p>
    <w:p>
      <w:pPr>
        <w:spacing w:before="240" w:after="120" w:line="480" w:lineRule="auto"/>
        <w:jc w:val="left"/>
      </w:pPr>
      <w:r>
        <w:rPr>
          <w:rFonts w:ascii="Times New Roman" w:hAnsi="Times New Roman"/>
          <w:b/>
          <w:i w:val="0"/>
          <w:sz w:val="24"/>
        </w:rPr>
        <w:t>Practical Implications</w:t>
      </w:r>
    </w:p>
    <w:p>
      <w:pPr>
        <w:spacing w:before="0" w:after="0" w:line="480" w:lineRule="auto"/>
        <w:ind w:firstLine="720"/>
      </w:pPr>
      <w:r>
        <w:rPr>
          <w:rFonts w:ascii="Times New Roman" w:hAnsi="Times New Roman"/>
          <w:b w:val="0"/>
          <w:i w:val="0"/>
          <w:sz w:val="24"/>
        </w:rPr>
        <w:t>The TCRS offers practical value for three audiences:</w:t>
      </w:r>
    </w:p>
    <w:p>
      <w:pPr>
        <w:spacing w:before="0" w:after="0" w:line="480" w:lineRule="auto"/>
        <w:ind w:firstLine="720"/>
      </w:pPr>
      <w:r>
        <w:rPr>
          <w:rFonts w:ascii="Times New Roman" w:hAnsi="Times New Roman"/>
          <w:b w:val="0"/>
          <w:i w:val="0"/>
          <w:sz w:val="24"/>
        </w:rPr>
      </w:r>
      <w:r>
        <w:rPr>
          <w:rFonts w:ascii="Times New Roman" w:hAnsi="Times New Roman"/>
          <w:b/>
          <w:i w:val="0"/>
          <w:sz w:val="24"/>
        </w:rPr>
        <w:t>Educators</w:t>
      </w:r>
      <w:r>
        <w:rPr>
          <w:rFonts w:ascii="Times New Roman" w:hAnsi="Times New Roman"/>
          <w:b w:val="0"/>
          <w:i w:val="0"/>
          <w:sz w:val="24"/>
        </w:rPr>
        <w:t xml:space="preserve"> can use the TCRS to assess students' trust calibration readiness before introducing AI tools into learning activities. Subscale-level profiles can identify specific areas for instructional support: students with low awareness may benefit from reflective exercises about their AI use patterns; students with low judgment may benefit from explicit instruction on evaluating AI reliability; students with low action may benefit from structured verification protocols.</w:t>
      </w:r>
    </w:p>
    <w:p>
      <w:pPr>
        <w:spacing w:before="0" w:after="0" w:line="480" w:lineRule="auto"/>
        <w:ind w:firstLine="720"/>
      </w:pPr>
      <w:r>
        <w:rPr>
          <w:rFonts w:ascii="Times New Roman" w:hAnsi="Times New Roman"/>
          <w:b w:val="0"/>
          <w:i w:val="0"/>
          <w:sz w:val="24"/>
        </w:rPr>
      </w:r>
      <w:r>
        <w:rPr>
          <w:rFonts w:ascii="Times New Roman" w:hAnsi="Times New Roman"/>
          <w:b/>
          <w:i w:val="0"/>
          <w:sz w:val="24"/>
        </w:rPr>
        <w:t>Researchers</w:t>
      </w:r>
      <w:r>
        <w:rPr>
          <w:rFonts w:ascii="Times New Roman" w:hAnsi="Times New Roman"/>
          <w:b w:val="0"/>
          <w:i w:val="0"/>
          <w:sz w:val="24"/>
        </w:rPr>
        <w:t xml:space="preserve"> can use the TCRS as a dependent variable in intervention studies, as a moderator in studies of AI-enhanced learning outcomes, or as a diagnostic tool in studies of AI literacy development.</w:t>
      </w:r>
    </w:p>
    <w:p>
      <w:pPr>
        <w:spacing w:before="0" w:after="0" w:line="480" w:lineRule="auto"/>
        <w:ind w:firstLine="720"/>
      </w:pPr>
      <w:r>
        <w:rPr>
          <w:rFonts w:ascii="Times New Roman" w:hAnsi="Times New Roman"/>
          <w:b w:val="0"/>
          <w:i w:val="0"/>
          <w:sz w:val="24"/>
        </w:rPr>
      </w:r>
      <w:r>
        <w:rPr>
          <w:rFonts w:ascii="Times New Roman" w:hAnsi="Times New Roman"/>
          <w:b/>
          <w:i w:val="0"/>
          <w:sz w:val="24"/>
        </w:rPr>
        <w:t>Instructional designers</w:t>
      </w:r>
      <w:r>
        <w:rPr>
          <w:rFonts w:ascii="Times New Roman" w:hAnsi="Times New Roman"/>
          <w:b w:val="0"/>
          <w:i w:val="0"/>
          <w:sz w:val="24"/>
        </w:rPr>
        <w:t xml:space="preserve"> can use the process model to inform the design of AI-integrated learning environments that scaffold the calibration process—for example, by including prompts for metacognitive reflection (awareness support), reliability indicators (judgment support), and verification tools (action support).</w:t>
      </w:r>
    </w:p>
    <w:p>
      <w:pPr>
        <w:spacing w:before="240" w:after="120" w:line="480" w:lineRule="auto"/>
        <w:jc w:val="left"/>
      </w:pPr>
      <w:r>
        <w:rPr>
          <w:rFonts w:ascii="Times New Roman" w:hAnsi="Times New Roman"/>
          <w:b/>
          <w:i w:val="0"/>
          <w:sz w:val="24"/>
        </w:rPr>
        <w:t>Limitations and Future Directions</w:t>
      </w:r>
    </w:p>
    <w:p>
      <w:pPr>
        <w:spacing w:before="0" w:after="0" w:line="480" w:lineRule="auto"/>
        <w:ind w:firstLine="720"/>
      </w:pPr>
      <w:r>
        <w:rPr>
          <w:rFonts w:ascii="Times New Roman" w:hAnsi="Times New Roman"/>
          <w:b w:val="0"/>
          <w:i w:val="0"/>
          <w:sz w:val="24"/>
        </w:rPr>
        <w:t>Several limitations should be acknowledged.</w:t>
      </w:r>
    </w:p>
    <w:p>
      <w:pPr>
        <w:spacing w:before="0" w:after="0" w:line="480" w:lineRule="auto"/>
        <w:ind w:firstLine="720"/>
      </w:pPr>
      <w:r>
        <w:rPr>
          <w:rFonts w:ascii="Times New Roman" w:hAnsi="Times New Roman"/>
          <w:b w:val="0"/>
          <w:i w:val="0"/>
          <w:sz w:val="24"/>
        </w:rPr>
        <w:t>First, the TCRS measures readiness through self-report, not actual calibration accuracy. Self-report measures of metacognitive processes are subject to known validity ceilings, as individuals with poor metacognition tend to overestimate their metacognitive abilities (Dunning et al., 2003). Importantly, this validity ceiling is not uniform across the three subscales. Self-report validity is expected to be strongest for Calibration Action (CA-Ac), which asks about observable behavioral frequencies (e.g., checking AI outputs against other sources)—behaviors that are concrete and relatively easy to report accurately. Validity is expected to be moderate for Calibration Judgment (CA-Jd), which asks about evaluative tendencies that are somewhat introspectable but subject to social desirability. Validity is expected to be weakest for Calibration Awareness (CA-Aw), which asks about metacognitive awareness—precisely the construct most vulnerable to the Dunning-Kruger effect, as learners with poor metacognitive awareness are least equipped to recognize their deficit. Future research should examine the relationship between TCRS scores and behavioral measures of trust calibration accuracy.</w:t>
      </w:r>
    </w:p>
    <w:p>
      <w:pPr>
        <w:spacing w:before="0" w:after="0" w:line="480" w:lineRule="auto"/>
        <w:ind w:firstLine="720"/>
      </w:pPr>
      <w:r>
        <w:rPr>
          <w:rFonts w:ascii="Times New Roman" w:hAnsi="Times New Roman"/>
          <w:b w:val="0"/>
          <w:i w:val="0"/>
          <w:sz w:val="24"/>
        </w:rPr>
        <w:t>Second, the TCRS is likely most reliable as a screening tool for identifying low-readiness learners rather than as a confirmatory tool for high-readiness learners. Learners who report low calibration readiness are almost certainly low—there is little incentive or capacity to underreport awareness, judgment, or action. However, learners who report high readiness may be genuinely high or may be overestimating their capacity due to the metacognitive limitations described above. This asymmetric interpretive value should inform how the TCRS is used in practice: with greater confidence in low scores (for identifying students needing support) than in high scores (which should be treated as provisional until corroborated by behavioral evidence).</w:t>
      </w:r>
    </w:p>
    <w:p>
      <w:pPr>
        <w:spacing w:before="0" w:after="0" w:line="480" w:lineRule="auto"/>
        <w:ind w:firstLine="720"/>
      </w:pPr>
      <w:r>
        <w:rPr>
          <w:rFonts w:ascii="Times New Roman" w:hAnsi="Times New Roman"/>
          <w:b w:val="0"/>
          <w:i w:val="0"/>
          <w:sz w:val="24"/>
        </w:rPr>
        <w:t>Third, the cross-sectional design captures a snapshot of readiness at each process stage but cannot confirm the theorized sequential relationship among the stages. Longitudinal or experience-sampling studies are needed to test whether awareness temporally precedes judgment, and judgment precedes action, during actual AI-assisted learning episodes.</w:t>
      </w:r>
    </w:p>
    <w:p>
      <w:pPr>
        <w:spacing w:before="0" w:after="0" w:line="480" w:lineRule="auto"/>
        <w:ind w:firstLine="720"/>
      </w:pPr>
      <w:r>
        <w:rPr>
          <w:rFonts w:ascii="Times New Roman" w:hAnsi="Times New Roman"/>
          <w:b w:val="0"/>
          <w:i w:val="0"/>
          <w:sz w:val="24"/>
        </w:rPr>
        <w:t>Fourth, the process model theorizes calibration as a primarily sequential process with recursive feedback, but the balance between sequential and parallel processing in practice remains an empirical question. The process model represents a simplified account that prioritizes theoretical clarity over ecological completeness.</w:t>
      </w:r>
    </w:p>
    <w:p>
      <w:pPr>
        <w:spacing w:before="0" w:after="0" w:line="480" w:lineRule="auto"/>
        <w:ind w:firstLine="720"/>
      </w:pPr>
      <w:r>
        <w:rPr>
          <w:rFonts w:ascii="Times New Roman" w:hAnsi="Times New Roman"/>
          <w:b w:val="0"/>
          <w:i w:val="0"/>
          <w:sz w:val="24"/>
        </w:rPr>
        <w:t>Fifth, the sample [describe demographic limitations]. Cross-cultural validation is a particularly important next step, as the theoretical foundations of the TCRS carry unequal cultural assumptions. Bandura's (2001) human agency theory—which grounds the Calibration Action subscale—is rooted in a Western, individualistic conception of self-directed action. Trust calibration in collectivist educational contexts may involve qualitatively different processes, including authority-mediated calibration (where trust in AI is shaped by institutional or teacher authority rather than individual evaluation) or collective calibration processes (where trust assessment occurs through group deliberation rather than individual judgment). These alternative pathways would not be captured by the current TCRS and represent an important direction for future culturally adaptive development.</w:t>
      </w:r>
    </w:p>
    <w:p>
      <w:pPr>
        <w:spacing w:before="0" w:after="0" w:line="480" w:lineRule="auto"/>
        <w:ind w:firstLine="720"/>
      </w:pPr>
      <w:r>
        <w:rPr>
          <w:rFonts w:ascii="Times New Roman" w:hAnsi="Times New Roman"/>
          <w:b w:val="0"/>
          <w:i w:val="0"/>
          <w:sz w:val="24"/>
        </w:rPr>
        <w:t>Sixth, the rapid evolution of AI capabilities means that the specific AI behaviors learners encounter will change over time. The TCRS is designed at the construct level (trust calibration readiness) rather than the technology level (specific AI tools), which should provide some stability, but ongoing monitoring of the scale's relevance is warranted.</w:t>
      </w:r>
    </w:p>
    <w:p>
      <w:pPr>
        <w:spacing w:before="240" w:after="120" w:line="480" w:lineRule="auto"/>
        <w:jc w:val="left"/>
      </w:pPr>
      <w:r>
        <w:rPr>
          <w:rFonts w:ascii="Times New Roman" w:hAnsi="Times New Roman"/>
          <w:b/>
          <w:i w:val="0"/>
          <w:sz w:val="24"/>
        </w:rPr>
        <w:t>Conclusion</w:t>
      </w:r>
    </w:p>
    <w:p>
      <w:pPr>
        <w:spacing w:before="0" w:after="0" w:line="480" w:lineRule="auto"/>
        <w:ind w:firstLine="720"/>
      </w:pPr>
      <w:r>
        <w:rPr>
          <w:rFonts w:ascii="Times New Roman" w:hAnsi="Times New Roman"/>
          <w:b w:val="0"/>
          <w:i w:val="0"/>
          <w:sz w:val="24"/>
        </w:rPr>
        <w:t>Trust calibration in educational AI is a process, not a trait. Learners who can appropriately calibrate their trust in AI systems—recognizing their trust state, evaluating its appropriateness, and actively adjusting their reliance—are better positioned to benefit from AI-enhanced learning without falling into the traps of overtrust or distrust. The Trust Calibration Readiness Scale provides a first instrument for measuring this capacity, grounded in a process model that draws selectively from metacognitive monitoring, trust dynamics, and human agency theory. As AI becomes an increasingly routine part of educational experience, the ability to calibrate one's trust in these systems may prove to be one of the most important literacies of the coming decade.</w:t>
      </w:r>
    </w:p>
    <w:p>
      <w:r>
        <w:br w:type="page"/>
      </w:r>
    </w:p>
    <w:p>
      <w:pPr>
        <w:spacing w:before="240" w:after="120" w:line="480" w:lineRule="auto"/>
        <w:jc w:val="center"/>
      </w:pPr>
      <w:r>
        <w:rPr>
          <w:rFonts w:ascii="Times New Roman" w:hAnsi="Times New Roman"/>
          <w:b/>
          <w:i w:val="0"/>
          <w:sz w:val="24"/>
        </w:rPr>
        <w:t>References</w:t>
      </w:r>
    </w:p>
    <w:p>
      <w:pPr>
        <w:spacing w:before="0" w:after="0" w:line="480" w:lineRule="auto"/>
        <w:ind w:left="720" w:hanging="720"/>
      </w:pPr>
      <w:r>
        <w:rPr>
          <w:rFonts w:ascii="Times New Roman" w:hAnsi="Times New Roman"/>
          <w:b w:val="0"/>
          <w:i w:val="0"/>
          <w:sz w:val="24"/>
        </w:rPr>
        <w:t xml:space="preserve">Bandura, A. (2001). Social cognitive theory: An agentic perspective. </w:t>
      </w:r>
      <w:r>
        <w:rPr>
          <w:rFonts w:ascii="Times New Roman" w:hAnsi="Times New Roman"/>
          <w:b w:val="0"/>
          <w:i/>
          <w:sz w:val="24"/>
        </w:rPr>
        <w:t>Annual Review of Psychology, 52</w:t>
      </w:r>
      <w:r>
        <w:rPr>
          <w:rFonts w:ascii="Times New Roman" w:hAnsi="Times New Roman"/>
          <w:b w:val="0"/>
          <w:i w:val="0"/>
          <w:sz w:val="24"/>
        </w:rPr>
        <w:t>, 1–26. https://doi.org/10.1146/annurev.psych.52.1.1</w:t>
      </w:r>
    </w:p>
    <w:p>
      <w:pPr>
        <w:spacing w:before="0" w:after="0" w:line="480" w:lineRule="auto"/>
        <w:ind w:left="720" w:hanging="720"/>
      </w:pPr>
      <w:r>
        <w:rPr>
          <w:rFonts w:ascii="Times New Roman" w:hAnsi="Times New Roman"/>
          <w:b w:val="0"/>
          <w:i w:val="0"/>
          <w:sz w:val="24"/>
        </w:rPr>
        <w:t xml:space="preserve">Barzilai, S., &amp; Zohar, A. (2014). Reconsidering personal epistemology as metacognition: An integrative review. </w:t>
      </w:r>
      <w:r>
        <w:rPr>
          <w:rFonts w:ascii="Times New Roman" w:hAnsi="Times New Roman"/>
          <w:b w:val="0"/>
          <w:i/>
          <w:sz w:val="24"/>
        </w:rPr>
        <w:t>Educational Psychologist, 49</w:t>
      </w:r>
      <w:r>
        <w:rPr>
          <w:rFonts w:ascii="Times New Roman" w:hAnsi="Times New Roman"/>
          <w:b w:val="0"/>
          <w:i w:val="0"/>
          <w:sz w:val="24"/>
        </w:rPr>
        <w:t>(3), 141–167. https://doi.org/10.1080/00461520.2014.914823</w:t>
      </w:r>
    </w:p>
    <w:p>
      <w:pPr>
        <w:spacing w:before="0" w:after="0" w:line="480" w:lineRule="auto"/>
        <w:ind w:left="720" w:hanging="720"/>
      </w:pPr>
      <w:r>
        <w:rPr>
          <w:rFonts w:ascii="Times New Roman" w:hAnsi="Times New Roman"/>
          <w:b w:val="0"/>
          <w:i w:val="0"/>
          <w:sz w:val="24"/>
        </w:rPr>
        <w:t xml:space="preserve">Carolus, A., Koch, M. J., Straka, S., Latoschik, M. E., &amp; Wienrich, C. (2023). MAILS - Meta AI literacy scale: Development and testing of an AI literacy questionnaire based on well-founded competency models and psychological change- and meta-competencies. </w:t>
      </w:r>
      <w:r>
        <w:rPr>
          <w:rFonts w:ascii="Times New Roman" w:hAnsi="Times New Roman"/>
          <w:b w:val="0"/>
          <w:i/>
          <w:sz w:val="24"/>
        </w:rPr>
        <w:t>Computers in Human Behavior: Artificial Humans, 1</w:t>
      </w:r>
      <w:r>
        <w:rPr>
          <w:rFonts w:ascii="Times New Roman" w:hAnsi="Times New Roman"/>
          <w:b w:val="0"/>
          <w:i w:val="0"/>
          <w:sz w:val="24"/>
        </w:rPr>
        <w:t>(2), 100014. https://doi.org/10.1016/j.chbah.2023.100014</w:t>
      </w:r>
    </w:p>
    <w:p>
      <w:pPr>
        <w:spacing w:before="0" w:after="0" w:line="480" w:lineRule="auto"/>
        <w:ind w:left="720" w:hanging="720"/>
      </w:pPr>
      <w:r>
        <w:rPr>
          <w:rFonts w:ascii="Times New Roman" w:hAnsi="Times New Roman"/>
          <w:b w:val="0"/>
          <w:i w:val="0"/>
          <w:sz w:val="24"/>
        </w:rPr>
        <w:t xml:space="preserve">Carolus, A., Augustin, Y., Markus, A., &amp; Wienrich, C. (2024). Meta AI literacy scale: Further validation and development of a short version. </w:t>
      </w:r>
      <w:r>
        <w:rPr>
          <w:rFonts w:ascii="Times New Roman" w:hAnsi="Times New Roman"/>
          <w:b w:val="0"/>
          <w:i/>
          <w:sz w:val="24"/>
        </w:rPr>
        <w:t>Heliyon, 10</w:t>
      </w:r>
      <w:r>
        <w:rPr>
          <w:rFonts w:ascii="Times New Roman" w:hAnsi="Times New Roman"/>
          <w:b w:val="0"/>
          <w:i w:val="0"/>
          <w:sz w:val="24"/>
        </w:rPr>
        <w:t>(21), e39717. https://doi.org/10.1016/j.heliyon.2024.e39717</w:t>
      </w:r>
    </w:p>
    <w:p>
      <w:pPr>
        <w:spacing w:before="0" w:after="0" w:line="480" w:lineRule="auto"/>
        <w:ind w:left="720" w:hanging="720"/>
      </w:pPr>
      <w:r>
        <w:rPr>
          <w:rFonts w:ascii="Times New Roman" w:hAnsi="Times New Roman"/>
          <w:b w:val="0"/>
          <w:i w:val="0"/>
          <w:sz w:val="24"/>
        </w:rPr>
        <w:t xml:space="preserve">Crowne, D. P., &amp; Marlowe, D. (1960). A new scale of social desirability independent of psychopathology. </w:t>
      </w:r>
      <w:r>
        <w:rPr>
          <w:rFonts w:ascii="Times New Roman" w:hAnsi="Times New Roman"/>
          <w:b w:val="0"/>
          <w:i/>
          <w:sz w:val="24"/>
        </w:rPr>
        <w:t>Journal of Consulting Psychology, 24</w:t>
      </w:r>
      <w:r>
        <w:rPr>
          <w:rFonts w:ascii="Times New Roman" w:hAnsi="Times New Roman"/>
          <w:b w:val="0"/>
          <w:i w:val="0"/>
          <w:sz w:val="24"/>
        </w:rPr>
        <w:t>(4), 349–354. https://doi.org/10.1037/h0047358</w:t>
      </w:r>
    </w:p>
    <w:p>
      <w:pPr>
        <w:spacing w:before="0" w:after="0" w:line="480" w:lineRule="auto"/>
        <w:ind w:left="720" w:hanging="720"/>
      </w:pPr>
      <w:r>
        <w:rPr>
          <w:rFonts w:ascii="Times New Roman" w:hAnsi="Times New Roman"/>
          <w:b w:val="0"/>
          <w:i w:val="0"/>
          <w:sz w:val="24"/>
        </w:rPr>
        <w:t xml:space="preserve">DeVellis, R. F., &amp; Thorpe, C. T. (2022). </w:t>
      </w:r>
      <w:r>
        <w:rPr>
          <w:rFonts w:ascii="Times New Roman" w:hAnsi="Times New Roman"/>
          <w:b w:val="0"/>
          <w:i/>
          <w:sz w:val="24"/>
        </w:rPr>
        <w:t>Scale development: Theory and applications</w:t>
      </w:r>
      <w:r>
        <w:rPr>
          <w:rFonts w:ascii="Times New Roman" w:hAnsi="Times New Roman"/>
          <w:b w:val="0"/>
          <w:i w:val="0"/>
          <w:sz w:val="24"/>
        </w:rPr>
        <w:t xml:space="preserve"> (5th ed.). Sage.</w:t>
      </w:r>
    </w:p>
    <w:p>
      <w:pPr>
        <w:spacing w:before="0" w:after="0" w:line="480" w:lineRule="auto"/>
        <w:ind w:left="720" w:hanging="720"/>
      </w:pPr>
      <w:r>
        <w:rPr>
          <w:rFonts w:ascii="Times New Roman" w:hAnsi="Times New Roman"/>
          <w:b w:val="0"/>
          <w:i w:val="0"/>
          <w:sz w:val="24"/>
        </w:rPr>
        <w:t xml:space="preserve">Dunning, D., Johnson, K., Ehrlinger, J., &amp; Kruger, J. (2003). Why people fail to recognize their own incompetence. </w:t>
      </w:r>
      <w:r>
        <w:rPr>
          <w:rFonts w:ascii="Times New Roman" w:hAnsi="Times New Roman"/>
          <w:b w:val="0"/>
          <w:i/>
          <w:sz w:val="24"/>
        </w:rPr>
        <w:t>Current Directions in Psychological Science, 12</w:t>
      </w:r>
      <w:r>
        <w:rPr>
          <w:rFonts w:ascii="Times New Roman" w:hAnsi="Times New Roman"/>
          <w:b w:val="0"/>
          <w:i w:val="0"/>
          <w:sz w:val="24"/>
        </w:rPr>
        <w:t>(3), 83–87. https://doi.org/10.1111/1467-8721.01235</w:t>
      </w:r>
    </w:p>
    <w:p>
      <w:pPr>
        <w:spacing w:before="0" w:after="0" w:line="480" w:lineRule="auto"/>
        <w:ind w:left="720" w:hanging="720"/>
      </w:pPr>
      <w:r>
        <w:rPr>
          <w:rFonts w:ascii="Times New Roman" w:hAnsi="Times New Roman"/>
          <w:b w:val="0"/>
          <w:i w:val="0"/>
          <w:sz w:val="24"/>
        </w:rPr>
        <w:t xml:space="preserve">Efklides, A. (2006). Metacognition and affect: What can metacognitive experiences tell us about the learning process? </w:t>
      </w:r>
      <w:r>
        <w:rPr>
          <w:rFonts w:ascii="Times New Roman" w:hAnsi="Times New Roman"/>
          <w:b w:val="0"/>
          <w:i/>
          <w:sz w:val="24"/>
        </w:rPr>
        <w:t>Educational Research Review, 1</w:t>
      </w:r>
      <w:r>
        <w:rPr>
          <w:rFonts w:ascii="Times New Roman" w:hAnsi="Times New Roman"/>
          <w:b w:val="0"/>
          <w:i w:val="0"/>
          <w:sz w:val="24"/>
        </w:rPr>
        <w:t>(1), 3–14. https://doi.org/10.1016/j.edurev.2005.11.001</w:t>
      </w:r>
    </w:p>
    <w:p>
      <w:pPr>
        <w:spacing w:before="0" w:after="0" w:line="480" w:lineRule="auto"/>
        <w:ind w:left="720" w:hanging="720"/>
      </w:pPr>
      <w:r>
        <w:rPr>
          <w:rFonts w:ascii="Times New Roman" w:hAnsi="Times New Roman"/>
          <w:b w:val="0"/>
          <w:i w:val="0"/>
          <w:sz w:val="24"/>
        </w:rPr>
        <w:t xml:space="preserve">Horn, J. L. (1965). A rationale and test for the number of factors in factor analysis. </w:t>
      </w:r>
      <w:r>
        <w:rPr>
          <w:rFonts w:ascii="Times New Roman" w:hAnsi="Times New Roman"/>
          <w:b w:val="0"/>
          <w:i/>
          <w:sz w:val="24"/>
        </w:rPr>
        <w:t>Psychometrika, 30</w:t>
      </w:r>
      <w:r>
        <w:rPr>
          <w:rFonts w:ascii="Times New Roman" w:hAnsi="Times New Roman"/>
          <w:b w:val="0"/>
          <w:i w:val="0"/>
          <w:sz w:val="24"/>
        </w:rPr>
        <w:t>, 179–185. https://doi.org/10.1007/BF02289447</w:t>
      </w:r>
    </w:p>
    <w:p>
      <w:pPr>
        <w:spacing w:before="0" w:after="0" w:line="480" w:lineRule="auto"/>
        <w:ind w:left="720" w:hanging="720"/>
      </w:pPr>
      <w:r>
        <w:rPr>
          <w:rFonts w:ascii="Times New Roman" w:hAnsi="Times New Roman"/>
          <w:b w:val="0"/>
          <w:i w:val="0"/>
          <w:sz w:val="24"/>
        </w:rPr>
        <w:t xml:space="preserve">Hu, L., &amp; Bentler, P. M. (1999). Cutoff criteria for fit indexes in covariance structure analysis: Conventional criteria versus new alternatives. </w:t>
      </w:r>
      <w:r>
        <w:rPr>
          <w:rFonts w:ascii="Times New Roman" w:hAnsi="Times New Roman"/>
          <w:b w:val="0"/>
          <w:i/>
          <w:sz w:val="24"/>
        </w:rPr>
        <w:t>Structural Equation Modeling, 6</w:t>
      </w:r>
      <w:r>
        <w:rPr>
          <w:rFonts w:ascii="Times New Roman" w:hAnsi="Times New Roman"/>
          <w:b w:val="0"/>
          <w:i w:val="0"/>
          <w:sz w:val="24"/>
        </w:rPr>
        <w:t>(1), 1–55. https://doi.org/10.1080/10705519909540118</w:t>
      </w:r>
    </w:p>
    <w:p>
      <w:pPr>
        <w:spacing w:before="0" w:after="0" w:line="480" w:lineRule="auto"/>
        <w:ind w:left="720" w:hanging="720"/>
      </w:pPr>
      <w:r>
        <w:rPr>
          <w:rFonts w:ascii="Times New Roman" w:hAnsi="Times New Roman"/>
          <w:b w:val="0"/>
          <w:i w:val="0"/>
          <w:sz w:val="24"/>
        </w:rPr>
        <w:t xml:space="preserve">Jian, J. Y., Bisantz, A. M., &amp; Drury, C. G. (2000). Foundations for an empirically determined scale of trust in automated systems. </w:t>
      </w:r>
      <w:r>
        <w:rPr>
          <w:rFonts w:ascii="Times New Roman" w:hAnsi="Times New Roman"/>
          <w:b w:val="0"/>
          <w:i/>
          <w:sz w:val="24"/>
        </w:rPr>
        <w:t>International Journal of Cognitive Ergonomics, 4</w:t>
      </w:r>
      <w:r>
        <w:rPr>
          <w:rFonts w:ascii="Times New Roman" w:hAnsi="Times New Roman"/>
          <w:b w:val="0"/>
          <w:i w:val="0"/>
          <w:sz w:val="24"/>
        </w:rPr>
        <w:t>(1), 53–71. https://doi.org/10.1207/S15327566IJCE0401_04</w:t>
      </w:r>
    </w:p>
    <w:p>
      <w:pPr>
        <w:spacing w:before="0" w:after="0" w:line="480" w:lineRule="auto"/>
        <w:ind w:left="720" w:hanging="720"/>
      </w:pPr>
      <w:r>
        <w:rPr>
          <w:rFonts w:ascii="Times New Roman" w:hAnsi="Times New Roman"/>
          <w:b w:val="0"/>
          <w:i w:val="0"/>
          <w:sz w:val="24"/>
        </w:rPr>
        <w:t xml:space="preserve">Kahneman, D. (2011). </w:t>
      </w:r>
      <w:r>
        <w:rPr>
          <w:rFonts w:ascii="Times New Roman" w:hAnsi="Times New Roman"/>
          <w:b w:val="0"/>
          <w:i/>
          <w:sz w:val="24"/>
        </w:rPr>
        <w:t>Thinking, fast and slow.</w:t>
      </w:r>
      <w:r>
        <w:rPr>
          <w:rFonts w:ascii="Times New Roman" w:hAnsi="Times New Roman"/>
          <w:b w:val="0"/>
          <w:i w:val="0"/>
          <w:sz w:val="24"/>
        </w:rPr>
        <w:t xml:space="preserve"> Farrar, Straus and Giroux.</w:t>
      </w:r>
    </w:p>
    <w:p>
      <w:pPr>
        <w:spacing w:before="0" w:after="0" w:line="480" w:lineRule="auto"/>
        <w:ind w:left="720" w:hanging="720"/>
      </w:pPr>
      <w:r>
        <w:rPr>
          <w:rFonts w:ascii="Times New Roman" w:hAnsi="Times New Roman"/>
          <w:b w:val="0"/>
          <w:i w:val="0"/>
          <w:sz w:val="24"/>
        </w:rPr>
        <w:t xml:space="preserve">Krosnick, J. A. (1999). Survey research. </w:t>
      </w:r>
      <w:r>
        <w:rPr>
          <w:rFonts w:ascii="Times New Roman" w:hAnsi="Times New Roman"/>
          <w:b w:val="0"/>
          <w:i/>
          <w:sz w:val="24"/>
        </w:rPr>
        <w:t>Annual Review of Psychology, 50</w:t>
      </w:r>
      <w:r>
        <w:rPr>
          <w:rFonts w:ascii="Times New Roman" w:hAnsi="Times New Roman"/>
          <w:b w:val="0"/>
          <w:i w:val="0"/>
          <w:sz w:val="24"/>
        </w:rPr>
        <w:t>, 537–567. https://doi.org/10.1146/annurev.psych.50.1.537</w:t>
      </w:r>
    </w:p>
    <w:p>
      <w:pPr>
        <w:spacing w:before="0" w:after="0" w:line="480" w:lineRule="auto"/>
        <w:ind w:left="720" w:hanging="720"/>
      </w:pPr>
      <w:r>
        <w:rPr>
          <w:rFonts w:ascii="Times New Roman" w:hAnsi="Times New Roman"/>
          <w:b w:val="0"/>
          <w:i w:val="0"/>
          <w:sz w:val="24"/>
        </w:rPr>
        <w:t xml:space="preserve">Laupichler, M. C., Aster, A., Perschewski, J.-O., &amp; Schleiss, J. (2023). Development of the Scale for the Assessment of Non-experts' AI Literacy (SNAIL). </w:t>
      </w:r>
      <w:r>
        <w:rPr>
          <w:rFonts w:ascii="Times New Roman" w:hAnsi="Times New Roman"/>
          <w:b w:val="0"/>
          <w:i/>
          <w:sz w:val="24"/>
        </w:rPr>
        <w:t>Computers in Human Behavior Reports, 12</w:t>
      </w:r>
      <w:r>
        <w:rPr>
          <w:rFonts w:ascii="Times New Roman" w:hAnsi="Times New Roman"/>
          <w:b w:val="0"/>
          <w:i w:val="0"/>
          <w:sz w:val="24"/>
        </w:rPr>
        <w:t>, 100338. https://doi.org/10.1016/j.chbr.2023.100338</w:t>
      </w:r>
    </w:p>
    <w:p>
      <w:pPr>
        <w:spacing w:before="0" w:after="0" w:line="480" w:lineRule="auto"/>
        <w:ind w:left="720" w:hanging="720"/>
      </w:pPr>
      <w:r>
        <w:rPr>
          <w:rFonts w:ascii="Times New Roman" w:hAnsi="Times New Roman"/>
          <w:b w:val="0"/>
          <w:i w:val="0"/>
          <w:sz w:val="24"/>
        </w:rPr>
        <w:t xml:space="preserve">Lee, J. D., &amp; See, K. A. (2004). Trust in automation: Designing for appropriate reliance. </w:t>
      </w:r>
      <w:r>
        <w:rPr>
          <w:rFonts w:ascii="Times New Roman" w:hAnsi="Times New Roman"/>
          <w:b w:val="0"/>
          <w:i/>
          <w:sz w:val="24"/>
        </w:rPr>
        <w:t>Human Factors, 46</w:t>
      </w:r>
      <w:r>
        <w:rPr>
          <w:rFonts w:ascii="Times New Roman" w:hAnsi="Times New Roman"/>
          <w:b w:val="0"/>
          <w:i w:val="0"/>
          <w:sz w:val="24"/>
        </w:rPr>
        <w:t>(1), 50–80. https://doi.org/10.1518/hfes.46.1.50.30392</w:t>
      </w:r>
    </w:p>
    <w:p>
      <w:pPr>
        <w:spacing w:before="0" w:after="0" w:line="480" w:lineRule="auto"/>
        <w:ind w:left="720" w:hanging="720"/>
      </w:pPr>
      <w:r>
        <w:rPr>
          <w:rFonts w:ascii="Times New Roman" w:hAnsi="Times New Roman"/>
          <w:b w:val="0"/>
          <w:i w:val="0"/>
          <w:sz w:val="24"/>
        </w:rPr>
        <w:t xml:space="preserve">Lintner, C. (2024). A systematic review of AI literacy scales. </w:t>
      </w:r>
      <w:r>
        <w:rPr>
          <w:rFonts w:ascii="Times New Roman" w:hAnsi="Times New Roman"/>
          <w:b w:val="0"/>
          <w:i/>
          <w:sz w:val="24"/>
        </w:rPr>
        <w:t>npj Science of Learning, 9</w:t>
      </w:r>
      <w:r>
        <w:rPr>
          <w:rFonts w:ascii="Times New Roman" w:hAnsi="Times New Roman"/>
          <w:b w:val="0"/>
          <w:i w:val="0"/>
          <w:sz w:val="24"/>
        </w:rPr>
        <w:t>, 55. https://doi.org/10.1038/s41539-024-00267-7</w:t>
      </w:r>
    </w:p>
    <w:p>
      <w:pPr>
        <w:spacing w:before="0" w:after="0" w:line="480" w:lineRule="auto"/>
        <w:ind w:left="720" w:hanging="720"/>
      </w:pPr>
      <w:r>
        <w:rPr>
          <w:rFonts w:ascii="Times New Roman" w:hAnsi="Times New Roman"/>
          <w:b w:val="0"/>
          <w:i w:val="0"/>
          <w:sz w:val="24"/>
        </w:rPr>
        <w:t xml:space="preserve">Mayer, R. C., Davis, J. H., &amp; Schoorman, F. D. (1995). An integrative model of organizational trust. </w:t>
      </w:r>
      <w:r>
        <w:rPr>
          <w:rFonts w:ascii="Times New Roman" w:hAnsi="Times New Roman"/>
          <w:b w:val="0"/>
          <w:i/>
          <w:sz w:val="24"/>
        </w:rPr>
        <w:t>Academy of Management Review, 20</w:t>
      </w:r>
      <w:r>
        <w:rPr>
          <w:rFonts w:ascii="Times New Roman" w:hAnsi="Times New Roman"/>
          <w:b w:val="0"/>
          <w:i w:val="0"/>
          <w:sz w:val="24"/>
        </w:rPr>
        <w:t>(3), 709–734. https://doi.org/10.5465/amr.1995.9508080335</w:t>
      </w:r>
    </w:p>
    <w:p>
      <w:pPr>
        <w:spacing w:before="0" w:after="0" w:line="480" w:lineRule="auto"/>
        <w:ind w:left="720" w:hanging="720"/>
      </w:pPr>
      <w:r>
        <w:rPr>
          <w:rFonts w:ascii="Times New Roman" w:hAnsi="Times New Roman"/>
          <w:b w:val="0"/>
          <w:i w:val="0"/>
          <w:sz w:val="24"/>
        </w:rPr>
        <w:t xml:space="preserve">Ng, D. T. K., Wu, W., Leung, J. K. L., Chiu, T. K. F., &amp; Chu, S. K. W. (2024). Design and validation of the AI literacy questionnaire: The quest to measure human literacy in artificial intelligence. </w:t>
      </w:r>
      <w:r>
        <w:rPr>
          <w:rFonts w:ascii="Times New Roman" w:hAnsi="Times New Roman"/>
          <w:b w:val="0"/>
          <w:i/>
          <w:sz w:val="24"/>
        </w:rPr>
        <w:t>British Journal of Educational Technology, 55</w:t>
      </w:r>
      <w:r>
        <w:rPr>
          <w:rFonts w:ascii="Times New Roman" w:hAnsi="Times New Roman"/>
          <w:b w:val="0"/>
          <w:i w:val="0"/>
          <w:sz w:val="24"/>
        </w:rPr>
        <w:t>(3), 1082–1104. https://doi.org/10.1111/bjet.13411</w:t>
      </w:r>
    </w:p>
    <w:p>
      <w:pPr>
        <w:spacing w:before="0" w:after="0" w:line="480" w:lineRule="auto"/>
        <w:ind w:left="720" w:hanging="720"/>
      </w:pPr>
      <w:r>
        <w:rPr>
          <w:rFonts w:ascii="Times New Roman" w:hAnsi="Times New Roman"/>
          <w:b w:val="0"/>
          <w:i w:val="0"/>
          <w:sz w:val="24"/>
        </w:rPr>
        <w:t xml:space="preserve">Parasuraman, R., &amp; Manzey, D. H. (2010). Complacency and bias in human use of automation: An attentional integration. </w:t>
      </w:r>
      <w:r>
        <w:rPr>
          <w:rFonts w:ascii="Times New Roman" w:hAnsi="Times New Roman"/>
          <w:b w:val="0"/>
          <w:i/>
          <w:sz w:val="24"/>
        </w:rPr>
        <w:t>Human Factors, 52</w:t>
      </w:r>
      <w:r>
        <w:rPr>
          <w:rFonts w:ascii="Times New Roman" w:hAnsi="Times New Roman"/>
          <w:b w:val="0"/>
          <w:i w:val="0"/>
          <w:sz w:val="24"/>
        </w:rPr>
        <w:t>(3), 381–410. https://doi.org/10.1518/001872010X12829765906155</w:t>
      </w:r>
    </w:p>
    <w:p>
      <w:pPr>
        <w:spacing w:before="0" w:after="0" w:line="480" w:lineRule="auto"/>
        <w:ind w:left="720" w:hanging="720"/>
      </w:pPr>
      <w:r>
        <w:rPr>
          <w:rFonts w:ascii="Times New Roman" w:hAnsi="Times New Roman"/>
          <w:b w:val="0"/>
          <w:i w:val="0"/>
          <w:sz w:val="24"/>
        </w:rPr>
        <w:t xml:space="preserve">Parasuraman, R., &amp; Riley, V. (1997). Humans and automation: Use, misuse, disuse, abuse. </w:t>
      </w:r>
      <w:r>
        <w:rPr>
          <w:rFonts w:ascii="Times New Roman" w:hAnsi="Times New Roman"/>
          <w:b w:val="0"/>
          <w:i/>
          <w:sz w:val="24"/>
        </w:rPr>
        <w:t>Human Factors, 39</w:t>
      </w:r>
      <w:r>
        <w:rPr>
          <w:rFonts w:ascii="Times New Roman" w:hAnsi="Times New Roman"/>
          <w:b w:val="0"/>
          <w:i w:val="0"/>
          <w:sz w:val="24"/>
        </w:rPr>
        <w:t>(2), 230–253. https://doi.org/10.1518/001872097778543886</w:t>
      </w:r>
    </w:p>
    <w:p>
      <w:pPr>
        <w:spacing w:before="0" w:after="0" w:line="480" w:lineRule="auto"/>
        <w:ind w:left="720" w:hanging="720"/>
      </w:pPr>
      <w:r>
        <w:rPr>
          <w:rFonts w:ascii="Times New Roman" w:hAnsi="Times New Roman"/>
          <w:b w:val="0"/>
          <w:i w:val="0"/>
          <w:sz w:val="24"/>
        </w:rPr>
        <w:t xml:space="preserve">Pintrich, P. R., Smith, D. A. F., Garcia, T., &amp; McKeachie, W. J. (1993). Reliability and predictive validity of the Motivated Strategies for Learning Questionnaire (MSLQ). </w:t>
      </w:r>
      <w:r>
        <w:rPr>
          <w:rFonts w:ascii="Times New Roman" w:hAnsi="Times New Roman"/>
          <w:b w:val="0"/>
          <w:i/>
          <w:sz w:val="24"/>
        </w:rPr>
        <w:t>Educational and Psychological Measurement, 53</w:t>
      </w:r>
      <w:r>
        <w:rPr>
          <w:rFonts w:ascii="Times New Roman" w:hAnsi="Times New Roman"/>
          <w:b w:val="0"/>
          <w:i w:val="0"/>
          <w:sz w:val="24"/>
        </w:rPr>
        <w:t>(3), 801–813. https://doi.org/10.1177/0013164493053003024</w:t>
      </w:r>
    </w:p>
    <w:p>
      <w:pPr>
        <w:spacing w:before="0" w:after="0" w:line="480" w:lineRule="auto"/>
        <w:ind w:left="720" w:hanging="720"/>
      </w:pPr>
      <w:r>
        <w:rPr>
          <w:rFonts w:ascii="Times New Roman" w:hAnsi="Times New Roman"/>
          <w:b w:val="0"/>
          <w:i w:val="0"/>
          <w:sz w:val="24"/>
        </w:rPr>
        <w:t xml:space="preserve">Pinski, M., et al. (2025). SAIL4ALL: Scale of AI literacy for all. </w:t>
      </w:r>
      <w:r>
        <w:rPr>
          <w:rFonts w:ascii="Times New Roman" w:hAnsi="Times New Roman"/>
          <w:b w:val="0"/>
          <w:i/>
          <w:sz w:val="24"/>
        </w:rPr>
        <w:t>Humanities and Social Sciences Communications, 12</w:t>
      </w:r>
      <w:r>
        <w:rPr>
          <w:rFonts w:ascii="Times New Roman" w:hAnsi="Times New Roman"/>
          <w:b w:val="0"/>
          <w:i w:val="0"/>
          <w:sz w:val="24"/>
        </w:rPr>
        <w:t>. https://doi.org/10.1057/s41599-025-04435-7</w:t>
      </w:r>
    </w:p>
    <w:p>
      <w:pPr>
        <w:spacing w:before="0" w:after="0" w:line="480" w:lineRule="auto"/>
        <w:ind w:left="720" w:hanging="720"/>
      </w:pPr>
      <w:r>
        <w:rPr>
          <w:rFonts w:ascii="Times New Roman" w:hAnsi="Times New Roman"/>
          <w:b w:val="0"/>
          <w:i w:val="0"/>
          <w:sz w:val="24"/>
        </w:rPr>
        <w:t xml:space="preserve">Podsakoff, P. M., MacKenzie, S. B., Lee, J.-Y., &amp; Podsakoff, N. P. (2003). Common method biases in behavioral research: A critical review of the literature and recommended remedies. </w:t>
      </w:r>
      <w:r>
        <w:rPr>
          <w:rFonts w:ascii="Times New Roman" w:hAnsi="Times New Roman"/>
          <w:b w:val="0"/>
          <w:i/>
          <w:sz w:val="24"/>
        </w:rPr>
        <w:t>Journal of Applied Psychology, 88</w:t>
      </w:r>
      <w:r>
        <w:rPr>
          <w:rFonts w:ascii="Times New Roman" w:hAnsi="Times New Roman"/>
          <w:b w:val="0"/>
          <w:i w:val="0"/>
          <w:sz w:val="24"/>
        </w:rPr>
        <w:t>(5), 879–903. https://doi.org/10.1037/0021-9010.88.5.879</w:t>
      </w:r>
    </w:p>
    <w:p>
      <w:pPr>
        <w:spacing w:before="0" w:after="0" w:line="480" w:lineRule="auto"/>
        <w:ind w:left="720" w:hanging="720"/>
      </w:pPr>
      <w:r>
        <w:rPr>
          <w:rFonts w:ascii="Times New Roman" w:hAnsi="Times New Roman"/>
          <w:b w:val="0"/>
          <w:i w:val="0"/>
          <w:sz w:val="24"/>
        </w:rPr>
        <w:t xml:space="preserve">Rodriguez, A., Reise, S. P., &amp; Haviland, M. G. (2016). Evaluating bifactor models: Calculating and interpreting statistical indices. </w:t>
      </w:r>
      <w:r>
        <w:rPr>
          <w:rFonts w:ascii="Times New Roman" w:hAnsi="Times New Roman"/>
          <w:b w:val="0"/>
          <w:i/>
          <w:sz w:val="24"/>
        </w:rPr>
        <w:t>Psychological Methods, 21</w:t>
      </w:r>
      <w:r>
        <w:rPr>
          <w:rFonts w:ascii="Times New Roman" w:hAnsi="Times New Roman"/>
          <w:b w:val="0"/>
          <w:i w:val="0"/>
          <w:sz w:val="24"/>
        </w:rPr>
        <w:t>(2), 137–150. https://doi.org/10.1037/met0000045</w:t>
      </w:r>
    </w:p>
    <w:p>
      <w:pPr>
        <w:spacing w:before="0" w:after="0" w:line="480" w:lineRule="auto"/>
        <w:ind w:left="720" w:hanging="720"/>
      </w:pPr>
      <w:r>
        <w:rPr>
          <w:rFonts w:ascii="Times New Roman" w:hAnsi="Times New Roman"/>
          <w:b w:val="0"/>
          <w:i w:val="0"/>
          <w:sz w:val="24"/>
        </w:rPr>
        <w:t xml:space="preserve">Schraw, G., &amp; Dennison, R. S. (1994). Assessing metacognitive awareness. </w:t>
      </w:r>
      <w:r>
        <w:rPr>
          <w:rFonts w:ascii="Times New Roman" w:hAnsi="Times New Roman"/>
          <w:b w:val="0"/>
          <w:i/>
          <w:sz w:val="24"/>
        </w:rPr>
        <w:t>Contemporary Educational Psychology, 19</w:t>
      </w:r>
      <w:r>
        <w:rPr>
          <w:rFonts w:ascii="Times New Roman" w:hAnsi="Times New Roman"/>
          <w:b w:val="0"/>
          <w:i w:val="0"/>
          <w:sz w:val="24"/>
        </w:rPr>
        <w:t>(4), 460–475. https://doi.org/10.1006/ceps.1994.1033</w:t>
      </w:r>
    </w:p>
    <w:p>
      <w:pPr>
        <w:spacing w:before="0" w:after="0" w:line="480" w:lineRule="auto"/>
        <w:ind w:left="720" w:hanging="720"/>
      </w:pPr>
      <w:r>
        <w:rPr>
          <w:rFonts w:ascii="Times New Roman" w:hAnsi="Times New Roman"/>
          <w:b w:val="0"/>
          <w:i w:val="0"/>
          <w:sz w:val="24"/>
        </w:rPr>
        <w:t xml:space="preserve">Schwarzer, R., &amp; Jerusalem, M. (1995). Generalized Self-Efficacy Scale. In J. Weinman, S. Wright, &amp; M. Johnston (Eds.), </w:t>
      </w:r>
      <w:r>
        <w:rPr>
          <w:rFonts w:ascii="Times New Roman" w:hAnsi="Times New Roman"/>
          <w:b w:val="0"/>
          <w:i/>
          <w:sz w:val="24"/>
        </w:rPr>
        <w:t>Measures in health psychology: A user's portfolio. Causal and control beliefs</w:t>
      </w:r>
      <w:r>
        <w:rPr>
          <w:rFonts w:ascii="Times New Roman" w:hAnsi="Times New Roman"/>
          <w:b w:val="0"/>
          <w:i w:val="0"/>
          <w:sz w:val="24"/>
        </w:rPr>
        <w:t xml:space="preserve"> (pp. 35–37). NFER-Nelson.</w:t>
      </w:r>
    </w:p>
    <w:p>
      <w:pPr>
        <w:spacing w:before="0" w:after="0" w:line="480" w:lineRule="auto"/>
        <w:ind w:left="720" w:hanging="720"/>
      </w:pPr>
      <w:r>
        <w:rPr>
          <w:rFonts w:ascii="Times New Roman" w:hAnsi="Times New Roman"/>
          <w:b w:val="0"/>
          <w:i w:val="0"/>
          <w:sz w:val="24"/>
        </w:rPr>
        <w:t xml:space="preserve">Sosu, E. M. (2013). The development and psychometric validation of a Critical Thinking Disposition Scale. </w:t>
      </w:r>
      <w:r>
        <w:rPr>
          <w:rFonts w:ascii="Times New Roman" w:hAnsi="Times New Roman"/>
          <w:b w:val="0"/>
          <w:i/>
          <w:sz w:val="24"/>
        </w:rPr>
        <w:t>Thinking Skills and Creativity, 9</w:t>
      </w:r>
      <w:r>
        <w:rPr>
          <w:rFonts w:ascii="Times New Roman" w:hAnsi="Times New Roman"/>
          <w:b w:val="0"/>
          <w:i w:val="0"/>
          <w:sz w:val="24"/>
        </w:rPr>
        <w:t>, 107–119. https://doi.org/10.1016/j.tsc.2012.09.002</w:t>
      </w:r>
    </w:p>
    <w:p>
      <w:pPr>
        <w:spacing w:before="0" w:after="0" w:line="480" w:lineRule="auto"/>
        <w:ind w:left="720" w:hanging="720"/>
      </w:pPr>
      <w:r>
        <w:rPr>
          <w:rFonts w:ascii="Times New Roman" w:hAnsi="Times New Roman"/>
          <w:b w:val="0"/>
          <w:i w:val="0"/>
          <w:sz w:val="24"/>
        </w:rPr>
        <w:t xml:space="preserve">Sperber, D., Clément, F., Heintz, C., Mascaro, O., Mercier, H., Origgi, G., &amp; Wilson, D. (2010). Epistemic vigilance. </w:t>
      </w:r>
      <w:r>
        <w:rPr>
          <w:rFonts w:ascii="Times New Roman" w:hAnsi="Times New Roman"/>
          <w:b w:val="0"/>
          <w:i/>
          <w:sz w:val="24"/>
        </w:rPr>
        <w:t>Mind &amp; Language, 25</w:t>
      </w:r>
      <w:r>
        <w:rPr>
          <w:rFonts w:ascii="Times New Roman" w:hAnsi="Times New Roman"/>
          <w:b w:val="0"/>
          <w:i w:val="0"/>
          <w:sz w:val="24"/>
        </w:rPr>
        <w:t>(4), 359–393. https://doi.org/10.1111/j.1468-0017.2010.01394.x</w:t>
      </w:r>
    </w:p>
    <w:p>
      <w:pPr>
        <w:spacing w:before="0" w:after="0" w:line="480" w:lineRule="auto"/>
        <w:ind w:left="720" w:hanging="720"/>
      </w:pPr>
      <w:r>
        <w:rPr>
          <w:rFonts w:ascii="Times New Roman" w:hAnsi="Times New Roman"/>
          <w:b w:val="0"/>
          <w:i w:val="0"/>
          <w:sz w:val="24"/>
        </w:rPr>
        <w:t xml:space="preserve">Stone, N. J. (2000). Exploring the relationship between calibration and self-regulated learning. </w:t>
      </w:r>
      <w:r>
        <w:rPr>
          <w:rFonts w:ascii="Times New Roman" w:hAnsi="Times New Roman"/>
          <w:b w:val="0"/>
          <w:i/>
          <w:sz w:val="24"/>
        </w:rPr>
        <w:t>Educational Psychology Review, 12</w:t>
      </w:r>
      <w:r>
        <w:rPr>
          <w:rFonts w:ascii="Times New Roman" w:hAnsi="Times New Roman"/>
          <w:b w:val="0"/>
          <w:i w:val="0"/>
          <w:sz w:val="24"/>
        </w:rPr>
        <w:t>(4), 437–475. https://doi.org/10.1023/A:1009084430926</w:t>
      </w:r>
    </w:p>
    <w:p>
      <w:pPr>
        <w:spacing w:before="0" w:after="0" w:line="480" w:lineRule="auto"/>
        <w:ind w:left="720" w:hanging="720"/>
      </w:pPr>
      <w:r>
        <w:rPr>
          <w:rFonts w:ascii="Times New Roman" w:hAnsi="Times New Roman"/>
          <w:b w:val="0"/>
          <w:i w:val="0"/>
          <w:sz w:val="24"/>
        </w:rPr>
        <w:t xml:space="preserve">Watkins, M. W. (2018). Exploratory factor analysis: A guide to best practice. </w:t>
      </w:r>
      <w:r>
        <w:rPr>
          <w:rFonts w:ascii="Times New Roman" w:hAnsi="Times New Roman"/>
          <w:b w:val="0"/>
          <w:i/>
          <w:sz w:val="24"/>
        </w:rPr>
        <w:t>Journal of Black Psychology, 44</w:t>
      </w:r>
      <w:r>
        <w:rPr>
          <w:rFonts w:ascii="Times New Roman" w:hAnsi="Times New Roman"/>
          <w:b w:val="0"/>
          <w:i w:val="0"/>
          <w:sz w:val="24"/>
        </w:rPr>
        <w:t>(3), 219–246. https://doi.org/10.1177/0095798418766959</w:t>
      </w:r>
    </w:p>
    <w:p>
      <w:pPr>
        <w:spacing w:before="0" w:after="0" w:line="480" w:lineRule="auto"/>
        <w:ind w:left="720" w:hanging="720"/>
      </w:pPr>
      <w:r>
        <w:rPr>
          <w:rFonts w:ascii="Times New Roman" w:hAnsi="Times New Roman"/>
          <w:b w:val="0"/>
          <w:i w:val="0"/>
          <w:sz w:val="24"/>
        </w:rPr>
        <w:t xml:space="preserve">Winne, P. H., &amp; Hadwin, A. F. (1998). Studying as self-regulated learning. In D. J. Hacker, J. Dunlosky, &amp; A. C. Graesser (Eds.), </w:t>
      </w:r>
      <w:r>
        <w:rPr>
          <w:rFonts w:ascii="Times New Roman" w:hAnsi="Times New Roman"/>
          <w:b w:val="0"/>
          <w:i/>
          <w:sz w:val="24"/>
        </w:rPr>
        <w:t>Metacognition in educational theory and practice</w:t>
      </w:r>
      <w:r>
        <w:rPr>
          <w:rFonts w:ascii="Times New Roman" w:hAnsi="Times New Roman"/>
          <w:b w:val="0"/>
          <w:i w:val="0"/>
          <w:sz w:val="24"/>
        </w:rPr>
        <w:t xml:space="preserve"> (pp. 277–304). Erlbaum.</w:t>
      </w:r>
    </w:p>
    <w:p>
      <w:pPr>
        <w:spacing w:before="240" w:after="120" w:line="480" w:lineRule="auto"/>
        <w:jc w:val="center"/>
      </w:pPr>
      <w:r>
        <w:rPr>
          <w:rFonts w:ascii="Times New Roman" w:hAnsi="Times New Roman"/>
          <w:b/>
          <w:i w:val="0"/>
          <w:sz w:val="24"/>
        </w:rPr>
        <w:t>Appendix A: Trust Calibration Readiness Scale (TCRS) — Full Item Pool</w:t>
      </w:r>
    </w:p>
    <w:p>
      <w:pPr>
        <w:spacing w:before="0" w:after="0" w:line="480" w:lineRule="auto"/>
        <w:ind w:left="720" w:hanging="720"/>
      </w:pPr>
      <w:r>
        <w:rPr>
          <w:rFonts w:ascii="Times New Roman" w:hAnsi="Times New Roman"/>
          <w:b w:val="0"/>
          <w:i w:val="0"/>
          <w:sz w:val="24"/>
        </w:rPr>
        <w:t>[TO BE INCLUDED: Final items after expert panel review and Study 1 EFA]</w:t>
      </w:r>
    </w:p>
    <w:p>
      <w:pPr>
        <w:spacing w:before="240" w:after="120" w:line="480" w:lineRule="auto"/>
        <w:jc w:val="center"/>
      </w:pPr>
      <w:r>
        <w:rPr>
          <w:rFonts w:ascii="Times New Roman" w:hAnsi="Times New Roman"/>
          <w:b/>
          <w:i w:val="0"/>
          <w:sz w:val="24"/>
        </w:rPr>
        <w:t>Appendix B: Supplementary Tables</w:t>
      </w:r>
    </w:p>
    <w:p>
      <w:pPr>
        <w:spacing w:before="0" w:after="0" w:line="480" w:lineRule="auto"/>
        <w:ind w:left="720" w:hanging="720"/>
      </w:pPr>
      <w:r>
        <w:rPr>
          <w:rFonts w:ascii="Times New Roman" w:hAnsi="Times New Roman"/>
          <w:b w:val="0"/>
          <w:i w:val="0"/>
          <w:sz w:val="24"/>
        </w:rPr>
        <w:t>[TO BE INCLUDED: EFA pattern matrix, CFA fit indices, correlation matrices]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