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b/>
          <w:sz w:val="24"/>
        </w:rPr>
        <w:t>Trust Calibration as the Missing Link in Educational AI Design:</w:t>
        <w:br/>
        <w:t>A Critical Review and Two-Level Framework</w:t>
      </w:r>
    </w:p>
    <w:p/>
    <w:p>
      <w:pPr>
        <w:spacing w:line="480" w:lineRule="auto"/>
        <w:jc w:val="center"/>
      </w:pPr>
      <w:r>
        <w:rPr>
          <w:rFonts w:ascii="Times New Roman" w:hAnsi="Times New Roman"/>
          <w:sz w:val="24"/>
        </w:rPr>
        <w:t>Hosung You</w:t>
      </w:r>
    </w:p>
    <w:p>
      <w:pPr>
        <w:spacing w:line="480" w:lineRule="auto"/>
        <w:jc w:val="center"/>
      </w:pPr>
      <w:r>
        <w:rPr>
          <w:rFonts w:ascii="Times New Roman" w:hAnsi="Times New Roman"/>
          <w:sz w:val="24"/>
        </w:rPr>
        <w:t>Department of Educational Technology, [University Name]</w:t>
      </w:r>
    </w:p>
    <w:p>
      <w:pPr>
        <w:spacing w:line="480" w:lineRule="auto"/>
        <w:jc w:val="center"/>
      </w:pPr>
    </w:p>
    <w:p>
      <w:pPr>
        <w:spacing w:line="480" w:lineRule="auto"/>
        <w:jc w:val="center"/>
      </w:pPr>
      <w:r>
        <w:rPr>
          <w:rFonts w:ascii="Times New Roman" w:hAnsi="Times New Roman"/>
          <w:b/>
          <w:sz w:val="24"/>
        </w:rPr>
        <w:t>Author Note</w:t>
      </w:r>
    </w:p>
    <w:p>
      <w:pPr>
        <w:spacing w:line="480" w:lineRule="auto"/>
        <w:ind w:firstLine="720"/>
      </w:pPr>
      <w:r>
        <w:rPr>
          <w:rFonts w:ascii="Times New Roman" w:hAnsi="Times New Roman"/>
          <w:sz w:val="24"/>
        </w:rPr>
        <w:t>Correspondence concerning this article should be addressed to Hosung You. E-mail: [email]</w:t>
      </w:r>
    </w:p>
    <w:p>
      <w:r>
        <w:br w:type="page"/>
      </w:r>
    </w:p>
    <w:p>
      <w:pPr>
        <w:spacing w:before="240" w:after="240" w:line="480" w:lineRule="auto"/>
        <w:jc w:val="center"/>
      </w:pPr>
      <w:r>
        <w:rPr>
          <w:rFonts w:ascii="Times New Roman" w:hAnsi="Times New Roman"/>
          <w:b/>
          <w:sz w:val="24"/>
        </w:rPr>
        <w:t>Abstract</w:t>
      </w:r>
    </w:p>
    <w:p>
      <w:pPr>
        <w:spacing w:line="480" w:lineRule="auto"/>
        <w:ind w:firstLine="720"/>
      </w:pPr>
      <w:r>
        <w:rPr>
          <w:rFonts w:ascii="Times New Roman" w:hAnsi="Times New Roman"/>
          <w:sz w:val="24"/>
        </w:rPr>
        <w:t>The rapid integration of generative AI into education raises a critical question: do learners trust AI systems appropriately? Bastani et al. (2025) demonstrated that unrestricted AI tutoring access produced 17% lower performance on unassisted assessments, attributable to uncalibrated overtrust and cognitive offloading. Yet existing frameworks in educational AI address trust formation and technology acceptance without addressing trust calibration—the alignment between a learner’s trust and the AI system’s actual reliability. This paper presents a critical review of trust in educational AI research (2015–2026), analyzing 97 studies from Web of Science, Scopus, and supplementary HCI/human factors literature across trust conceptualizations, theoretical frameworks, measurement approaches, and oversight design. The review reveals a pronounced calibration gap: 84.5% of studies provided no explicit trust definition, only 7.2% measured trust empirically, and only 1 of 97 studies measured trust calibration accuracy. Nearly half (49.5%) employed no identifiable theoretical framework, and only 16.5% explicitly addressed calibration—with 13 of those 16 papers originating from adjacent disciplines rather than educational AI databases. To address this gap, we propose an evidence-informed Two-Level Trust Calibration Framework integrating: (a) Level 1—Learner Trust Dynamics, modeling how trust forms and miscalibrates through cognitive and metacognitive processes; (b) Level 2—System-Mediated Trust Calibration, specifying six scaffolds grounded in established educational theory; connected through (c) an Adaptive Calibration Cycle in which scaffold intensity adjusts based on behavioral signals of trust calibration. The paper distinguishes trust calibration from self-regulated learning calibration, introduces the Trust–AI Reliability Matrix for diagnostic assessment, and derives five design principles for trust-calibrated educational AI.</w:t>
      </w:r>
    </w:p>
    <w:p>
      <w:pPr>
        <w:spacing w:line="480" w:lineRule="auto"/>
        <w:ind w:firstLine="720"/>
      </w:pPr>
      <w:r>
        <w:rPr>
          <w:rFonts w:ascii="Times New Roman" w:hAnsi="Times New Roman"/>
          <w:i/>
          <w:sz w:val="24"/>
        </w:rPr>
        <w:t xml:space="preserve">Keywords: </w:t>
      </w:r>
      <w:r>
        <w:rPr>
          <w:rFonts w:ascii="Times New Roman" w:hAnsi="Times New Roman"/>
          <w:sz w:val="24"/>
        </w:rPr>
        <w:t>trust calibration, educational AI, scaffolding, self-regulated learning, human oversight, generative AI</w:t>
      </w:r>
    </w:p>
    <w:p>
      <w:r>
        <w:br w:type="page"/>
      </w:r>
    </w:p>
    <w:p>
      <w:pPr>
        <w:spacing w:before="240" w:after="240" w:line="480" w:lineRule="auto"/>
        <w:jc w:val="center"/>
      </w:pPr>
      <w:r>
        <w:rPr>
          <w:rFonts w:ascii="Times New Roman" w:hAnsi="Times New Roman"/>
          <w:b/>
          <w:sz w:val="24"/>
        </w:rPr>
        <w:t>1. Introduction</w:t>
      </w:r>
    </w:p>
    <w:p>
      <w:pPr>
        <w:spacing w:line="480" w:lineRule="auto"/>
        <w:ind w:firstLine="720"/>
      </w:pPr>
      <w:r>
        <w:rPr>
          <w:rFonts w:ascii="Times New Roman" w:hAnsi="Times New Roman"/>
          <w:sz w:val="24"/>
        </w:rPr>
        <w:t>The promise of artificial intelligence in education rests on a deceptively simple assumption: that giving learners access to capable AI tools will improve learning. A landmark study by Bastani et al. (2025), published in the Proceedings of the National Academy of Sciences, dismantled this assumption. In a large-scale randomized controlled trial involving nearly a thousand students, unrestricted access to ChatGPT not only failed to improve learning outcomes but actively harmed them: students performed 17% worse on subsequent unassisted assessments. The mechanism was not a failure of AI capability but a failure of trust calibration — students uncritically accepted AI-generated outputs, bypassing the effortful cognitive processing that constitutes genuine learning. When a tutoring-oriented version that withheld direct answers was introduced, the negative effects disappeared. This finding underscores a fundamental insight: the educational value of AI depends not on what the technology can do, but on whether learners trust it appropriately.</w:t>
      </w:r>
    </w:p>
    <w:p>
      <w:pPr>
        <w:spacing w:line="480" w:lineRule="auto"/>
        <w:ind w:firstLine="720"/>
      </w:pPr>
      <w:r>
        <w:rPr>
          <w:rFonts w:ascii="Times New Roman" w:hAnsi="Times New Roman"/>
          <w:sz w:val="24"/>
        </w:rPr>
        <w:t>The rapid integration of generative AI into higher education has created a design dilemma of autonomy and oversight. Granting AI systems broad autonomy risks fostering the uncritical dependence Bastani et al. (2025) documented. Imposing rigid constraints risks undermining the flexibility that makes AI-assisted learning potentially transformative (Kasneci et al., 2023). Navigating this dilemma requires understanding the mechanism that mediates between AI capability and learning outcomes — a mechanism that current research has largely overlooked.</w:t>
      </w:r>
    </w:p>
    <w:p>
      <w:pPr>
        <w:spacing w:line="480" w:lineRule="auto"/>
        <w:ind w:firstLine="720"/>
      </w:pPr>
      <w:r>
        <w:rPr>
          <w:rFonts w:ascii="Times New Roman" w:hAnsi="Times New Roman"/>
          <w:sz w:val="24"/>
        </w:rPr>
        <w:t>The educational AI literature has grown rapidly, examining learning outcomes (Cotton et al., 2024), learner acceptance (Al-Adwan et al., 2023), and pedagogical integration (Baidoo-Anu &amp; Ansah, 2023). Yet a critical variable remains undertheorized: learner trust. Trust is not merely an affective response but a calibration problem. Trust calibration refers to the correspondence between a person's trust in a system and the system's actual capabilities (Lee &amp; See, 2004). Overtrust — where perceived capability exceeds actual capability — leads to uncritical acceptance and cognitive offloading. Undertrust leads to rejection of beneficial AI assistance (Parasuraman &amp; Riley, 1997).</w:t>
      </w:r>
    </w:p>
    <w:p>
      <w:pPr>
        <w:spacing w:line="480" w:lineRule="auto"/>
        <w:ind w:firstLine="720"/>
      </w:pPr>
      <w:r>
        <w:rPr>
          <w:rFonts w:ascii="Times New Roman" w:hAnsi="Times New Roman"/>
          <w:sz w:val="24"/>
        </w:rPr>
        <w:t>Despite this centrality, existing frameworks do not adequately address trust calibration. Technology acceptance models (Davis, 1989; Venkatesh et al., 2003) treat trust as a predictor of adoption. Self-regulated learning frameworks (Zimmerman, 2000) address self-monitoring but not calibration of judgments about external AI systems. Even recent models of trust in AI-assisted learning (Wang et al., 2025) stop at the individual learner level without addressing how systems should be designed to calibrate trust.</w:t>
      </w:r>
    </w:p>
    <w:p>
      <w:pPr>
        <w:spacing w:line="480" w:lineRule="auto"/>
        <w:ind w:firstLine="720"/>
      </w:pPr>
      <w:r>
        <w:rPr>
          <w:rFonts w:ascii="Times New Roman" w:hAnsi="Times New Roman"/>
          <w:sz w:val="24"/>
        </w:rPr>
        <w:t>This paper addresses this gap through three contributions. First, we map the literature landscape of trust in educational AI through a critical review, identifying how trust is conceptualized, measured, and theoretically framed. Second, we diagnose the calibration gap — the absence of systematic attention to trust-capability alignment and the disconnect between learner-level dynamics and system-level design. Third, we propose a Two-Level Trust Calibration Framework that bridges this gap through an adaptive calibration cycle grounded in scaffolding theory.</w:t>
      </w:r>
    </w:p>
    <w:p>
      <w:pPr>
        <w:spacing w:line="480" w:lineRule="auto"/>
        <w:ind w:firstLine="720"/>
      </w:pPr>
      <w:r>
        <w:rPr>
          <w:rFonts w:ascii="Times New Roman" w:hAnsi="Times New Roman"/>
          <w:sz w:val="24"/>
        </w:rPr>
        <w:t>Four research questions guide this inquiry:</w:t>
      </w:r>
    </w:p>
    <w:p>
      <w:pPr>
        <w:spacing w:line="480" w:lineRule="auto"/>
        <w:ind w:left="720" w:hanging="360"/>
      </w:pPr>
      <w:r>
        <w:rPr>
          <w:rFonts w:ascii="Times New Roman" w:hAnsi="Times New Roman"/>
          <w:sz w:val="24"/>
        </w:rPr>
        <w:t>- RQ1: How is trust in AI conceptualized and measured in educational AI research?</w:t>
      </w:r>
    </w:p>
    <w:p>
      <w:pPr>
        <w:spacing w:line="480" w:lineRule="auto"/>
        <w:ind w:left="720" w:hanging="360"/>
      </w:pPr>
      <w:r>
        <w:rPr>
          <w:rFonts w:ascii="Times New Roman" w:hAnsi="Times New Roman"/>
          <w:sz w:val="24"/>
        </w:rPr>
        <w:t>- RQ2: What theoretical frameworks guide trust research in educational AI contexts?</w:t>
      </w:r>
    </w:p>
    <w:p>
      <w:pPr>
        <w:spacing w:line="480" w:lineRule="auto"/>
        <w:ind w:left="720" w:hanging="360"/>
      </w:pPr>
      <w:r>
        <w:rPr>
          <w:rFonts w:ascii="Times New Roman" w:hAnsi="Times New Roman"/>
          <w:sz w:val="24"/>
        </w:rPr>
        <w:t>- RQ3: To what extent does existing research address trust calibration and human oversight design?</w:t>
      </w:r>
    </w:p>
    <w:p>
      <w:pPr>
        <w:spacing w:line="480" w:lineRule="auto"/>
        <w:ind w:left="720" w:hanging="360"/>
      </w:pPr>
      <w:r>
        <w:rPr>
          <w:rFonts w:ascii="Times New Roman" w:hAnsi="Times New Roman"/>
          <w:sz w:val="24"/>
        </w:rPr>
        <w:t>- RQ4: What does a two-level framework connecting learner trust dynamics to system-mediated trust calibration look like?</w:t>
      </w:r>
    </w:p>
    <w:p>
      <w:pPr>
        <w:spacing w:before="240" w:after="240" w:line="480" w:lineRule="auto"/>
        <w:jc w:val="center"/>
      </w:pPr>
      <w:r>
        <w:rPr>
          <w:rFonts w:ascii="Times New Roman" w:hAnsi="Times New Roman"/>
          <w:b/>
          <w:sz w:val="24"/>
        </w:rPr>
        <w:t>2. Conceptual Foundation</w:t>
      </w:r>
    </w:p>
    <w:p>
      <w:pPr>
        <w:spacing w:line="480" w:lineRule="auto"/>
        <w:ind w:firstLine="720"/>
      </w:pPr>
      <w:r>
        <w:rPr>
          <w:rFonts w:ascii="Times New Roman" w:hAnsi="Times New Roman"/>
          <w:sz w:val="24"/>
        </w:rPr>
        <w:t>This section establishes the theoretical groundwork for the Two-Level Trust Calibration Framework. We trace the origins of trust research in automation, translate these constructs to educational contexts, introduce the critical distinction between self-regulated learning (SRL) calibration and trust calibration, examine the S-O-R model of Wang et al. (2025) as the most proximate theoretical antecedent, and preview the two-level framework that addresses its limitations.</w:t>
      </w:r>
    </w:p>
    <w:p>
      <w:pPr>
        <w:spacing w:before="240" w:after="240" w:line="480" w:lineRule="auto"/>
        <w:jc w:val="left"/>
      </w:pPr>
      <w:r>
        <w:rPr>
          <w:rFonts w:ascii="Times New Roman" w:hAnsi="Times New Roman"/>
          <w:b/>
          <w:sz w:val="24"/>
        </w:rPr>
        <w:t>2.1 Trust in Automation and Its Educational Translation</w:t>
      </w:r>
    </w:p>
    <w:p>
      <w:pPr>
        <w:spacing w:line="480" w:lineRule="auto"/>
        <w:ind w:firstLine="720"/>
      </w:pPr>
      <w:r>
        <w:rPr>
          <w:rFonts w:ascii="Times New Roman" w:hAnsi="Times New Roman"/>
          <w:sz w:val="24"/>
        </w:rPr>
        <w:t>Lee and See (2004) defined trust as "the attitude that an agent will help achieve an individual's goals in a situation characterized by uncertainty and vulnerability" (p. 54). Both conditions are acutely present in educational settings: uncertainty about whether AI outputs are correct and pedagogically appropriate, and vulnerability because the learner's cognitive development is at stake. Lee and See further proposed that trust is shaped by three bases — performance (system competence), process (transparency and predictability), and purpose (alignment with the user's goals) — each mapping onto distinct concerns in educational AI.</w:t>
      </w:r>
    </w:p>
    <w:p>
      <w:pPr>
        <w:spacing w:line="480" w:lineRule="auto"/>
        <w:ind w:firstLine="720"/>
      </w:pPr>
      <w:r>
        <w:rPr>
          <w:rFonts w:ascii="Times New Roman" w:hAnsi="Times New Roman"/>
          <w:sz w:val="24"/>
        </w:rPr>
        <w:t>Hoff and Bashir (2015) extended this foundation with a three-layer model distinguishing dispositional trust (stable personality-level tendencies shaped by age, culture, and experience), situational trust (context-dependent, influenced by task environment and perceived risk), and learned trust (accumulated through direct experience with a specific system). This temporal layering is particularly important in education, where trust evolves across an entire semester rather than during a single encounter.</w:t>
      </w:r>
    </w:p>
    <w:p>
      <w:pPr>
        <w:spacing w:line="480" w:lineRule="auto"/>
        <w:ind w:firstLine="720"/>
      </w:pPr>
      <w:r>
        <w:rPr>
          <w:rFonts w:ascii="Times New Roman" w:hAnsi="Times New Roman"/>
          <w:sz w:val="24"/>
        </w:rPr>
        <w:t>Mayer et al. (1995) proposed the Ability-Benevolence-Integrity (ABI) model, increasingly applied to human-technology interaction (Lankton et al., 2015). In educational AI, ability maps to domain-specific accuracy, benevolence to the perception that the AI supports learning rather than replacing learner effort, and integrity to consistency and adherence to educational norms. De Visser et al. (2020) further contributed the concept of trust repair through calibration cues — system-initiated reliability signals that can restore appropriate trust levels after violations.</w:t>
      </w:r>
    </w:p>
    <w:p>
      <w:pPr>
        <w:spacing w:line="480" w:lineRule="auto"/>
        <w:ind w:firstLine="720"/>
      </w:pPr>
      <w:r>
        <w:rPr>
          <w:rFonts w:ascii="Times New Roman" w:hAnsi="Times New Roman"/>
          <w:sz w:val="24"/>
        </w:rPr>
        <w:t>Translating these frameworks to education demands attention to what makes educational AI distinctive. Unlike industrial automation, where the user's goal is task completion, educational AI operates in a domain where the "user" is simultaneously a learner. This creates a paradox: the most helpful AI response (providing the correct answer) may be the most pedagogically harmful one (depriving the learner of productive struggle). Trust calibration in educational AI must therefore account not only for accuracy-based trust but also for whether learners understand the pedagogical implications of their reliance patterns.</w:t>
      </w:r>
    </w:p>
    <w:p>
      <w:pPr>
        <w:spacing w:before="240" w:after="240" w:line="480" w:lineRule="auto"/>
        <w:jc w:val="left"/>
      </w:pPr>
      <w:r>
        <w:rPr>
          <w:rFonts w:ascii="Times New Roman" w:hAnsi="Times New Roman"/>
          <w:b/>
          <w:sz w:val="24"/>
        </w:rPr>
        <w:t>2.2 The Calibration Core: Two Types of Calibration</w:t>
      </w:r>
    </w:p>
    <w:p>
      <w:pPr>
        <w:spacing w:line="480" w:lineRule="auto"/>
        <w:ind w:firstLine="720"/>
      </w:pPr>
      <w:r>
        <w:rPr>
          <w:rFonts w:ascii="Times New Roman" w:hAnsi="Times New Roman"/>
          <w:sz w:val="24"/>
        </w:rPr>
        <w:t>At the heart of this paper lies the concept of calibration — the correspondence between judgment and reality. Lee and See (2004) defined trust calibration as the degree of agreement between a person's trust in a system and the system's actual capabilities. This concept provides a precise lens for diagnosing two modes of trust failure.</w:t>
      </w:r>
    </w:p>
    <w:p>
      <w:pPr>
        <w:spacing w:line="480" w:lineRule="auto"/>
        <w:ind w:firstLine="720"/>
      </w:pPr>
      <w:r>
        <w:rPr>
          <w:rFonts w:ascii="Times New Roman" w:hAnsi="Times New Roman"/>
          <w:sz w:val="24"/>
        </w:rPr>
        <w:t>Overtrust occurs when a learner's trust exceeds the system's actual reliability, resulting in uncritical acceptance. Bastani et al. (2025) demonstrated this empirically: students with unrestricted ChatGPT access exhibited automation complacency (Parasuraman &amp; Manzey, 2010), engaging in cognitive offloading (Risko &amp; Gilbert, 2016) where learners delegate not just task execution but the cognitive effort that produces learning. This is particularly insidious with large language models, whose fluent outputs mask variable reliability across domains (Ji et al., 2023).</w:t>
      </w:r>
    </w:p>
    <w:p>
      <w:pPr>
        <w:spacing w:line="480" w:lineRule="auto"/>
        <w:ind w:firstLine="720"/>
      </w:pPr>
      <w:r>
        <w:rPr>
          <w:rFonts w:ascii="Times New Roman" w:hAnsi="Times New Roman"/>
          <w:sz w:val="24"/>
        </w:rPr>
        <w:t>Undertrust occurs when trust falls below the system's actual capability, causing learners to reject beneficial AI assistance and forgo scaffolded learning opportunities. Undertrust may arise from prior negative experiences, low technology self-efficacy, or broader AI skepticism (Hoff &amp; Bashir, 2015; Parasuraman &amp; Riley, 1997).</w:t>
      </w:r>
    </w:p>
    <w:p>
      <w:pPr>
        <w:spacing w:line="480" w:lineRule="auto"/>
        <w:ind w:firstLine="720"/>
      </w:pPr>
      <w:r>
        <w:rPr>
          <w:rFonts w:ascii="Times New Roman" w:hAnsi="Times New Roman"/>
          <w:sz w:val="24"/>
        </w:rPr>
        <w:t>The critical distinction: SRL calibration versus trust calibration. Existing educational research addresses calibration extensively — but almost exclusively in the context of self-regulated learning. SRL calibration (Winne &amp; Hadwin, 1998; Azevedo, 2005; Greene &amp; Azevedo, 2007; Panadero, 2017) refers to the accuracy of learners' judgments about their own knowledge and performance. A well-calibrated learner accurately assesses what they know and do not know, enabling adaptive study strategies. Decades of research have established SRL calibration as a powerful predictor of academic achievement (Dunlosky &amp; Rawson, 2012), with metacognitive monitoring as the operative mechanism (Nelson &amp; Narens, 1990).</w:t>
      </w:r>
    </w:p>
    <w:p>
      <w:pPr>
        <w:spacing w:line="480" w:lineRule="auto"/>
        <w:ind w:firstLine="720"/>
      </w:pPr>
      <w:r>
        <w:rPr>
          <w:rFonts w:ascii="Times New Roman" w:hAnsi="Times New Roman"/>
          <w:sz w:val="24"/>
        </w:rPr>
        <w:t>Trust calibration differs fundamentally from SRL calibration in its locus of uncertainty. Where SRL calibration asks, "How accurately do I judge my own capabilities?", trust calibration asks, "How accurately do I judge the AI system's capabilities?" This shift from self to external system has profound implications. SRL calibration improves through metacognitive training that enhances self-monitoring (Schraw, 1998). Trust calibration requires knowledge of the AI system's reliability profile — its strengths, limitations, and failure modes — a form of AI literacy (Long &amp; Magerko, 2020) that goes beyond general self-regulation.</w:t>
      </w:r>
    </w:p>
    <w:p>
      <w:pPr>
        <w:spacing w:line="480" w:lineRule="auto"/>
        <w:ind w:firstLine="720"/>
      </w:pPr>
      <w:r>
        <w:rPr>
          <w:rFonts w:ascii="Times New Roman" w:hAnsi="Times New Roman"/>
          <w:sz w:val="24"/>
        </w:rPr>
        <w:t>The distinction is not merely semantic. Consider a student who accurately recognizes that she struggles with integral calculus (high SRL calibration). When she turns to ChatGPT, however, she may grossly overestimate the AI's mathematical reasoning accuracy, accepting a subtly incorrect solution without verification (low trust calibration). Her SRL calibration does not protect her from trust miscalibration because the two involve different objects of judgment and different informational requirements. Existing SRL frameworks (Zimmerman, 2000; Winne &amp; Hadwin, 1998; Panadero, 2017) address the first type; the second — trust calibration in AI-mediated learning — remains largely unaddressed. Emerging work in adjacent fields supports this argument. Lee et al. (2025) identified metacognitive sensitivity as a key mechanism for calibrating trust with AI, establishing a direct conceptual bridge between metacognition research and trust calibration. Steyvers and Peters (2025) examined how metacognition and uncertainty communication interact between humans and large language models, further underscoring the need for calibration-specific frameworks. This paper argues that trust calibration constitutes a distinct regulatory challenge demanding its own theoretical attention and design solutions.</w:t>
      </w:r>
    </w:p>
    <w:p>
      <w:pPr>
        <w:spacing w:before="240" w:after="240" w:line="480" w:lineRule="auto"/>
        <w:jc w:val="left"/>
      </w:pPr>
      <w:r>
        <w:rPr>
          <w:rFonts w:ascii="Times New Roman" w:hAnsi="Times New Roman"/>
          <w:b/>
          <w:sz w:val="24"/>
        </w:rPr>
        <w:t>2.3 The S-O-R Model and Its Limitations</w:t>
      </w:r>
    </w:p>
    <w:p>
      <w:pPr>
        <w:spacing w:line="480" w:lineRule="auto"/>
        <w:ind w:firstLine="720"/>
      </w:pPr>
      <w:r>
        <w:rPr>
          <w:rFonts w:ascii="Times New Roman" w:hAnsi="Times New Roman"/>
          <w:sz w:val="24"/>
        </w:rPr>
        <w:t>Wang et al. (2025) proposed a Stimulus-Organism-Response (S-O-R) model for learner interaction with AI-assisted learning environments. The Stimulus component captures AI characteristics that initiate trust formation (perceived intelligence, anthropomorphism, output quality); the Organism models internal psychological processes of trust formation (cognitive appraisal, affective response, existing mental models); and the Response captures behavioral and learning consequences. Critically, Wang et al. distinguish between trust as a psychological state and reliance as a behavioral outcome.</w:t>
      </w:r>
    </w:p>
    <w:p>
      <w:pPr>
        <w:spacing w:line="480" w:lineRule="auto"/>
        <w:ind w:firstLine="720"/>
      </w:pPr>
      <w:r>
        <w:rPr>
          <w:rFonts w:ascii="Times New Roman" w:hAnsi="Times New Roman"/>
          <w:sz w:val="24"/>
        </w:rPr>
        <w:t>However, this model has three limitations that motivate the present framework. First, the S-O-R structure carries a behaviorist lineage (Woodworth, 1929) that does not naturally accommodate the recursive, constructivist nature of learning (Piaget, 1971; Vygotsky, 1978). Second, the model's trust constructs would benefit from integration with Mayer et al.'s (1995) ABI dimensions and Hoff and Bashir's (2015) three-layer model for more granular trust antecedents. Third, and most consequentially, the S-O-R model stops at the individual learner level. It models how trust forms but does not address how educational systems can be designed to actively calibrate that trust — the gap between describing a problem and prescribing a solution. Knowing that overtrust harms learning (Bastani et al., 2025) is necessary but insufficient; what is needed is a framework specifying how AI systems can detect trust miscalibration and intervene to correct it.</w:t>
      </w:r>
    </w:p>
    <w:p>
      <w:pPr>
        <w:spacing w:before="240" w:after="240" w:line="480" w:lineRule="auto"/>
        <w:jc w:val="left"/>
      </w:pPr>
      <w:r>
        <w:rPr>
          <w:rFonts w:ascii="Times New Roman" w:hAnsi="Times New Roman"/>
          <w:b/>
          <w:sz w:val="24"/>
        </w:rPr>
        <w:t>2.4 Toward a Two-Level Framework</w:t>
      </w:r>
    </w:p>
    <w:p>
      <w:pPr>
        <w:spacing w:line="480" w:lineRule="auto"/>
        <w:ind w:firstLine="720"/>
      </w:pPr>
      <w:r>
        <w:rPr>
          <w:rFonts w:ascii="Times New Roman" w:hAnsi="Times New Roman"/>
          <w:sz w:val="24"/>
        </w:rPr>
        <w:t>Existing theoretical approaches each leave a critical piece unaddressed. Technology acceptance models (Davis, 1989; Venkatesh et al., 2003) address adoption but not ongoing trust calibration. SRL frameworks address self-calibration but not trust calibration with respect to external AI. The S-O-R model addresses learner-level trust dynamics but not system-level design responses. What is missing is a framework connecting the learner-level question — "How does trust form and miscalibrate?" — to the design-level question — "How can educational AI systems be built to calibrate trust?"</w:t>
      </w:r>
    </w:p>
    <w:p>
      <w:pPr>
        <w:spacing w:line="480" w:lineRule="auto"/>
        <w:ind w:firstLine="720"/>
      </w:pPr>
      <w:r>
        <w:rPr>
          <w:rFonts w:ascii="Times New Roman" w:hAnsi="Times New Roman"/>
          <w:sz w:val="24"/>
        </w:rPr>
        <w:t>This paper proposes a Two-Level Trust Calibration Framework. Level 1 (Micro): Learner Trust Dynamics models the cognitive and affective processes through which learners form, maintain, and adjust trust in AI, drawing on Lee and See (2004), Hoff and Bashir (2015), and Mayer et al. (1995), while modeling the interaction between trust calibration and SRL calibration. Level 2 (Macro): System-Mediated Trust Calibration specifies how educational AI systems can detect and correct trust miscalibration through Trust Calibration Scaffolds — adaptive, system-level interventions that guide learners toward appropriate trust levels. Connecting the two levels is the Adaptive Calibration Cycle, a four-stage process aligned with SRL theory that continuously monitors learner behavior, evaluates trust states, and adjusts scaffold intensity.</w:t>
      </w:r>
    </w:p>
    <w:p>
      <w:pPr>
        <w:spacing w:line="480" w:lineRule="auto"/>
        <w:ind w:firstLine="720"/>
      </w:pPr>
      <w:r>
        <w:rPr>
          <w:rFonts w:ascii="Times New Roman" w:hAnsi="Times New Roman"/>
          <w:sz w:val="24"/>
        </w:rPr>
        <w:t>The connective tissue is scaffolding theory (Wood, Bruner, &amp; Ross, 1976). Three properties are particularly relevant: contingency (support calibrated to the learner's current state; van de Pol et al., 2010), fading (gradual withdrawal as competence increases), and transfer of responsibility (shifting regulatory control to the learner's metacognitive resources). Hattie's (2009) synthesis reported an effect size of d = 0.82 for scaffolding, and Hannafin et al. (1999) provided a taxonomy of scaffold types that informs the Trust Calibration Scaffolds developed in Section 5. Applied to trust calibration, scaffolding theory suggests that educational AI systems should provide contingent support for accurate trust judgments, fade that support as calibration improves, and ultimately transfer calibration responsibility to the learner — a novel extension from cognitive task performance to trust regulation.</w:t>
      </w:r>
    </w:p>
    <w:p>
      <w:pPr>
        <w:spacing w:before="240" w:after="240" w:line="480" w:lineRule="auto"/>
        <w:jc w:val="center"/>
      </w:pPr>
      <w:r>
        <w:rPr>
          <w:rFonts w:ascii="Times New Roman" w:hAnsi="Times New Roman"/>
          <w:b/>
          <w:sz w:val="24"/>
        </w:rPr>
        <w:t>3. Review Approach</w:t>
      </w:r>
    </w:p>
    <w:p>
      <w:pPr>
        <w:spacing w:line="480" w:lineRule="auto"/>
        <w:ind w:firstLine="720"/>
      </w:pPr>
      <w:r>
        <w:rPr>
          <w:rFonts w:ascii="Times New Roman" w:hAnsi="Times New Roman"/>
          <w:sz w:val="24"/>
        </w:rPr>
        <w:t>This paper adopts a critical review approach (Grant &amp; Booth, 2009) combined with conceptual framework development. Unlike systematic or scoping reviews that aim for exhaustive coverage, a critical review prioritizes theoretical synthesis, critical appraisal, and gap identification to motivate new theoretical contributions (Pare et al., 2015). This methodological choice reflects the paper's primary contribution: the Two-Level Trust Calibration Framework requires integrative theoretical reasoning rather than exhaustive enumeration, consistent with recognized review typologies (Peters et al., 2020).</w:t>
      </w:r>
    </w:p>
    <w:p>
      <w:pPr>
        <w:spacing w:before="240" w:after="240" w:line="480" w:lineRule="auto"/>
        <w:jc w:val="left"/>
      </w:pPr>
      <w:r>
        <w:rPr>
          <w:rFonts w:ascii="Times New Roman" w:hAnsi="Times New Roman"/>
          <w:b/>
          <w:sz w:val="24"/>
        </w:rPr>
        <w:t>Search Strategy and Selection</w:t>
      </w:r>
    </w:p>
    <w:p>
      <w:pPr>
        <w:spacing w:line="480" w:lineRule="auto"/>
        <w:ind w:firstLine="720"/>
      </w:pPr>
      <w:r>
        <w:rPr>
          <w:rFonts w:ascii="Times New Roman" w:hAnsi="Times New Roman"/>
          <w:sz w:val="24"/>
        </w:rPr>
        <w:t>We searched Web of Science, Scopus, and PsycINFO (2015--2026) combining trust-related terms ("trust" OR "trust calibration" OR "overtrust" OR "reliance" OR "overreliance") with educational AI terms ("educational AI" OR "AI-assisted learning" OR "generative AI" OR "intelligent tutoring" OR "AI in education"). This temporal scope captures the maturation of intelligent tutoring systems and the transformative period following public LLM releases. Database searches were supplemented with backward and forward citation tracking from seminal works (Lee &amp; See, 2004; Mayer et al., 1995; Hoff &amp; Bashir, 2015; Wang et al., 2025; Bastani et al., 2025), yielding 19 additional papers from the human factors and HCI literature that directly address trust calibration measurement and intervention. Papers were selected based on relevance to trust dynamics in educational AI, prioritizing: (a) empirical studies measuring trust or calibration; (b) theoretical frameworks addressing trust in learning environments; and (c) studies from adjacent fields with clear educational applicability. Through this process, 147 papers were identified for full-text analysis. Of these, 97 were coded using a 32-field coding scheme with AI-assisted extraction (RAG pipeline) supplemented by manual verification of key papers; the remaining 50 await institutional PDF access.</w:t>
      </w:r>
    </w:p>
    <w:p>
      <w:pPr>
        <w:spacing w:before="288"/>
      </w:pPr>
      <w:r>
        <w:drawing>
          <wp:inline xmlns:a="http://schemas.openxmlformats.org/drawingml/2006/main" xmlns:pic="http://schemas.openxmlformats.org/drawingml/2006/picture">
            <wp:extent cx="5029200" cy="597178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029200" cy="5971780"/>
                    </a:xfrm>
                    <a:prstGeom prst="rect"/>
                  </pic:spPr>
                </pic:pic>
              </a:graphicData>
            </a:graphic>
          </wp:inline>
        </w:drawing>
      </w:r>
    </w:p>
    <w:p>
      <w:pPr>
        <w:spacing w:before="240" w:after="240" w:line="480" w:lineRule="auto"/>
        <w:jc w:val="left"/>
      </w:pPr>
      <w:r>
        <w:rPr>
          <w:rFonts w:ascii="Times New Roman" w:hAnsi="Times New Roman"/>
          <w:b/>
          <w:sz w:val="24"/>
        </w:rPr>
        <w:t>Analysis Approach</w:t>
      </w:r>
    </w:p>
    <w:p>
      <w:pPr>
        <w:spacing w:line="480" w:lineRule="auto"/>
        <w:ind w:firstLine="720"/>
      </w:pPr>
      <w:r>
        <w:rPr>
          <w:rFonts w:ascii="Times New Roman" w:hAnsi="Times New Roman"/>
          <w:sz w:val="24"/>
        </w:rPr>
        <w:t>Selected works were analyzed thematically across four dimensions corresponding to the research questions: trust conceptualization, theoretical frameworks, measurement approaches, and calibration/oversight mechanisms. The fourth dimension served as the basis for gap analysis examining whether existing scholarship connects learner-level trust dynamics to system-level oversight design.</w:t>
      </w:r>
    </w:p>
    <w:p>
      <w:pPr>
        <w:spacing w:before="240" w:after="240" w:line="480" w:lineRule="auto"/>
        <w:jc w:val="left"/>
      </w:pPr>
      <w:r>
        <w:rPr>
          <w:rFonts w:ascii="Times New Roman" w:hAnsi="Times New Roman"/>
          <w:b/>
          <w:sz w:val="24"/>
        </w:rPr>
        <w:t>Limitations</w:t>
      </w:r>
    </w:p>
    <w:p>
      <w:pPr>
        <w:spacing w:line="480" w:lineRule="auto"/>
        <w:ind w:firstLine="720"/>
      </w:pPr>
      <w:r>
        <w:rPr>
          <w:rFonts w:ascii="Times New Roman" w:hAnsi="Times New Roman"/>
          <w:sz w:val="24"/>
        </w:rPr>
        <w:t>This is not a full systematic review, and the search strategy does not claim exhaustive coverage. The literature search was limited to English-language publications. Coding was conducted with AI assistance by a single researcher, introducing potential classification bias. These limitations are discussed further in Section 7.1.</w:t>
      </w:r>
    </w:p>
    <w:p>
      <w:pPr>
        <w:spacing w:before="240" w:after="240" w:line="480" w:lineRule="auto"/>
        <w:jc w:val="center"/>
      </w:pPr>
      <w:r>
        <w:rPr>
          <w:rFonts w:ascii="Times New Roman" w:hAnsi="Times New Roman"/>
          <w:b/>
          <w:sz w:val="24"/>
        </w:rPr>
        <w:t>4. Literature Landscape</w:t>
      </w:r>
    </w:p>
    <w:p>
      <w:pPr>
        <w:spacing w:line="480" w:lineRule="auto"/>
        <w:ind w:firstLine="720"/>
      </w:pPr>
      <w:r>
        <w:rPr>
          <w:rFonts w:ascii="Times New Roman" w:hAnsi="Times New Roman"/>
          <w:sz w:val="24"/>
        </w:rPr>
        <w:t>The preceding sections established the methodological basis and theoretical foundations of this review. This section presents the findings from the systematic coding of 97 papers drawn from the broader 147-paper corpus, organized around four dimensions: how trust is conceptualized, which theoretical frameworks predominate, how trust is measured, and where a critical gap emerges at the intersection of trust calibration and oversight design. Together, these dimensions reveal a field that has made substantial progress in documenting learner trust but has yet to address the more consequential question of how to calibrate it.</w:t>
      </w:r>
    </w:p>
    <w:p>
      <w:pPr>
        <w:spacing w:before="240" w:after="240" w:line="480" w:lineRule="auto"/>
        <w:jc w:val="left"/>
      </w:pPr>
      <w:r>
        <w:rPr>
          <w:rFonts w:ascii="Times New Roman" w:hAnsi="Times New Roman"/>
          <w:b/>
          <w:sz w:val="24"/>
        </w:rPr>
        <w:t>4.1 Trust Conceptualizations in Educational AI Research</w:t>
      </w:r>
    </w:p>
    <w:p>
      <w:pPr>
        <w:spacing w:line="480" w:lineRule="auto"/>
        <w:ind w:firstLine="720"/>
      </w:pPr>
      <w:r>
        <w:rPr>
          <w:rFonts w:ascii="Times New Roman" w:hAnsi="Times New Roman"/>
          <w:sz w:val="24"/>
        </w:rPr>
        <w:t>Trust in educational AI research is not a unified construct. Across the 97 coded papers, at least three distinct conceptualizations coexist, often without explicit acknowledgment of their differences. The first treats trust as an attitude toward the technology, following Lee and See's (2004) characterization of trust as "the attitude that an agent will help achieve an individual's goals in a situation characterized by uncertainty and vulnerability" (p. 54). The second treats trust as a belief about the trustee's characteristics, drawing on Mayer et al.'s (1995) widely cited model in which trust is a function of perceived ability, benevolence, and integrity. The third treats trust as a behavioral intention, operationalizing it through technology acceptance constructs such as willingness to use, perceived usefulness, and intention to adopt (Davis, 1989; Venkatesh et al., 2003).</w:t>
      </w:r>
    </w:p>
    <w:p>
      <w:pPr>
        <w:spacing w:line="480" w:lineRule="auto"/>
        <w:ind w:firstLine="720"/>
      </w:pPr>
      <w:r>
        <w:rPr>
          <w:rFonts w:ascii="Times New Roman" w:hAnsi="Times New Roman"/>
          <w:sz w:val="24"/>
        </w:rPr>
        <w:t>The vast majority of the reviewed corpus — 86 of 97 papers (88.7%) — conceptualized trust as trust in AI as a general construct, while 6 papers (6.2%) employed the more specialized trust-in-automation framing drawn from human factors research, 3 papers (3.1%) addressed institutional trust, and 2 papers (2.1%) adopted an interpersonal trust lens. This near-universal framing of trust as a monolithic orientation toward AI is consequential: it collapses theoretically distinct constructs — dispositional tendencies, context-specific judgments, and accumulated experiential assessments — into a single undifferentiated variable, obscuring the kind of fine-grained analysis required for calibration research.</w:t>
      </w:r>
    </w:p>
    <w:p>
      <w:pPr>
        <w:spacing w:line="480" w:lineRule="auto"/>
        <w:ind w:firstLine="720"/>
      </w:pPr>
      <w:r>
        <w:rPr>
          <w:rFonts w:ascii="Times New Roman" w:hAnsi="Times New Roman"/>
          <w:sz w:val="24"/>
        </w:rPr>
        <w:t>Equally striking is the absence of definitional precision. Of the 97 papers, 82 (84.5%) provided no explicit definition of trust, 6 papers (6.2%) employed implicit definitions discernible from context, and only 9 papers (9.3%) offered an explicit operational definition. This pattern suggests that much of the field treats trust as a self-evident concept requiring no specification — an assumption that is untenable given the construct's documented multidimensionality in both the organizational trust literature (Mayer et al., 1995) and the human factors tradition (Lee &amp; See, 2004; Hoff &amp; Bashir, 2015).</w:t>
      </w:r>
    </w:p>
    <w:p>
      <w:pPr>
        <w:spacing w:line="480" w:lineRule="auto"/>
        <w:ind w:firstLine="720"/>
      </w:pPr>
      <w:r>
        <w:rPr>
          <w:rFonts w:ascii="Times New Roman" w:hAnsi="Times New Roman"/>
          <w:sz w:val="24"/>
        </w:rPr>
        <w:t>Notably absent from the educational AI corpus is the calibration-oriented conceptualization that has gained traction in human factors and automation research. In that tradition, the central concern is not whether operators trust automation, but whether their trust accurately tracks the system's actual reliability across different contexts and conditions (Lee &amp; See, 2004; Parasuraman &amp; Riley, 1997). Only 7 papers (7.2%) drew on Lee and See's trust-in-automation framework, and only 2 (2.1%) employed Hoff and Bashir's (2015) three-layer model of trust dynamics. Critically, 7 of these 9 trust-specific framework papers came from the supplementary web search targeting HCI and human factors literature, not from the original educational AI database searches — revealing a disciplinary disconnection rather than a methodological impossibility. This distinction between trust level and trust accuracy is foundational to the framework proposed in Section 5, yet it remains marginal in educational AI scholarship.</w:t>
      </w:r>
    </w:p>
    <w:p>
      <w:r>
        <w:drawing>
          <wp:inline xmlns:a="http://schemas.openxmlformats.org/drawingml/2006/main" xmlns:pic="http://schemas.openxmlformats.org/drawingml/2006/picture">
            <wp:extent cx="5029200" cy="2525789"/>
            <wp:docPr id="3" name="Picture 3"/>
            <wp:cNvGraphicFramePr>
              <a:graphicFrameLocks noChangeAspect="1"/>
            </wp:cNvGraphicFramePr>
            <a:graphic>
              <a:graphicData uri="http://schemas.openxmlformats.org/drawingml/2006/picture">
                <pic:pic>
                  <pic:nvPicPr>
                    <pic:cNvPr id="0" name="figure3_calibration_gap.png"/>
                    <pic:cNvPicPr/>
                  </pic:nvPicPr>
                  <pic:blipFill>
                    <a:blip r:embed="rId11"/>
                    <a:stretch>
                      <a:fillRect/>
                    </a:stretch>
                  </pic:blipFill>
                  <pic:spPr>
                    <a:xfrm>
                      <a:off x="0" y="0"/>
                      <a:ext cx="5029200" cy="2525789"/>
                    </a:xfrm>
                    <a:prstGeom prst="rect"/>
                  </pic:spPr>
                </pic:pic>
              </a:graphicData>
            </a:graphic>
          </wp:inline>
        </w:drawing>
      </w:r>
    </w:p>
    <w:p>
      <w:r>
        <w:drawing>
          <wp:inline xmlns:a="http://schemas.openxmlformats.org/drawingml/2006/main" xmlns:pic="http://schemas.openxmlformats.org/drawingml/2006/picture">
            <wp:extent cx="5029200" cy="4166285"/>
            <wp:docPr id="2" name="Picture 2"/>
            <wp:cNvGraphicFramePr>
              <a:graphicFrameLocks noChangeAspect="1"/>
            </wp:cNvGraphicFramePr>
            <a:graphic>
              <a:graphicData uri="http://schemas.openxmlformats.org/drawingml/2006/picture">
                <pic:pic>
                  <pic:nvPicPr>
                    <pic:cNvPr id="0" name="figure2_literature_landscape.png"/>
                    <pic:cNvPicPr/>
                  </pic:nvPicPr>
                  <pic:blipFill>
                    <a:blip r:embed="rId10"/>
                    <a:stretch>
                      <a:fillRect/>
                    </a:stretch>
                  </pic:blipFill>
                  <pic:spPr>
                    <a:xfrm>
                      <a:off x="0" y="0"/>
                      <a:ext cx="5029200" cy="4166285"/>
                    </a:xfrm>
                    <a:prstGeom prst="rect"/>
                  </pic:spPr>
                </pic:pic>
              </a:graphicData>
            </a:graphic>
          </wp:inline>
        </w:drawing>
      </w:r>
    </w:p>
    <w:p>
      <w:pPr>
        <w:spacing w:before="240" w:after="240" w:line="480" w:lineRule="auto"/>
        <w:jc w:val="left"/>
      </w:pPr>
      <w:r>
        <w:rPr>
          <w:rFonts w:ascii="Times New Roman" w:hAnsi="Times New Roman"/>
          <w:b/>
          <w:sz w:val="24"/>
        </w:rPr>
        <w:t>4.2 Theoretical Frameworks in the Field</w:t>
      </w:r>
    </w:p>
    <w:p>
      <w:pPr>
        <w:spacing w:line="480" w:lineRule="auto"/>
        <w:ind w:firstLine="720"/>
      </w:pPr>
      <w:r>
        <w:rPr>
          <w:rFonts w:ascii="Times New Roman" w:hAnsi="Times New Roman"/>
          <w:sz w:val="24"/>
        </w:rPr>
        <w:t>The theoretical landscape revealed by the coding is characterized less by the dominance of any single framework than by the prevalence of atheoretical research. Nearly half of the coded papers — 48 of 97 (49.5%) — employed no identifiable theoretical framework, proceeding directly from research questions to empirical investigation or narrative analysis without anchoring their inquiry in an established theoretical tradition. This finding reframes the conventional narrative about technology acceptance models dominating the field: while TAM and UTAUT variants are indeed the most commonly named framework family, appearing in 22 papers (22.7%) either individually or in combination, they characterize approximately one in four studies, and they are outnumbered more than two to one by studies operating without any framework at all.</w:t>
      </w:r>
    </w:p>
    <w:p>
      <w:pPr>
        <w:spacing w:line="480" w:lineRule="auto"/>
        <w:ind w:firstLine="720"/>
      </w:pPr>
      <w:r>
        <w:rPr>
          <w:rFonts w:ascii="Times New Roman" w:hAnsi="Times New Roman"/>
          <w:sz w:val="24"/>
        </w:rPr>
        <w:t>Among the 49 papers (50.5%) that did employ a theoretical framework, several identifiable clusters emerge. The TAM/UTAUT family constitutes the largest named cluster (22 papers, 22.7% of the total corpus). These frameworks treat trust as one among several predictors of technology adoption, positioning it alongside perceived ease of use, social influence, and facilitating conditions. While these models have generated substantial empirical work on the determinants of AI adoption in educational settings, they are structurally limited in their capacity to address trust dynamics: they model adoption as an outcome rather than as an ongoing process, and they do not account for the possibility that adoption itself may be harmful when trust is miscalibrated.</w:t>
      </w:r>
    </w:p>
    <w:p>
      <w:pPr>
        <w:spacing w:line="480" w:lineRule="auto"/>
        <w:ind w:firstLine="720"/>
      </w:pPr>
      <w:r>
        <w:rPr>
          <w:rFonts w:ascii="Times New Roman" w:hAnsi="Times New Roman"/>
          <w:sz w:val="24"/>
        </w:rPr>
        <w:t>AI in education (AIED) frameworks appeared in 13 papers (13.4%), addressing domain-specific considerations such as intelligent tutoring system design and adaptive learning architectures. Diffusion of Innovation (DOI) theory appeared in 13 papers (13.4%), and Self-Determination Theory (SDT) in 3 papers (3.1%). Self-regulated learning (SRL) frameworks, which are arguably the most pedagogically relevant to trust calibration given their emphasis on metacognitive monitoring and self-evaluation, appeared in 5 papers (5.2%) — a notable increase from the original educational AI database search (2 papers), with the additional papers identified through supplementary searching in the cognitive science and learning analytics literatures.</w:t>
      </w:r>
    </w:p>
    <w:p>
      <w:pPr>
        <w:spacing w:line="480" w:lineRule="auto"/>
        <w:ind w:firstLine="720"/>
      </w:pPr>
      <w:r>
        <w:rPr>
          <w:rFonts w:ascii="Times New Roman" w:hAnsi="Times New Roman"/>
          <w:sz w:val="24"/>
        </w:rPr>
        <w:t>A third, theoretically consequential cluster applies trust-in-automation theory from human factors research to educational AI. Lee and See's (2004) framework appeared in 7 papers (7.2%), while Hoff and Bashir's (2015) three-layer model appeared in 2 papers (2.1%). Hoff and Bashir's model is particularly relevant because it distinguishes among dispositional trust (stable individual tendencies), situational trust (context-dependent responses), and learned trust (accumulated through experience) — a dynamic, multi-layered architecture that TAM-based models largely overlook. Yet with only 9 papers across the two trust-in-automation frameworks, this tradition's penetration into educational AI research remains limited, and the majority of these papers were identified through supplementary searching rather than the primary educational database searches.</w:t>
      </w:r>
    </w:p>
    <w:p>
      <w:pPr>
        <w:spacing w:line="480" w:lineRule="auto"/>
        <w:ind w:firstLine="720"/>
      </w:pPr>
      <w:r>
        <w:rPr>
          <w:rFonts w:ascii="Times New Roman" w:hAnsi="Times New Roman"/>
          <w:sz w:val="24"/>
        </w:rPr>
        <w:t>The depth of framework engagement further qualifies these figures. Among the 49 papers employing a framework, 24 (24.7% of the total) engaged at a superficial level — citing a framework without systematically applying it to study design or analysis — while 21 (21.6%) applied a framework to structure their investigation, and only 4 papers (4.1%) engaged at a foundational level, contributing to framework development or theoretical extension. The predominance of superficial and applied engagement suggests that even where frameworks are present, they often serve a legitimating function rather than a generative one, providing post hoc framing for empirical findings rather than driving the formulation of research questions and study designs.</w:t>
      </w:r>
    </w:p>
    <w:p>
      <w:pPr>
        <w:spacing w:line="480" w:lineRule="auto"/>
        <w:ind w:firstLine="720"/>
      </w:pPr>
      <w:r>
        <w:rPr>
          <w:rFonts w:ascii="Times New Roman" w:hAnsi="Times New Roman"/>
          <w:sz w:val="24"/>
        </w:rPr>
        <w:t>A critical observation across these clusters is that most frameworks in current use were developed for general technology acceptance or organizational behavior and subsequently adapted to educational AI contexts, rather than being developed specifically for the unique conditions of AI-mediated learning, where the user's cognitive development is itself at stake. This distinction matters: in most technology acceptance scenarios, the user's primary goal is task completion; in educational AI use, the user's primary goal is learning, which may require precisely the kind of effortful processing that efficient AI use can eliminate.</w:t>
      </w:r>
    </w:p>
    <w:p>
      <w:pPr>
        <w:spacing w:before="240" w:after="240" w:line="480" w:lineRule="auto"/>
        <w:jc w:val="left"/>
      </w:pPr>
      <w:r>
        <w:rPr>
          <w:rFonts w:ascii="Times New Roman" w:hAnsi="Times New Roman"/>
          <w:b/>
          <w:sz w:val="24"/>
        </w:rPr>
        <w:t>4.3 Trust Measurement Approaches</w:t>
      </w:r>
    </w:p>
    <w:p>
      <w:pPr>
        <w:spacing w:line="480" w:lineRule="auto"/>
        <w:ind w:firstLine="720"/>
      </w:pPr>
      <w:r>
        <w:rPr>
          <w:rFonts w:ascii="Times New Roman" w:hAnsi="Times New Roman"/>
          <w:sz w:val="24"/>
        </w:rPr>
        <w:t>The measurement landscape in the reviewed corpus exhibits a pronounced methodological gap. Of the 97 coded papers, only 7 (7.2%) measured trust empirically in any form. The remaining 90 papers (92.8%) discussed trust conceptually, identified it as a relevant variable, or examined its correlates without directly measuring it. This asymmetry between the volume of trust-related scholarship and the frequency of trust measurement is itself a significant finding: the field is producing far more discussion of trust than empirical data about it.</w:t>
      </w:r>
    </w:p>
    <w:p>
      <w:pPr>
        <w:spacing w:line="480" w:lineRule="auto"/>
        <w:ind w:firstLine="720"/>
      </w:pPr>
      <w:r>
        <w:rPr>
          <w:rFonts w:ascii="Times New Roman" w:hAnsi="Times New Roman"/>
          <w:sz w:val="24"/>
        </w:rPr>
        <w:t>Among the 7 papers that did measure trust, the majority employed mixed approaches combining self-report instruments with behavioral proxies. The prevailing measurement strategy relies on Likert-type trust questionnaires, typically administered as pre-post or cross-sectional surveys. These instruments capture learners' stated trust attitudes at discrete time points and have the advantage of psychometric familiarity and ease of administration. However, they are susceptible to well-documented limitations including social desirability bias, retrospective rationalization, and insensitivity to the dynamic, context-dependent fluctuations in trust that characterize real-time AI interaction (Schraw &amp; Dennison, 1994; Dunlosky &amp; Rawson, 2012).</w:t>
      </w:r>
    </w:p>
    <w:p>
      <w:pPr>
        <w:spacing w:line="480" w:lineRule="auto"/>
        <w:ind w:firstLine="720"/>
      </w:pPr>
      <w:r>
        <w:rPr>
          <w:rFonts w:ascii="Times New Roman" w:hAnsi="Times New Roman"/>
          <w:sz w:val="24"/>
        </w:rPr>
        <w:t>Behavioral measures of trust, though more ecologically valid, remain rare even within the small subset of papers that measured trust at all. Where they exist, they typically examine AI output acceptance rates (whether learners adopt AI-generated suggestions), usage frequency, or task delegation patterns. These measures offer more direct evidence of trust-in-action than self-reports but are rarely analyzed in relation to AI reliability, making it difficult to distinguish calibrated trust from uncritical reliance.</w:t>
      </w:r>
    </w:p>
    <w:p>
      <w:pPr>
        <w:spacing w:line="480" w:lineRule="auto"/>
        <w:ind w:firstLine="720"/>
      </w:pPr>
      <w:r>
        <w:rPr>
          <w:rFonts w:ascii="Times New Roman" w:hAnsi="Times New Roman"/>
          <w:sz w:val="24"/>
        </w:rPr>
        <w:t>Process-level measures represent the most significant absence. Indicators such as time spent verifying AI outputs, patterns of modification and revision following AI suggestions, information-seeking behaviors triggered by AI recommendations, and the sequence and depth of learner engagement with AI-generated content are entirely absent from the reviewed corpus. Not a single paper in the 97-paper coded set employed process-level trust indicators. This absence is consequential because process measures are precisely what would be needed to assess trust calibration in real time — a requirement for the adaptive framework proposed in Section 5.</w:t>
      </w:r>
    </w:p>
    <w:p>
      <w:pPr>
        <w:spacing w:line="480" w:lineRule="auto"/>
        <w:ind w:firstLine="720"/>
      </w:pPr>
      <w:r>
        <w:rPr>
          <w:rFonts w:ascii="Times New Roman" w:hAnsi="Times New Roman"/>
          <w:sz w:val="24"/>
        </w:rPr>
        <w:t>Most critically, calibration-specific measurement — defined as the systematic assessment of alignment between a learner's perceived AI capability and the AI system's actual capability in a given domain — is virtually nonexistent in the reviewed corpus. Only 1 of 97 coded papers (1.0%) measured calibration accuracy. The field measures how much learners trust AI; it does not measure how accurately they trust it. This distinction is not merely semantic. A learner who reports high trust in an AI system that is, in fact, highly reliable for the given task is well-calibrated. A learner who reports equally high trust in a system that is unreliable for the given task is dangerously miscalibrated. Current measurement approaches cannot distinguish between these two states because they assess trust level without reference to the reliability baseline against which trust should be evaluated.</w:t>
      </w:r>
    </w:p>
    <w:p>
      <w:pPr>
        <w:spacing w:before="240" w:after="240" w:line="480" w:lineRule="auto"/>
        <w:jc w:val="left"/>
      </w:pPr>
      <w:r>
        <w:rPr>
          <w:rFonts w:ascii="Times New Roman" w:hAnsi="Times New Roman"/>
          <w:b/>
          <w:sz w:val="24"/>
        </w:rPr>
        <w:t>4.4 The Calibration Gap</w:t>
      </w:r>
    </w:p>
    <w:p>
      <w:pPr>
        <w:spacing w:line="480" w:lineRule="auto"/>
        <w:ind w:firstLine="720"/>
      </w:pPr>
      <w:r>
        <w:rPr>
          <w:rFonts w:ascii="Times New Roman" w:hAnsi="Times New Roman"/>
          <w:sz w:val="24"/>
        </w:rPr>
        <w:t>The preceding subsections converge on a finding that constitutes the central empirical justification for the framework proposed in Section 5: despite growing research on trust in educational AI, a critical gap persists at the intersection of trust calibration and oversight design.</w:t>
      </w:r>
    </w:p>
    <w:p>
      <w:pPr>
        <w:spacing w:line="480" w:lineRule="auto"/>
        <w:ind w:firstLine="720"/>
      </w:pPr>
      <w:r>
        <w:rPr>
          <w:rFonts w:ascii="Times New Roman" w:hAnsi="Times New Roman"/>
          <w:sz w:val="24"/>
        </w:rPr>
        <w:t>The coding data reveal this gap with precision. Only 16 of 97 papers (16.5%) explicitly addressed calibration as a construct, while 42 (43.3%) addressed it partially — typically by acknowledging the possibility of miscalibrated trust without systematically analyzing it — and 39 (40.2%) did not address calibration at all. Critically, 13 of the 16 papers that explicitly address calibration came from the supplementary web search targeting HCI and cognitive science literature, not from the original educational AI database searches. This disciplinary pattern reveals that trust calibration is being studied — but primarily in human factors, clinical decision support, and general AI interaction research, not in educational AI contexts where the stakes for learner development are arguably highest. Overtrust was discussed in 32 papers (33.0%) and undertrust in 35 papers (36.1%), indicating that approximately one-third of the corpus recognizes miscalibrated trust as a concern, yet this recognition rarely translates into calibration-specific measurement or intervention design. Only 1 paper in the 97-paper coded set measured calibration accuracy, confirming that the field acknowledges the problem of miscalibrated trust in principle while lacking the tools to assess it in practice.</w:t>
      </w:r>
    </w:p>
    <w:p>
      <w:pPr>
        <w:spacing w:line="480" w:lineRule="auto"/>
        <w:ind w:firstLine="720"/>
      </w:pPr>
      <w:r>
        <w:rPr>
          <w:rFonts w:ascii="Times New Roman" w:hAnsi="Times New Roman"/>
          <w:sz w:val="24"/>
        </w:rPr>
        <w:t>This gap manifests along two dimensions. First, studies that examine trust in educational AI rarely address how to intervene when trust is miscalibrated. The dominant research paradigm identifies antecedents (what predicts higher or lower trust), correlates (what trust is associated with), and outcomes (what trust levels lead to), but stops short of proposing mechanisms for correcting trust when it diverges from the warranted level. Trust is treated as a variable to be predicted, not a state to be managed.</w:t>
      </w:r>
    </w:p>
    <w:p>
      <w:pPr>
        <w:spacing w:line="480" w:lineRule="auto"/>
        <w:ind w:firstLine="720"/>
      </w:pPr>
      <w:r>
        <w:rPr>
          <w:rFonts w:ascii="Times New Roman" w:hAnsi="Times New Roman"/>
          <w:sz w:val="24"/>
        </w:rPr>
        <w:t>Second, studies that examine AI scaffolding, oversight mechanisms, and pedagogical design in AI-mediated learning environments often fail to incorporate trust as a mediating or moderating variable. While 63 papers (64.9%) proposed some form of scaffold — with multiple scaffold types and transparency mechanisms each appearing most frequently (24 papers each, 24.7%), followed by other approaches (9 papers, 9.3%) — and 43 papers (44.3%) discussed oversight design, the integration between scaffold proposals and trust calibration remains superficial. Of the papers proposing scaffolds, the most common type was transparency-oriented, while metacognitive scaffolds — arguably the most directly relevant to trust calibration — appeared in only 3 papers (3.1%). Oversight design, where discussed, was primarily descriptive rather than prescriptive: papers discussed oversight considerations at a general level without specifying how oversight mechanisms should respond dynamically to learner trust states.</w:t>
      </w:r>
    </w:p>
    <w:p>
      <w:pPr>
        <w:spacing w:line="480" w:lineRule="auto"/>
        <w:ind w:firstLine="720"/>
      </w:pPr>
      <w:r>
        <w:rPr>
          <w:rFonts w:ascii="Times New Roman" w:hAnsi="Times New Roman"/>
          <w:sz w:val="24"/>
        </w:rPr>
        <w:t>The disconnect between these two bodies of work can be stated concisely: trust researchers study what learners feel and believe about AI; design researchers study what AI systems should do for learners; almost no one systematically connects the two by asking how system design should respond to learner trust states and, reciprocally, how system design shapes those trust states over time.</w:t>
      </w:r>
    </w:p>
    <w:p>
      <w:pPr>
        <w:spacing w:line="480" w:lineRule="auto"/>
        <w:ind w:firstLine="720"/>
      </w:pPr>
      <w:r>
        <w:rPr>
          <w:rFonts w:ascii="Times New Roman" w:hAnsi="Times New Roman"/>
          <w:sz w:val="24"/>
        </w:rPr>
        <w:t>The empirical work of Bastani et al. (2025) exemplifies both the urgency of this gap and the cost of leaving it unaddressed. Their randomized controlled trial documented substantial learning deterioration among students who used AI tutoring, a finding attributable to overtrust and cognitive offloading. Crucially, however, their study documented the harm of miscalibrated trust without proposing calibration mechanisms to prevent or remediate it. The study demonstrates what happens when learners overtrust AI in educational settings; it does not address what systems or pedagogies could have detected and corrected the miscalibration before harm occurred.</w:t>
      </w:r>
    </w:p>
    <w:p>
      <w:pPr>
        <w:spacing w:line="480" w:lineRule="auto"/>
        <w:ind w:firstLine="720"/>
      </w:pPr>
      <w:r>
        <w:rPr>
          <w:rFonts w:ascii="Times New Roman" w:hAnsi="Times New Roman"/>
          <w:sz w:val="24"/>
        </w:rPr>
        <w:t>This absence is all the more striking given that adjacent fields have developed viable calibration measurement approaches — and this review's supplementary search identified them. In human factors research, Okamura and Yamada (2020) used behavioral dependence switching as a calibration proxy in human-AI collaboration tasks. In HCI, Yin et al. (2019) experimentally examined the trust-accuracy alignment, and Li et al. (2024) directly manipulated AI confidence calibration levels to assess their effects on user trust. Ma et al. (2024) demonstrated that self-confidence calibration prompts can improve reliance behavior in AI-assisted decision making, while Sakamoto et al. (2024) validated trust calibration interventions in clinical diagnostic systems. Wischnewski et al. (2023) surveyed the state of trust calibration measurement methods, and Mehrotra et al. (2024) systematically identified the measurement gap in fostering appropriate trust. In the emerging intersection of metacognition and AI trust, Lee et al. (2025) established metacognitive sensitivity as a key mechanism for calibrating trust with AI, while Lee and Bosch (2025) showed that calibration discrepancy predicts subsequent metacognitive strategy use — directly linking the calibration concept to SRL processes. Steyvers et al. (2025) extended this line by examining metacognition and uncertainty communication in both humans and LLMs. These studies demonstrate that methods for measuring and intervening on trust calibration exist and have been productively applied — they have simply not been adopted in educational AI research. The gap documented in the present review is therefore not one of methodological impossibility but of disciplinary disconnection.</w:t>
      </w:r>
    </w:p>
    <w:p>
      <w:pPr>
        <w:spacing w:line="480" w:lineRule="auto"/>
        <w:ind w:firstLine="720"/>
      </w:pPr>
      <w:r>
        <w:rPr>
          <w:rFonts w:ascii="Times New Roman" w:hAnsi="Times New Roman"/>
          <w:sz w:val="24"/>
        </w:rPr>
        <w:t>This pattern — rigorous identification of trust-related problems without corresponding development of trust calibration solutions — characterizes the current state of the educational AI field as revealed by the coded corpus. It creates a clear theoretical and practical need for frameworks that bridge learner-level trust dynamics with system-level design decisions, connecting the micro-processes of trust formation with the macro-structures of oversight and scaffolding. The Two-Level Trust Calibration Framework proposed in the following section is designed to address precisely this integration gap.</w:t>
      </w:r>
    </w:p>
    <w:p>
      <w:pPr>
        <w:spacing w:before="240" w:after="240" w:line="480" w:lineRule="auto"/>
        <w:jc w:val="center"/>
      </w:pPr>
      <w:r>
        <w:rPr>
          <w:rFonts w:ascii="Times New Roman" w:hAnsi="Times New Roman"/>
          <w:b/>
          <w:sz w:val="24"/>
        </w:rPr>
        <w:t>5. The Two-Level Trust Calibration Framework</w:t>
      </w:r>
    </w:p>
    <w:p>
      <w:pPr>
        <w:spacing w:line="480" w:lineRule="auto"/>
        <w:ind w:firstLine="720"/>
      </w:pPr>
      <w:r>
        <w:rPr>
          <w:rFonts w:ascii="Times New Roman" w:hAnsi="Times New Roman"/>
          <w:sz w:val="24"/>
        </w:rPr>
        <w:t>This section presents the core contribution of this paper: a Two-Level Trust Calibration Framework integrating learner-level trust dynamics (Level 1) with system-level oversight design (Level 2) through an adaptive calibration cycle. The framework is evidence-informed and conceptual; its novelty lies not in the individual components, each grounded in established theory, but in their integration and application to trust calibration in educational AI.</w:t>
      </w:r>
    </w:p>
    <w:p>
      <w:pPr>
        <w:spacing w:before="240" w:after="240" w:line="480" w:lineRule="auto"/>
        <w:jc w:val="left"/>
      </w:pPr>
      <w:r>
        <w:rPr>
          <w:rFonts w:ascii="Times New Roman" w:hAnsi="Times New Roman"/>
          <w:b/>
          <w:sz w:val="24"/>
        </w:rPr>
        <w:t>5.1 From Fragmented Trust to Integrated Framework</w:t>
      </w:r>
    </w:p>
    <w:p>
      <w:pPr>
        <w:spacing w:line="480" w:lineRule="auto"/>
        <w:ind w:firstLine="720"/>
      </w:pPr>
      <w:r>
        <w:rPr>
          <w:rFonts w:ascii="Times New Roman" w:hAnsi="Times New Roman"/>
          <w:sz w:val="24"/>
        </w:rPr>
        <w:t>As Section 4 documented, existing research addresses trust dynamics and system design in isolation. Studies of learner trust do not prescribe how systems should respond to miscalibration; studies of AI scaffolding rarely incorporate learner trust state as a design variable. No existing framework connects these levels through a dynamic feedback mechanism.</w:t>
      </w:r>
    </w:p>
    <w:p>
      <w:pPr>
        <w:spacing w:line="480" w:lineRule="auto"/>
        <w:ind w:firstLine="720"/>
      </w:pPr>
      <w:r>
        <w:rPr>
          <w:rFonts w:ascii="Times New Roman" w:hAnsi="Times New Roman"/>
          <w:sz w:val="24"/>
        </w:rPr>
        <w:t>The Two-Level Trust Calibration Framework addresses this gap by drawing on four theoretical traditions: trust-in-automation theory (Lee &amp; See, 2004; Hoff &amp; Bashir, 2015), which provides the distinction between trust level and trust calibration; scaffolding theory (Wood et al., 1976), which supplies the pedagogical logic of contingent support and fading; self-regulated learning theory (Zimmerman, 2000; Winne &amp; Hadwin, 1998), which structures the calibration cycle; and adjacent field evidence on desirable difficulties (Bjork &amp; Bjork, 2011), productive failure (Kapur, 2008, 2016), and trust repair (de Visser et al., 2020), which provides specific calibration mechanisms with strong empirical grounding awaiting systematic application to educational AI. The framework is integrative: system-level design shapes the conditions under which learner-level calibration operates, and learner-level signals continuously inform system-level adjustments.</w:t>
      </w:r>
    </w:p>
    <w:p>
      <w:pPr>
        <w:spacing w:before="240" w:after="240" w:line="480" w:lineRule="auto"/>
        <w:jc w:val="left"/>
      </w:pPr>
      <w:r>
        <w:rPr>
          <w:rFonts w:ascii="Times New Roman" w:hAnsi="Times New Roman"/>
          <w:b/>
          <w:sz w:val="24"/>
        </w:rPr>
        <w:t>5.2 Level 1 --- Learner Trust Dynamics (Micro)</w:t>
      </w:r>
    </w:p>
    <w:p>
      <w:pPr>
        <w:spacing w:line="480" w:lineRule="auto"/>
        <w:ind w:firstLine="720"/>
      </w:pPr>
      <w:r>
        <w:rPr>
          <w:rFonts w:ascii="Times New Roman" w:hAnsi="Times New Roman"/>
          <w:sz w:val="24"/>
        </w:rPr>
        <w:t>Level 1 models the cognitive and metacognitive processes through which learners form and revise trust judgments during AI interaction. Its structure adapts Wang et al.'s (2025) integrated model with a critical extension: explicit incorporation of metacognitive processes as mediators of trust calibration.</w:t>
      </w:r>
    </w:p>
    <w:p>
      <w:pPr>
        <w:spacing w:line="480" w:lineRule="auto"/>
        <w:ind w:firstLine="720"/>
      </w:pPr>
      <w:r>
        <w:rPr>
          <w:rFonts w:ascii="Times New Roman" w:hAnsi="Times New Roman"/>
          <w:sz w:val="24"/>
        </w:rPr>
        <w:t>Trust antecedents. AI system characteristics — transparency, observed accuracy, interface quality, behavioral consistency — serve as informational inputs from which learners construct mental models of AI reliability that may be accurate or distorted depending on the learner's evaluative capacity and the information the system provides.</w:t>
      </w:r>
    </w:p>
    <w:p>
      <w:pPr>
        <w:spacing w:line="480" w:lineRule="auto"/>
        <w:ind w:firstLine="720"/>
      </w:pPr>
      <w:r>
        <w:rPr>
          <w:rFonts w:ascii="Times New Roman" w:hAnsi="Times New Roman"/>
          <w:sz w:val="24"/>
        </w:rPr>
        <w:t>Trust formation and metacognition. Trust operates as a dynamic judgment interacting with metacognitive processes across three layers (Hoff &amp; Bashir, 2015): dispositional trust (stable individual differences in technology trust propensity), situational trust (shaped by task difficulty, stakes, and immediate AI behavior), and learned trust (accumulated through direct experience and subject to updating). The learner's capacity for self-monitoring and strategic regulation (Zimmerman, 2000) determines whether trust judgments undergo reflective scrutiny or are accepted unreflectively — the distinction separating calibrated trust from the uncritical reliance documented by Bastani et al. (2025).</w:t>
      </w:r>
    </w:p>
    <w:p>
      <w:pPr>
        <w:spacing w:line="480" w:lineRule="auto"/>
        <w:ind w:firstLine="720"/>
      </w:pPr>
      <w:r>
        <w:rPr>
          <w:rFonts w:ascii="Times New Roman" w:hAnsi="Times New Roman"/>
          <w:sz w:val="24"/>
        </w:rPr>
        <w:t>Internal calibration mechanisms. Metacognitive monitoring enables learners to recognize discrepancies between their understanding and AI outputs. Critical evaluation skills support systematic assessment of output quality. AI literacy — knowledge of how AI systems function, their capabilities, and characteristic failure modes (Long &amp; Magerko, 2020) — provides the foundation for informed trust judgments. Self-directed learning dispositions influence whether learners actively verify AI-provided information or passively consume it.</w:t>
      </w:r>
    </w:p>
    <w:p>
      <w:pPr>
        <w:spacing w:line="480" w:lineRule="auto"/>
        <w:ind w:firstLine="720"/>
      </w:pPr>
      <w:r>
        <w:rPr>
          <w:rFonts w:ascii="Times New Roman" w:hAnsi="Times New Roman"/>
          <w:sz w:val="24"/>
        </w:rPr>
        <w:t>Trust manifestation. Behavioral output takes two forms: reliance (accepting AI output) and resistance (rejecting or modifying it). Neither is inherently appropriate; value depends on calibration to actual AI reliability. Excessive reliance on unreliable output constitutes overtrust — the condition in Bastani et al. (2025) where unassisted performance deteriorated as students bypassed effortful processing. Excessive resistance to reliable output constitutes undertrust, resulting in missed learning opportunities (Parasuraman &amp; Riley, 1997).</w:t>
      </w:r>
    </w:p>
    <w:p>
      <w:pPr>
        <w:spacing w:line="480" w:lineRule="auto"/>
        <w:ind w:firstLine="720"/>
      </w:pPr>
      <w:r>
        <w:rPr>
          <w:rFonts w:ascii="Times New Roman" w:hAnsi="Times New Roman"/>
          <w:sz w:val="24"/>
        </w:rPr>
        <w:t>Learning outcomes. Overtrust degrades learning through cognitive offloading (Risko &amp; Gilbert, 2016), reducing effortful processing necessary for durable encoding. Undertrust degrades learning through opportunity cost. Level 1 alone is descriptive; it models what happens within the learner but does not prescribe system intervention, motivating Level 2.</w:t>
      </w:r>
    </w:p>
    <w:p>
      <w:pPr>
        <w:spacing w:before="240" w:after="240" w:line="480" w:lineRule="auto"/>
        <w:jc w:val="left"/>
      </w:pPr>
      <w:r>
        <w:rPr>
          <w:rFonts w:ascii="Times New Roman" w:hAnsi="Times New Roman"/>
          <w:b/>
          <w:sz w:val="24"/>
        </w:rPr>
        <w:t>5.3 Level 2 --- System-Mediated Trust Calibration (Macro)</w:t>
      </w:r>
    </w:p>
    <w:p>
      <w:pPr>
        <w:spacing w:line="480" w:lineRule="auto"/>
        <w:ind w:firstLine="720"/>
      </w:pPr>
      <w:r>
        <w:rPr>
          <w:rFonts w:ascii="Times New Roman" w:hAnsi="Times New Roman"/>
          <w:sz w:val="24"/>
        </w:rPr>
        <w:t>Level 2 specifies six Trust Calibration Scaffolds targeting specific dimensions of trust miscalibration. The term "scaffold" is deliberate: these interventions are contingent, fading, and responsibility-transferring — the defining properties of pedagogical scaffolding (Wood et al., 1976).</w:t>
      </w:r>
    </w:p>
    <w:p>
      <w:pPr>
        <w:spacing w:line="480" w:lineRule="auto"/>
        <w:ind w:firstLine="720"/>
      </w:pPr>
      <w:r>
        <w:rPr>
          <w:rFonts w:ascii="Times New Roman" w:hAnsi="Times New Roman"/>
          <w:sz w:val="24"/>
        </w:rPr>
        <w:t>Scaffold 1: Metacognitive Prompts. System-generated prompts requiring learners to articulate or evaluate their reasoning before, during, or after AI interaction (Schraw &amp; Dennison, 1994; Bannert et al., 2009). Targets overtrust by activating self-monitoring processes that may remain dormant during fluent AI interaction. Guo et al.'s (2022) meta-analysis of metacognitive scaffolding reported a moderate-to-strong effect (g = 0.50) on self-regulated learning outcomes, providing evidence-informed support for this mechanism.</w:t>
      </w:r>
    </w:p>
    <w:p>
      <w:pPr>
        <w:spacing w:line="480" w:lineRule="auto"/>
        <w:ind w:firstLine="720"/>
      </w:pPr>
      <w:r>
        <w:rPr>
          <w:rFonts w:ascii="Times New Roman" w:hAnsi="Times New Roman"/>
          <w:sz w:val="24"/>
        </w:rPr>
        <w:t>Scaffold 2: Desirable Difficulties. Deliberate challenges that impede immediate performance but enhance long-term learning and trust calibration (Bjork &amp; Bjork, 2011) — including requiring initial solution attempts before AI access and introducing response delays that prevent reflexive reliance. Restores effortful cognitive engagement that unconstrained AI access can eliminate.</w:t>
      </w:r>
    </w:p>
    <w:p>
      <w:pPr>
        <w:spacing w:line="480" w:lineRule="auto"/>
        <w:ind w:firstLine="720"/>
      </w:pPr>
      <w:r>
        <w:rPr>
          <w:rFonts w:ascii="Times New Roman" w:hAnsi="Times New Roman"/>
          <w:sz w:val="24"/>
        </w:rPr>
        <w:t>Scaffold 3: Productive Failure Points. Learning sequences structured so learners first attempt problems without AI, experience knowledge boundaries, then receive AI support with explicit guidance on how the AI's contribution extends their attempts (Kapur, 2008, 2016). Evidence from mathematics education indicates substantial advantages over conventional instruction, and the mechanism directly addresses both overtrust (building awareness of one's capabilities) and undertrust (demonstrating where AI adds genuine value).</w:t>
      </w:r>
    </w:p>
    <w:p>
      <w:pPr>
        <w:spacing w:line="480" w:lineRule="auto"/>
        <w:ind w:firstLine="720"/>
      </w:pPr>
      <w:r>
        <w:rPr>
          <w:rFonts w:ascii="Times New Roman" w:hAnsi="Times New Roman"/>
          <w:sz w:val="24"/>
        </w:rPr>
        <w:t>Scaffold 4: AI Uncertainty Transparency. Explicit communication of AI confidence levels, limitations, and domain boundaries, enabling informed trust judgments calibrated to system reliability rather than global impressions of AI competence (Lee &amp; See, 2004). Implementation includes confidence visualizations and domain limitation disclosures. The goal is appropriately differentiated trust, not indiscriminate trust reduction.</w:t>
      </w:r>
    </w:p>
    <w:p>
      <w:pPr>
        <w:spacing w:line="480" w:lineRule="auto"/>
        <w:ind w:firstLine="720"/>
      </w:pPr>
      <w:r>
        <w:rPr>
          <w:rFonts w:ascii="Times New Roman" w:hAnsi="Times New Roman"/>
          <w:sz w:val="24"/>
        </w:rPr>
        <w:t>Scaffold 5: Socratic Dialogue. AI-initiated questioning that probes learner understanding rather than providing direct answers (Chi et al., 2001). Shifts the interaction mode from answer-giving to thinking-prompting, disrupting cognitive offloading while maintaining productive engagement with AI as an intellectual partner.</w:t>
      </w:r>
    </w:p>
    <w:p>
      <w:pPr>
        <w:spacing w:line="480" w:lineRule="auto"/>
        <w:ind w:firstLine="720"/>
      </w:pPr>
      <w:r>
        <w:rPr>
          <w:rFonts w:ascii="Times New Roman" w:hAnsi="Times New Roman"/>
          <w:sz w:val="24"/>
        </w:rPr>
        <w:t>Scaffold 6: Progressive Autonomy Release. Gradual reduction of scaffold intensity as evidence of improved calibration accumulates (Wood et al., 1976; Pea, 2004). Learners demonstrating calibrated trust receive less prompting, fewer imposed difficulties, and greater autonomy. Without fading, scaffolding risks creating dependence on external support rather than developing internal calibration capacity.</w:t>
      </w:r>
    </w:p>
    <w:p>
      <w:pPr>
        <w:spacing w:line="480" w:lineRule="auto"/>
        <w:ind w:firstLine="720"/>
      </w:pPr>
      <w:r>
        <w:rPr>
          <w:rFonts w:ascii="Times New Roman" w:hAnsi="Times New Roman"/>
          <w:sz w:val="24"/>
        </w:rPr>
        <w:t>Two qualifications apply. First, while adjacent field evidence substantially grounds these scaffolds — including de Visser et al.'s (2020) demonstration that calibration interventions can restore appropriate trust following automation failures — direct empirical evidence for these mechanisms deployed specifically for trust calibration in educational AI is sparse. The framework is evidence-informed: its components draw on established theory from related fields, but the integrated application to educational AI trust calibration has not been empirically tested. This positioning as an evidence-informed conceptual framework is consistent with the legitimate purposes of critical reviews (Grant &amp; Booth, 2009; Peters et al., 2020). Second, these six scaffolds are not exhaustive; they represent the mechanisms with the strongest current theoretical grounding.</w:t>
      </w:r>
    </w:p>
    <w:p>
      <w:pPr>
        <w:spacing w:before="240" w:after="240" w:line="480" w:lineRule="auto"/>
        <w:jc w:val="left"/>
      </w:pPr>
      <w:r>
        <w:rPr>
          <w:rFonts w:ascii="Times New Roman" w:hAnsi="Times New Roman"/>
          <w:b/>
          <w:sz w:val="24"/>
        </w:rPr>
        <w:t>5.4 The Adaptive Calibration Cycle</w:t>
      </w:r>
    </w:p>
    <w:p>
      <w:pPr>
        <w:spacing w:line="480" w:lineRule="auto"/>
        <w:ind w:firstLine="720"/>
      </w:pPr>
      <w:r>
        <w:rPr>
          <w:rFonts w:ascii="Times New Roman" w:hAnsi="Times New Roman"/>
          <w:sz w:val="24"/>
        </w:rPr>
        <w:t>The Adaptive Calibration Cycle connects Level 1's descriptive model with Level 2's prescriptive design through continuous dynamic feedback, aligned with the cyclical structure of self-regulated learning theory (Zimmerman, 2000).</w:t>
      </w:r>
    </w:p>
    <w:p>
      <w:pPr>
        <w:spacing w:line="480" w:lineRule="auto"/>
        <w:ind w:firstLine="720"/>
      </w:pPr>
      <w:r>
        <w:rPr>
          <w:rFonts w:ascii="Times New Roman" w:hAnsi="Times New Roman"/>
          <w:sz w:val="24"/>
        </w:rPr>
        <w:t>Stage 1 — PERFORMANCE. The learner interacts with the AI system, generating observable behavioral data: output acceptance/rejection decisions, modifications to AI suggestions, time invested in verification, information-seeking actions, and usage patterns across task types. Trust is indexed through behavioral manifestations rather than self-report (Lee &amp; See, 2004).</w:t>
      </w:r>
    </w:p>
    <w:p>
      <w:pPr>
        <w:spacing w:line="480" w:lineRule="auto"/>
        <w:ind w:firstLine="720"/>
      </w:pPr>
      <w:r>
        <w:rPr>
          <w:rFonts w:ascii="Times New Roman" w:hAnsi="Times New Roman"/>
          <w:sz w:val="24"/>
        </w:rPr>
        <w:t>Stage 2 — MONITORING. The system detects patterns signaling the learner's trust state — acceptance ratios, modification rates, examination time, verification frequency, and consistency across reliability levels. System monitoring supplements the learner's own metacognitive monitoring; the framework progressively transfers monitoring responsibility to the learner as calibration improves.</w:t>
      </w:r>
    </w:p>
    <w:p>
      <w:pPr>
        <w:spacing w:line="480" w:lineRule="auto"/>
        <w:ind w:firstLine="720"/>
      </w:pPr>
      <w:r>
        <w:rPr>
          <w:rFonts w:ascii="Times New Roman" w:hAnsi="Times New Roman"/>
          <w:sz w:val="24"/>
        </w:rPr>
        <w:t>Stage 3 — EVALUATION. The system evaluates the learner's trust state as overtrust, undertrust, or calibrated by comparing trust-indexed behaviors against the AI's actual reliability profile. A learner who consistently accepts AI outputs is not necessarily overtrusting; if the AI is reliable for those tasks, the behavior may reflect calibrated efficiency. The same behavior directed at unreliable outputs constitutes overtrust. The Trust-Reliability Matrix below provides the evaluative framework.</w:t>
      </w:r>
    </w:p>
    <w:p>
      <w:pPr>
        <w:spacing w:line="480" w:lineRule="auto"/>
        <w:ind w:firstLine="720"/>
      </w:pPr>
      <w:r>
        <w:rPr>
          <w:rFonts w:ascii="Times New Roman" w:hAnsi="Times New Roman"/>
          <w:sz w:val="24"/>
        </w:rPr>
        <w:t>Stage 4 — ADAPTATION. Scaffold intensity is adjusted: overtrust triggers intensification (desirable difficulties, metacognitive prompts, Socratic dialogue); undertrust triggers transparency scaffolds (confidence information, guided comparison tasks); calibrated trust triggers progressive autonomy release with continued monitoring for calibration drift.</w:t>
      </w:r>
    </w:p>
    <w:p>
      <w:pPr>
        <w:spacing w:line="480" w:lineRule="auto"/>
        <w:ind w:firstLine="720"/>
      </w:pPr>
      <w:r>
        <w:rPr>
          <w:rFonts w:ascii="Times New Roman" w:hAnsi="Times New Roman"/>
          <w:sz w:val="24"/>
        </w:rPr>
        <w:t>The Dynamic Scaffolding Principle formalizes this bidirectional responsiveness: oversight decreases as calibration improves through fading and expanded autonomy; oversight increases as calibration deteriorates through scaffold intensification. This distinguishes the framework from static designs that apply uniform constraints regardless of learner state.</w:t>
      </w:r>
    </w:p>
    <w:p>
      <w:pPr>
        <w:spacing w:line="480" w:lineRule="auto"/>
        <w:ind w:firstLine="720"/>
      </w:pPr>
      <w:r>
        <w:rPr>
          <w:rFonts w:ascii="Times New Roman" w:hAnsi="Times New Roman"/>
          <w:sz w:val="24"/>
        </w:rPr>
        <w:t>Quadrant I: High Trust + High Reliability = Calibrated Appropriate Use. Trust is warranted. Progressive autonomy release is appropriate; continued heavy scaffolding would be counterproductive.</w:t>
      </w:r>
    </w:p>
    <w:p>
      <w:pPr>
        <w:spacing w:line="480" w:lineRule="auto"/>
        <w:ind w:firstLine="720"/>
      </w:pPr>
      <w:r>
        <w:rPr>
          <w:rFonts w:ascii="Times New Roman" w:hAnsi="Times New Roman"/>
          <w:sz w:val="24"/>
        </w:rPr>
        <w:t>Quadrant II: High Trust + Low Reliability = Overtrust ("Bastani Trap"). The most dangerous miscalibration. The learner trusts unreliable AI outputs, resulting in cognitive offloading and skill atrophy — precisely the condition documented by Bastani et al. (2025). Scaffold response: intensification through desirable difficulties, productive failure, and metacognitive prompts.</w:t>
      </w:r>
    </w:p>
    <w:p>
      <w:pPr>
        <w:spacing w:line="480" w:lineRule="auto"/>
        <w:ind w:firstLine="720"/>
      </w:pPr>
      <w:r>
        <w:rPr>
          <w:rFonts w:ascii="Times New Roman" w:hAnsi="Times New Roman"/>
          <w:sz w:val="24"/>
        </w:rPr>
        <w:t>Quadrant III: Low Trust + High Reliability = Undertrust / Missed Benefit. Skepticism that is virtuous in Quadrant II is maladaptive here. Scaffold response: transparency mechanisms making reliability evidence visible, guided comparison tasks, and productive failure experiences demonstrating where AI assistance adds value.</w:t>
      </w:r>
    </w:p>
    <w:p>
      <w:pPr>
        <w:spacing w:line="480" w:lineRule="auto"/>
        <w:ind w:firstLine="720"/>
      </w:pPr>
      <w:r>
        <w:rPr>
          <w:rFonts w:ascii="Times New Roman" w:hAnsi="Times New Roman"/>
          <w:sz w:val="24"/>
        </w:rPr>
        <w:t>Quadrant IV: Low Trust + Low Reliability = Calibrated Avoidance. Low trust accurately reflects low reliability. Scaffold response: reinforce verification habits and AI literacy, monitor for drift toward overtrust as AI systems improve.</w:t>
      </w:r>
    </w:p>
    <w:p>
      <w:pPr>
        <w:spacing w:line="480" w:lineRule="auto"/>
        <w:ind w:firstLine="720"/>
      </w:pPr>
      <w:r>
        <w:rPr>
          <w:rFonts w:ascii="Times New Roman" w:hAnsi="Times New Roman"/>
          <w:sz w:val="24"/>
        </w:rPr>
        <w:t>The Initialization Principle. A potential circularity concern — the system must know calibration state to select scaffolds, but calibration state is shaped by scaffolding — is addressed through explicit initialization: when the learner's state is unknown, the system defaults to high oversight at maximum scaffold intensity. As behavioral data accumulates, the system refines its model and adjusts accordingly. This mirrors the foundational scaffolding principle of maximum initial support with progressive fading (Wood et al., 1976), reframing apparent circularity as adaptive operation under uncertainty.</w:t>
      </w:r>
    </w:p>
    <w:p>
      <w:pPr>
        <w:spacing w:before="240" w:after="240" w:line="480" w:lineRule="auto"/>
        <w:jc w:val="left"/>
      </w:pPr>
      <w:r>
        <w:rPr>
          <w:rFonts w:ascii="Times New Roman" w:hAnsi="Times New Roman"/>
          <w:b/>
          <w:sz w:val="24"/>
        </w:rPr>
        <w:t>5.5 Evidence Mapping</w:t>
      </w:r>
    </w:p>
    <w:p>
      <w:pPr>
        <w:spacing w:line="480" w:lineRule="auto"/>
        <w:ind w:firstLine="720"/>
      </w:pPr>
      <w:r>
        <w:rPr>
          <w:rFonts w:ascii="Times New Roman" w:hAnsi="Times New Roman"/>
          <w:sz w:val="24"/>
        </w:rPr>
        <w:t>Table 2 maps each framework component to its evidence sources and strength assessment, ensuring transparency about the evidence base.</w:t>
      </w:r>
    </w:p>
    <w:p>
      <w:pPr>
        <w:spacing w:line="480" w:lineRule="auto"/>
        <w:ind w:firstLine="720"/>
      </w:pPr>
      <w:r>
        <w:rPr>
          <w:rFonts w:ascii="Times New Roman" w:hAnsi="Times New Roman"/>
          <w:sz w:val="24"/>
        </w:rPr>
        <w:t>Table 2. Evidence mapping for Two-Level Trust Calibration Framework components.</w:t>
      </w:r>
    </w:p>
    <w:tbl>
      <w:tblPr>
        <w:tblW w:type="auto" w:w="0"/>
        <w:jc w:val="center"/>
        <w:tblLook w:firstColumn="1" w:firstRow="1" w:lastColumn="0" w:lastRow="0" w:noHBand="0" w:noVBand="1" w:val="04A0"/>
        <w:tblBorders>
          <w:top w:val="single" w:sz="12" w:color="000000"/>
          <w:left w:val="none" w:color="000000"/>
          <w:bottom w:val="single" w:sz="12" w:color="000000"/>
          <w:right w:val="none" w:color="000000"/>
          <w:insideH w:val="single" w:sz="4" w:color="000000"/>
          <w:insideV w:val="none" w:color="000000"/>
        </w:tblBorders>
      </w:tblPr>
      <w:tblGrid>
        <w:gridCol w:w="2340"/>
        <w:gridCol w:w="2340"/>
        <w:gridCol w:w="2340"/>
        <w:gridCol w:w="2340"/>
      </w:tblGrid>
      <w:tr>
        <w:tc>
          <w:tcPr>
            <w:tcW w:type="dxa" w:w="2340"/>
          </w:tcPr>
          <w:p>
            <w:pPr>
              <w:spacing w:line="276" w:lineRule="auto" w:before="40" w:after="40"/>
            </w:pPr>
            <w:r>
              <w:rPr>
                <w:rFonts w:ascii="Times New Roman" w:hAnsi="Times New Roman"/>
                <w:b/>
                <w:sz w:val="20"/>
              </w:rPr>
              <w:t>Framework Component</w:t>
            </w:r>
          </w:p>
        </w:tc>
        <w:tc>
          <w:tcPr>
            <w:tcW w:type="dxa" w:w="2340"/>
          </w:tcPr>
          <w:p>
            <w:pPr>
              <w:spacing w:line="276" w:lineRule="auto" w:before="40" w:after="40"/>
            </w:pPr>
            <w:r>
              <w:rPr>
                <w:rFonts w:ascii="Times New Roman" w:hAnsi="Times New Roman"/>
                <w:b/>
                <w:sz w:val="20"/>
              </w:rPr>
              <w:t>Primary Evidence Source</w:t>
            </w:r>
          </w:p>
        </w:tc>
        <w:tc>
          <w:tcPr>
            <w:tcW w:type="dxa" w:w="2340"/>
          </w:tcPr>
          <w:p>
            <w:pPr>
              <w:spacing w:line="276" w:lineRule="auto" w:before="40" w:after="40"/>
            </w:pPr>
            <w:r>
              <w:rPr>
                <w:rFonts w:ascii="Times New Roman" w:hAnsi="Times New Roman"/>
                <w:b/>
                <w:sz w:val="20"/>
              </w:rPr>
              <w:t>Evidence Type</w:t>
            </w:r>
          </w:p>
        </w:tc>
        <w:tc>
          <w:tcPr>
            <w:tcW w:type="dxa" w:w="2340"/>
          </w:tcPr>
          <w:p>
            <w:pPr>
              <w:spacing w:line="276" w:lineRule="auto" w:before="40" w:after="40"/>
            </w:pPr>
            <w:r>
              <w:rPr>
                <w:rFonts w:ascii="Times New Roman" w:hAnsi="Times New Roman"/>
                <w:b/>
                <w:sz w:val="20"/>
              </w:rPr>
              <w:t>Strength Assessment</w:t>
            </w:r>
          </w:p>
        </w:tc>
      </w:tr>
      <w:tr>
        <w:tc>
          <w:tcPr>
            <w:tcW w:type="dxa" w:w="2340"/>
          </w:tcPr>
          <w:p>
            <w:pPr>
              <w:spacing w:line="276" w:lineRule="auto" w:before="40" w:after="40"/>
            </w:pPr>
            <w:r>
              <w:rPr>
                <w:rFonts w:ascii="Times New Roman" w:hAnsi="Times New Roman"/>
                <w:sz w:val="20"/>
              </w:rPr>
              <w:t>---</w:t>
            </w:r>
          </w:p>
        </w:tc>
        <w:tc>
          <w:tcPr>
            <w:tcW w:type="dxa" w:w="2340"/>
          </w:tcPr>
          <w:p>
            <w:pPr>
              <w:spacing w:line="276" w:lineRule="auto" w:before="40" w:after="40"/>
            </w:pPr>
            <w:r>
              <w:rPr>
                <w:rFonts w:ascii="Times New Roman" w:hAnsi="Times New Roman"/>
                <w:sz w:val="20"/>
              </w:rPr>
              <w:t>---</w:t>
            </w:r>
          </w:p>
        </w:tc>
        <w:tc>
          <w:tcPr>
            <w:tcW w:type="dxa" w:w="2340"/>
          </w:tcPr>
          <w:p>
            <w:pPr>
              <w:spacing w:line="276" w:lineRule="auto" w:before="40" w:after="40"/>
            </w:pPr>
            <w:r>
              <w:rPr>
                <w:rFonts w:ascii="Times New Roman" w:hAnsi="Times New Roman"/>
                <w:sz w:val="20"/>
              </w:rPr>
              <w:t>---</w:t>
            </w:r>
          </w:p>
        </w:tc>
        <w:tc>
          <w:tcPr>
            <w:tcW w:type="dxa" w:w="2340"/>
          </w:tcPr>
          <w:p>
            <w:pPr>
              <w:spacing w:line="276" w:lineRule="auto" w:before="40" w:after="40"/>
            </w:pPr>
            <w:r>
              <w:rPr>
                <w:rFonts w:ascii="Times New Roman" w:hAnsi="Times New Roman"/>
                <w:sz w:val="20"/>
              </w:rPr>
              <w:t>---</w:t>
            </w:r>
          </w:p>
        </w:tc>
      </w:tr>
      <w:tr>
        <w:tc>
          <w:tcPr>
            <w:tcW w:type="dxa" w:w="2340"/>
          </w:tcPr>
          <w:p>
            <w:pPr>
              <w:spacing w:line="276" w:lineRule="auto" w:before="40" w:after="40"/>
            </w:pPr>
            <w:r>
              <w:rPr>
                <w:rFonts w:ascii="Times New Roman" w:hAnsi="Times New Roman"/>
                <w:sz w:val="20"/>
              </w:rPr>
              <w:t>Metacognitive Prompts</w:t>
            </w:r>
          </w:p>
        </w:tc>
        <w:tc>
          <w:tcPr>
            <w:tcW w:type="dxa" w:w="2340"/>
          </w:tcPr>
          <w:p>
            <w:pPr>
              <w:spacing w:line="276" w:lineRule="auto" w:before="40" w:after="40"/>
            </w:pPr>
            <w:r>
              <w:rPr>
                <w:rFonts w:ascii="Times New Roman" w:hAnsi="Times New Roman"/>
                <w:sz w:val="20"/>
              </w:rPr>
              <w:t>Guo et al. (2022); Bannert et al. (2009)</w:t>
            </w:r>
          </w:p>
        </w:tc>
        <w:tc>
          <w:tcPr>
            <w:tcW w:type="dxa" w:w="2340"/>
          </w:tcPr>
          <w:p>
            <w:pPr>
              <w:spacing w:line="276" w:lineRule="auto" w:before="40" w:after="40"/>
            </w:pPr>
            <w:r>
              <w:rPr>
                <w:rFonts w:ascii="Times New Roman" w:hAnsi="Times New Roman"/>
                <w:sz w:val="20"/>
              </w:rPr>
              <w:t>Direct (SRL, technology-enhanced learning)</w:t>
            </w:r>
          </w:p>
        </w:tc>
        <w:tc>
          <w:tcPr>
            <w:tcW w:type="dxa" w:w="2340"/>
          </w:tcPr>
          <w:p>
            <w:pPr>
              <w:spacing w:line="276" w:lineRule="auto" w:before="40" w:after="40"/>
            </w:pPr>
            <w:r>
              <w:rPr>
                <w:rFonts w:ascii="Times New Roman" w:hAnsi="Times New Roman"/>
                <w:sz w:val="20"/>
              </w:rPr>
              <w:t>Strong (*g* = 0.50 for SRL outcomes)</w:t>
            </w:r>
          </w:p>
        </w:tc>
      </w:tr>
      <w:tr>
        <w:tc>
          <w:tcPr>
            <w:tcW w:type="dxa" w:w="2340"/>
          </w:tcPr>
          <w:p>
            <w:pPr>
              <w:spacing w:line="276" w:lineRule="auto" w:before="40" w:after="40"/>
            </w:pPr>
            <w:r>
              <w:rPr>
                <w:rFonts w:ascii="Times New Roman" w:hAnsi="Times New Roman"/>
                <w:sz w:val="20"/>
              </w:rPr>
              <w:t>Desirable Difficulties</w:t>
            </w:r>
          </w:p>
        </w:tc>
        <w:tc>
          <w:tcPr>
            <w:tcW w:type="dxa" w:w="2340"/>
          </w:tcPr>
          <w:p>
            <w:pPr>
              <w:spacing w:line="276" w:lineRule="auto" w:before="40" w:after="40"/>
            </w:pPr>
            <w:r>
              <w:rPr>
                <w:rFonts w:ascii="Times New Roman" w:hAnsi="Times New Roman"/>
                <w:sz w:val="20"/>
              </w:rPr>
              <w:t>Bjork &amp; Bjork (2011)</w:t>
            </w:r>
          </w:p>
        </w:tc>
        <w:tc>
          <w:tcPr>
            <w:tcW w:type="dxa" w:w="2340"/>
          </w:tcPr>
          <w:p>
            <w:pPr>
              <w:spacing w:line="276" w:lineRule="auto" w:before="40" w:after="40"/>
            </w:pPr>
            <w:r>
              <w:rPr>
                <w:rFonts w:ascii="Times New Roman" w:hAnsi="Times New Roman"/>
                <w:sz w:val="20"/>
              </w:rPr>
              <w:t>Adjacent (cognitive psychology)</w:t>
            </w:r>
          </w:p>
        </w:tc>
        <w:tc>
          <w:tcPr>
            <w:tcW w:type="dxa" w:w="2340"/>
          </w:tcPr>
          <w:p>
            <w:pPr>
              <w:spacing w:line="276" w:lineRule="auto" w:before="40" w:after="40"/>
            </w:pPr>
            <w:r>
              <w:rPr>
                <w:rFonts w:ascii="Times New Roman" w:hAnsi="Times New Roman"/>
                <w:sz w:val="20"/>
              </w:rPr>
              <w:t>Strong (robust across learning domains)</w:t>
            </w:r>
          </w:p>
        </w:tc>
      </w:tr>
      <w:tr>
        <w:tc>
          <w:tcPr>
            <w:tcW w:type="dxa" w:w="2340"/>
          </w:tcPr>
          <w:p>
            <w:pPr>
              <w:spacing w:line="276" w:lineRule="auto" w:before="40" w:after="40"/>
            </w:pPr>
            <w:r>
              <w:rPr>
                <w:rFonts w:ascii="Times New Roman" w:hAnsi="Times New Roman"/>
                <w:sz w:val="20"/>
              </w:rPr>
              <w:t>Productive Failure</w:t>
            </w:r>
          </w:p>
        </w:tc>
        <w:tc>
          <w:tcPr>
            <w:tcW w:type="dxa" w:w="2340"/>
          </w:tcPr>
          <w:p>
            <w:pPr>
              <w:spacing w:line="276" w:lineRule="auto" w:before="40" w:after="40"/>
            </w:pPr>
            <w:r>
              <w:rPr>
                <w:rFonts w:ascii="Times New Roman" w:hAnsi="Times New Roman"/>
                <w:sz w:val="20"/>
              </w:rPr>
              <w:t>Kapur (2008, 2016)</w:t>
            </w:r>
          </w:p>
        </w:tc>
        <w:tc>
          <w:tcPr>
            <w:tcW w:type="dxa" w:w="2340"/>
          </w:tcPr>
          <w:p>
            <w:pPr>
              <w:spacing w:line="276" w:lineRule="auto" w:before="40" w:after="40"/>
            </w:pPr>
            <w:r>
              <w:rPr>
                <w:rFonts w:ascii="Times New Roman" w:hAnsi="Times New Roman"/>
                <w:sz w:val="20"/>
              </w:rPr>
              <w:t>Adjacent (mathematics education)</w:t>
            </w:r>
          </w:p>
        </w:tc>
        <w:tc>
          <w:tcPr>
            <w:tcW w:type="dxa" w:w="2340"/>
          </w:tcPr>
          <w:p>
            <w:pPr>
              <w:spacing w:line="276" w:lineRule="auto" w:before="40" w:after="40"/>
            </w:pPr>
            <w:r>
              <w:rPr>
                <w:rFonts w:ascii="Times New Roman" w:hAnsi="Times New Roman"/>
                <w:sz w:val="20"/>
              </w:rPr>
              <w:t>Strong (substantial advantages over conventional instruction)</w:t>
            </w:r>
          </w:p>
        </w:tc>
      </w:tr>
      <w:tr>
        <w:tc>
          <w:tcPr>
            <w:tcW w:type="dxa" w:w="2340"/>
          </w:tcPr>
          <w:p>
            <w:pPr>
              <w:spacing w:line="276" w:lineRule="auto" w:before="40" w:after="40"/>
            </w:pPr>
            <w:r>
              <w:rPr>
                <w:rFonts w:ascii="Times New Roman" w:hAnsi="Times New Roman"/>
                <w:sz w:val="20"/>
              </w:rPr>
              <w:t>AI Uncertainty Transparency</w:t>
            </w:r>
          </w:p>
        </w:tc>
        <w:tc>
          <w:tcPr>
            <w:tcW w:type="dxa" w:w="2340"/>
          </w:tcPr>
          <w:p>
            <w:pPr>
              <w:spacing w:line="276" w:lineRule="auto" w:before="40" w:after="40"/>
            </w:pPr>
            <w:r>
              <w:rPr>
                <w:rFonts w:ascii="Times New Roman" w:hAnsi="Times New Roman"/>
                <w:sz w:val="20"/>
              </w:rPr>
              <w:t>XAI literature; Lee &amp; See (2004)</w:t>
            </w:r>
          </w:p>
        </w:tc>
        <w:tc>
          <w:tcPr>
            <w:tcW w:type="dxa" w:w="2340"/>
          </w:tcPr>
          <w:p>
            <w:pPr>
              <w:spacing w:line="276" w:lineRule="auto" w:before="40" w:after="40"/>
            </w:pPr>
            <w:r>
              <w:rPr>
                <w:rFonts w:ascii="Times New Roman" w:hAnsi="Times New Roman"/>
                <w:sz w:val="20"/>
              </w:rPr>
              <w:t>Adjacent (HCI, human factors)</w:t>
            </w:r>
          </w:p>
        </w:tc>
        <w:tc>
          <w:tcPr>
            <w:tcW w:type="dxa" w:w="2340"/>
          </w:tcPr>
          <w:p>
            <w:pPr>
              <w:spacing w:line="276" w:lineRule="auto" w:before="40" w:after="40"/>
            </w:pPr>
            <w:r>
              <w:rPr>
                <w:rFonts w:ascii="Times New Roman" w:hAnsi="Times New Roman"/>
                <w:sz w:val="20"/>
              </w:rPr>
              <w:t>Moderate (demonstrated in automation, limited in educational AI)</w:t>
            </w:r>
          </w:p>
        </w:tc>
      </w:tr>
      <w:tr>
        <w:tc>
          <w:tcPr>
            <w:tcW w:type="dxa" w:w="2340"/>
          </w:tcPr>
          <w:p>
            <w:pPr>
              <w:spacing w:line="276" w:lineRule="auto" w:before="40" w:after="40"/>
            </w:pPr>
            <w:r>
              <w:rPr>
                <w:rFonts w:ascii="Times New Roman" w:hAnsi="Times New Roman"/>
                <w:sz w:val="20"/>
              </w:rPr>
              <w:t>Socratic Dialogue</w:t>
            </w:r>
          </w:p>
        </w:tc>
        <w:tc>
          <w:tcPr>
            <w:tcW w:type="dxa" w:w="2340"/>
          </w:tcPr>
          <w:p>
            <w:pPr>
              <w:spacing w:line="276" w:lineRule="auto" w:before="40" w:after="40"/>
            </w:pPr>
            <w:r>
              <w:rPr>
                <w:rFonts w:ascii="Times New Roman" w:hAnsi="Times New Roman"/>
                <w:sz w:val="20"/>
              </w:rPr>
              <w:t>Chi et al. (2001)</w:t>
            </w:r>
          </w:p>
        </w:tc>
        <w:tc>
          <w:tcPr>
            <w:tcW w:type="dxa" w:w="2340"/>
          </w:tcPr>
          <w:p>
            <w:pPr>
              <w:spacing w:line="276" w:lineRule="auto" w:before="40" w:after="40"/>
            </w:pPr>
            <w:r>
              <w:rPr>
                <w:rFonts w:ascii="Times New Roman" w:hAnsi="Times New Roman"/>
                <w:sz w:val="20"/>
              </w:rPr>
              <w:t>Adjacent (tutoring, dialogue-based learning)</w:t>
            </w:r>
          </w:p>
        </w:tc>
        <w:tc>
          <w:tcPr>
            <w:tcW w:type="dxa" w:w="2340"/>
          </w:tcPr>
          <w:p>
            <w:pPr>
              <w:spacing w:line="276" w:lineRule="auto" w:before="40" w:after="40"/>
            </w:pPr>
            <w:r>
              <w:rPr>
                <w:rFonts w:ascii="Times New Roman" w:hAnsi="Times New Roman"/>
                <w:sz w:val="20"/>
              </w:rPr>
              <w:t>Moderate (evidence for questioning over telling, limited in AI contexts)</w:t>
            </w:r>
          </w:p>
        </w:tc>
      </w:tr>
      <w:tr>
        <w:tc>
          <w:tcPr>
            <w:tcW w:type="dxa" w:w="2340"/>
          </w:tcPr>
          <w:p>
            <w:pPr>
              <w:spacing w:line="276" w:lineRule="auto" w:before="40" w:after="40"/>
            </w:pPr>
            <w:r>
              <w:rPr>
                <w:rFonts w:ascii="Times New Roman" w:hAnsi="Times New Roman"/>
                <w:sz w:val="20"/>
              </w:rPr>
              <w:t>Progressive Autonomy Release</w:t>
            </w:r>
          </w:p>
        </w:tc>
        <w:tc>
          <w:tcPr>
            <w:tcW w:type="dxa" w:w="2340"/>
          </w:tcPr>
          <w:p>
            <w:pPr>
              <w:spacing w:line="276" w:lineRule="auto" w:before="40" w:after="40"/>
            </w:pPr>
            <w:r>
              <w:rPr>
                <w:rFonts w:ascii="Times New Roman" w:hAnsi="Times New Roman"/>
                <w:sz w:val="20"/>
              </w:rPr>
              <w:t>Wood et al. (1976); Pea (2004)</w:t>
            </w:r>
          </w:p>
        </w:tc>
        <w:tc>
          <w:tcPr>
            <w:tcW w:type="dxa" w:w="2340"/>
          </w:tcPr>
          <w:p>
            <w:pPr>
              <w:spacing w:line="276" w:lineRule="auto" w:before="40" w:after="40"/>
            </w:pPr>
            <w:r>
              <w:rPr>
                <w:rFonts w:ascii="Times New Roman" w:hAnsi="Times New Roman"/>
                <w:sz w:val="20"/>
              </w:rPr>
              <w:t>Direct (scaffolding theory)</w:t>
            </w:r>
          </w:p>
        </w:tc>
        <w:tc>
          <w:tcPr>
            <w:tcW w:type="dxa" w:w="2340"/>
          </w:tcPr>
          <w:p>
            <w:pPr>
              <w:spacing w:line="276" w:lineRule="auto" w:before="40" w:after="40"/>
            </w:pPr>
            <w:r>
              <w:rPr>
                <w:rFonts w:ascii="Times New Roman" w:hAnsi="Times New Roman"/>
                <w:sz w:val="20"/>
              </w:rPr>
              <w:t>Strong (foundational principle; *d* = 0.82, Hattie, 2009)</w:t>
            </w:r>
          </w:p>
        </w:tc>
      </w:tr>
      <w:tr>
        <w:tc>
          <w:tcPr>
            <w:tcW w:type="dxa" w:w="2340"/>
          </w:tcPr>
          <w:p>
            <w:pPr>
              <w:spacing w:line="276" w:lineRule="auto" w:before="40" w:after="40"/>
            </w:pPr>
            <w:r>
              <w:rPr>
                <w:rFonts w:ascii="Times New Roman" w:hAnsi="Times New Roman"/>
                <w:sz w:val="20"/>
              </w:rPr>
              <w:t>Adaptive Calibration Cycle</w:t>
            </w:r>
          </w:p>
        </w:tc>
        <w:tc>
          <w:tcPr>
            <w:tcW w:type="dxa" w:w="2340"/>
          </w:tcPr>
          <w:p>
            <w:pPr>
              <w:spacing w:line="276" w:lineRule="auto" w:before="40" w:after="40"/>
            </w:pPr>
            <w:r>
              <w:rPr>
                <w:rFonts w:ascii="Times New Roman" w:hAnsi="Times New Roman"/>
                <w:sz w:val="20"/>
              </w:rPr>
              <w:t>Zimmerman (2000); Winne &amp; Hadwin (1998)</w:t>
            </w:r>
          </w:p>
        </w:tc>
        <w:tc>
          <w:tcPr>
            <w:tcW w:type="dxa" w:w="2340"/>
          </w:tcPr>
          <w:p>
            <w:pPr>
              <w:spacing w:line="276" w:lineRule="auto" w:before="40" w:after="40"/>
            </w:pPr>
            <w:r>
              <w:rPr>
                <w:rFonts w:ascii="Times New Roman" w:hAnsi="Times New Roman"/>
                <w:sz w:val="20"/>
              </w:rPr>
              <w:t>Structural analogy (SRL theory)</w:t>
            </w:r>
          </w:p>
        </w:tc>
        <w:tc>
          <w:tcPr>
            <w:tcW w:type="dxa" w:w="2340"/>
          </w:tcPr>
          <w:p>
            <w:pPr>
              <w:spacing w:line="276" w:lineRule="auto" w:before="40" w:after="40"/>
            </w:pPr>
            <w:r>
              <w:rPr>
                <w:rFonts w:ascii="Times New Roman" w:hAnsi="Times New Roman"/>
                <w:sz w:val="20"/>
              </w:rPr>
              <w:t>Moderate (SRL cycle established; system-level application is novel)</w:t>
            </w:r>
          </w:p>
        </w:tc>
      </w:tr>
      <w:tr>
        <w:tc>
          <w:tcPr>
            <w:tcW w:type="dxa" w:w="2340"/>
          </w:tcPr>
          <w:p>
            <w:pPr>
              <w:spacing w:line="276" w:lineRule="auto" w:before="40" w:after="40"/>
            </w:pPr>
            <w:r>
              <w:rPr>
                <w:rFonts w:ascii="Times New Roman" w:hAnsi="Times New Roman"/>
                <w:sz w:val="20"/>
              </w:rPr>
              <w:t>Trust Calibration in Educational AI</w:t>
            </w:r>
          </w:p>
        </w:tc>
        <w:tc>
          <w:tcPr>
            <w:tcW w:type="dxa" w:w="2340"/>
          </w:tcPr>
          <w:p>
            <w:pPr>
              <w:spacing w:line="276" w:lineRule="auto" w:before="40" w:after="40"/>
            </w:pPr>
            <w:r>
              <w:rPr>
                <w:rFonts w:ascii="Times New Roman" w:hAnsi="Times New Roman"/>
                <w:sz w:val="20"/>
              </w:rPr>
              <w:t>Sparse</w:t>
            </w:r>
          </w:p>
        </w:tc>
        <w:tc>
          <w:tcPr>
            <w:tcW w:type="dxa" w:w="2340"/>
          </w:tcPr>
          <w:p>
            <w:pPr>
              <w:spacing w:line="276" w:lineRule="auto" w:before="40" w:after="40"/>
            </w:pPr>
            <w:r>
              <w:rPr>
                <w:rFonts w:ascii="Times New Roman" w:hAnsi="Times New Roman"/>
                <w:sz w:val="20"/>
              </w:rPr>
              <w:t>Gap identified</w:t>
            </w:r>
          </w:p>
        </w:tc>
        <w:tc>
          <w:tcPr>
            <w:tcW w:type="dxa" w:w="2340"/>
          </w:tcPr>
          <w:p>
            <w:pPr>
              <w:spacing w:line="276" w:lineRule="auto" w:before="40" w:after="40"/>
            </w:pPr>
            <w:r>
              <w:rPr>
                <w:rFonts w:ascii="Times New Roman" w:hAnsi="Times New Roman"/>
                <w:sz w:val="20"/>
              </w:rPr>
              <w:t>Weak (primary gap motivating this framework)</w:t>
            </w:r>
          </w:p>
        </w:tc>
      </w:tr>
      <w:tr>
        <w:tc>
          <w:tcPr>
            <w:tcW w:type="dxa" w:w="2340"/>
          </w:tcPr>
          <w:p>
            <w:pPr>
              <w:spacing w:line="276" w:lineRule="auto" w:before="40" w:after="40"/>
            </w:pPr>
            <w:r>
              <w:rPr>
                <w:rFonts w:ascii="Times New Roman" w:hAnsi="Times New Roman"/>
                <w:sz w:val="20"/>
              </w:rPr>
              <w:t>Two-Level Integration</w:t>
            </w:r>
          </w:p>
        </w:tc>
        <w:tc>
          <w:tcPr>
            <w:tcW w:type="dxa" w:w="2340"/>
          </w:tcPr>
          <w:p>
            <w:pPr>
              <w:spacing w:line="276" w:lineRule="auto" w:before="40" w:after="40"/>
            </w:pPr>
            <w:r>
              <w:rPr>
                <w:rFonts w:ascii="Times New Roman" w:hAnsi="Times New Roman"/>
                <w:sz w:val="20"/>
              </w:rPr>
              <w:t>Novel contribution</w:t>
            </w:r>
          </w:p>
        </w:tc>
        <w:tc>
          <w:tcPr>
            <w:tcW w:type="dxa" w:w="2340"/>
          </w:tcPr>
          <w:p>
            <w:pPr>
              <w:spacing w:line="276" w:lineRule="auto" w:before="40" w:after="40"/>
            </w:pPr>
            <w:r>
              <w:rPr>
                <w:rFonts w:ascii="Times New Roman" w:hAnsi="Times New Roman"/>
                <w:sz w:val="20"/>
              </w:rPr>
              <w:t>Conceptual synthesis</w:t>
            </w:r>
          </w:p>
        </w:tc>
        <w:tc>
          <w:tcPr>
            <w:tcW w:type="dxa" w:w="2340"/>
          </w:tcPr>
          <w:p>
            <w:pPr>
              <w:spacing w:line="276" w:lineRule="auto" w:before="40" w:after="40"/>
            </w:pPr>
            <w:r>
              <w:rPr>
                <w:rFonts w:ascii="Times New Roman" w:hAnsi="Times New Roman"/>
                <w:sz w:val="20"/>
              </w:rPr>
              <w:t>Framework-level (no direct precedent)</w:t>
            </w:r>
          </w:p>
        </w:tc>
      </w:tr>
    </w:tbl>
    <w:p/>
    <w:p>
      <w:pPr>
        <w:spacing w:line="480" w:lineRule="auto"/>
        <w:ind w:firstLine="720"/>
      </w:pPr>
      <w:r>
        <w:rPr>
          <w:rFonts w:ascii="Times New Roman" w:hAnsi="Times New Roman"/>
          <w:sz w:val="24"/>
        </w:rPr>
        <w:t>The evidence mapping reveals two key patterns. First, individual scaffold components are grounded in established, well-replicated research. Second, the evidence base weakens at the points of novel contribution: application to AI-specific trust calibration and integration through the adaptive cycle. These gaps delineate the empirical questions that future research must address to move from evidence-informed conceptual framework to evidence-based prescriptive model. The framework's contribution is the systematic synthesis connecting learner trust dynamics, calibration scaffolds, and adaptive oversight within a unified architecture — a positioning consistent with the critical review methodology's support for identifying conceptual gaps and proposing integrative frameworks (Grant &amp; Booth, 2009; Peters et al., 2020).</w:t>
      </w:r>
    </w:p>
    <w:p>
      <w:pPr>
        <w:spacing w:before="240" w:after="240" w:line="480" w:lineRule="auto"/>
        <w:jc w:val="center"/>
      </w:pPr>
      <w:r>
        <w:rPr>
          <w:rFonts w:ascii="Times New Roman" w:hAnsi="Times New Roman"/>
          <w:b/>
          <w:sz w:val="24"/>
        </w:rPr>
        <w:t>6. Implications</w:t>
      </w:r>
    </w:p>
    <w:p>
      <w:pPr>
        <w:spacing w:line="480" w:lineRule="auto"/>
        <w:ind w:firstLine="720"/>
      </w:pPr>
      <w:r>
        <w:rPr>
          <w:rFonts w:ascii="Times New Roman" w:hAnsi="Times New Roman"/>
          <w:sz w:val="24"/>
        </w:rPr>
        <w:t>The Two-Level Trust Calibration Framework carries implications for three primary audiences: AI system designers, educators, and researchers. This section derives specific, actionable principles from the framework's architecture and its grounding in educational theory.</w:t>
      </w:r>
    </w:p>
    <w:p>
      <w:pPr>
        <w:spacing w:before="240" w:after="240" w:line="480" w:lineRule="auto"/>
        <w:jc w:val="left"/>
      </w:pPr>
      <w:r>
        <w:rPr>
          <w:rFonts w:ascii="Times New Roman" w:hAnsi="Times New Roman"/>
          <w:b/>
          <w:sz w:val="24"/>
        </w:rPr>
        <w:t>6.1 Implications for AI System Designers</w:t>
      </w:r>
    </w:p>
    <w:p>
      <w:pPr>
        <w:spacing w:line="480" w:lineRule="auto"/>
        <w:ind w:firstLine="720"/>
      </w:pPr>
      <w:r>
        <w:rPr>
          <w:rFonts w:ascii="Times New Roman" w:hAnsi="Times New Roman"/>
          <w:sz w:val="24"/>
        </w:rPr>
        <w:t>The framework yields five design principles for educational AI development.</w:t>
      </w:r>
    </w:p>
    <w:p>
      <w:pPr>
        <w:spacing w:line="480" w:lineRule="auto"/>
        <w:ind w:firstLine="720"/>
      </w:pPr>
      <w:r>
        <w:rPr>
          <w:rFonts w:ascii="Times New Roman" w:hAnsi="Times New Roman"/>
          <w:sz w:val="24"/>
        </w:rPr>
        <w:t>Principle 1: Design for Calibration, Not Just Trust. The dominant design logic treats higher trust as a success metric. The framework reframes trust as a calibration target: AI systems should aim not to increase trust but to align it with actual capability for specific tasks. Under conditions of low AI reliability, the design goal should be to reduce trust to a level commensurate with capability, drawing on the Trust-AI Reliability Matrix (Figure 3).</w:t>
      </w:r>
    </w:p>
    <w:p>
      <w:pPr>
        <w:spacing w:line="480" w:lineRule="auto"/>
        <w:ind w:firstLine="720"/>
      </w:pPr>
      <w:r>
        <w:rPr>
          <w:rFonts w:ascii="Times New Roman" w:hAnsi="Times New Roman"/>
          <w:sz w:val="24"/>
        </w:rPr>
        <w:t>Principle 2: Embed Metacognitive Scaffolds by Default. Every AI-assisted learning interaction should include prompts activating learner reflection on reliance decisions. The evidence base is substantial: Guo et al. (2022) reported a medium effect size (g = 0.50) for SRL outcomes in technology-enhanced environments. Prompts such as "How confident are you in the AI's suggestion, and why?" should be architectural features, not optional additions.</w:t>
      </w:r>
    </w:p>
    <w:p>
      <w:pPr>
        <w:spacing w:line="480" w:lineRule="auto"/>
        <w:ind w:firstLine="720"/>
      </w:pPr>
      <w:r>
        <w:rPr>
          <w:rFonts w:ascii="Times New Roman" w:hAnsi="Times New Roman"/>
          <w:sz w:val="24"/>
        </w:rPr>
        <w:t>Principle 3: Implement Transparency as Standard Practice. Educational AI systems should display confidence levels, known limitations, and uncertainty indicators as standard interface elements. Learners cannot calibrate trust without reliability information (Lee &amp; See, 2004; Arrieta et al., 2020). Transparency should be calibrated to learner expertise: simplified indicators for novices, more granular uncertainty information for advanced learners.</w:t>
      </w:r>
    </w:p>
    <w:p>
      <w:pPr>
        <w:spacing w:line="480" w:lineRule="auto"/>
        <w:ind w:firstLine="720"/>
      </w:pPr>
      <w:r>
        <w:rPr>
          <w:rFonts w:ascii="Times New Roman" w:hAnsi="Times New Roman"/>
          <w:sz w:val="24"/>
        </w:rPr>
        <w:t>Principle 4: Design Adaptive Oversight. Scaffold intensity should adapt to the learner's current trust calibration state through the Adaptive Calibration Cycle: monitor behavioral signals, evaluate calibration state, adapt accordingly. Following scaffolding theory (Wood et al., 1976), systems should initialize with maximum scaffolding and fade as calibrated trust accumulates.</w:t>
      </w:r>
    </w:p>
    <w:p>
      <w:pPr>
        <w:spacing w:line="480" w:lineRule="auto"/>
        <w:ind w:firstLine="720"/>
      </w:pPr>
      <w:r>
        <w:rPr>
          <w:rFonts w:ascii="Times New Roman" w:hAnsi="Times New Roman"/>
          <w:sz w:val="24"/>
        </w:rPr>
        <w:t>Principle 5: Plan for Progressive Autonomy Release. Educational AI systems should include explicit fading mechanisms that progressively transfer calibration responsibility to the learner (Wood et al., 1976; Hattie, 2009). This requires assessment points where the system evaluates whether learners can maintain calibrated trust without prompting, and graceful transitions from scaffolded to autonomous AI use.</w:t>
      </w:r>
    </w:p>
    <w:p>
      <w:pPr>
        <w:spacing w:before="240" w:after="240" w:line="480" w:lineRule="auto"/>
        <w:jc w:val="left"/>
      </w:pPr>
      <w:r>
        <w:rPr>
          <w:rFonts w:ascii="Times New Roman" w:hAnsi="Times New Roman"/>
          <w:b/>
          <w:sz w:val="24"/>
        </w:rPr>
        <w:t>6.2 Implications for Educators</w:t>
      </w:r>
    </w:p>
    <w:p>
      <w:pPr>
        <w:spacing w:line="480" w:lineRule="auto"/>
        <w:ind w:firstLine="720"/>
      </w:pPr>
      <w:r>
        <w:rPr>
          <w:rFonts w:ascii="Times New Roman" w:hAnsi="Times New Roman"/>
          <w:sz w:val="24"/>
        </w:rPr>
        <w:t>The framework positions educators as active agents in the trust calibration process. Trust calibration should be recognized as a distinct learning objective alongside content mastery — the capacity to assess AI reliability for a given task and adjust reliance accordingly is an epistemic competence requiring explicit instruction (Long &amp; Magerko, 2020; Ng et al., 2021). Educators serve as trust calibration agents who can use the Trust-AI Reliability Matrix (Figure 3) to diagnose whether learners operate in calibrated or miscalibrated states and deploy targeted interventions: AI evaluation exercises for overtrusting learners, guided comparison tasks for undertrusting ones. Critically, AI literacy should be treated as a prerequisite for calibrated trust, integrated before or alongside AI tool deployment, including instruction on the probabilistic nature of LLM outputs and their domain-dependent accuracy variability.</w:t>
      </w:r>
    </w:p>
    <w:p>
      <w:pPr>
        <w:spacing w:before="240" w:after="240" w:line="480" w:lineRule="auto"/>
        <w:jc w:val="left"/>
      </w:pPr>
      <w:r>
        <w:rPr>
          <w:rFonts w:ascii="Times New Roman" w:hAnsi="Times New Roman"/>
          <w:b/>
          <w:sz w:val="24"/>
        </w:rPr>
        <w:t>6.3 Implications for Researchers</w:t>
      </w:r>
    </w:p>
    <w:p>
      <w:pPr>
        <w:spacing w:line="480" w:lineRule="auto"/>
        <w:ind w:firstLine="720"/>
      </w:pPr>
      <w:r>
        <w:rPr>
          <w:rFonts w:ascii="Times New Roman" w:hAnsi="Times New Roman"/>
          <w:sz w:val="24"/>
        </w:rPr>
        <w:t>The framework generates five priority research questions:</w:t>
      </w:r>
    </w:p>
    <w:p>
      <w:pPr>
        <w:spacing w:line="480" w:lineRule="auto"/>
        <w:ind w:left="720" w:hanging="360"/>
      </w:pPr>
      <w:r>
        <w:rPr>
          <w:rFonts w:ascii="Times New Roman" w:hAnsi="Times New Roman"/>
          <w:sz w:val="24"/>
        </w:rPr>
        <w:t>1. Measurement Development. How can trust calibration accuracy be reliably measured? The field lacks validated instruments capturing alignment between learner trust and AI capability. Moving beyond self-report scales requires multimethod approaches integrating behavioral indicators (verification frequency, AI override rates), process measures (time allocation, information-seeking sequences), and self-report judgments anchored to AI reliability benchmarks.</w:t>
      </w:r>
    </w:p>
    <w:p>
      <w:pPr>
        <w:spacing w:line="480" w:lineRule="auto"/>
        <w:ind w:left="720" w:hanging="360"/>
      </w:pPr>
      <w:r>
        <w:rPr>
          <w:rFonts w:ascii="Times New Roman" w:hAnsi="Times New Roman"/>
          <w:sz w:val="24"/>
        </w:rPr>
        <w:t>2. Scaffold Effectiveness. Which trust calibration scaffolds are most effective for which types of miscalibration, learner populations, and contexts? Experimental studies comparing scaffold types across quadrants of the Trust-AI Reliability Matrix would move the field from principled recommendation to evidence-based prescription.</w:t>
      </w:r>
    </w:p>
    <w:p>
      <w:pPr>
        <w:spacing w:line="480" w:lineRule="auto"/>
        <w:ind w:left="720" w:hanging="360"/>
      </w:pPr>
      <w:r>
        <w:rPr>
          <w:rFonts w:ascii="Times New Roman" w:hAnsi="Times New Roman"/>
          <w:sz w:val="24"/>
        </w:rPr>
        <w:t>3. Developmental Trajectory. How does trust calibration develop over time? Longitudinal designs are needed to map trajectories from initial AI interaction to calibrated trust, identifying critical transition points and factors that accelerate or impede calibration development.</w:t>
      </w:r>
    </w:p>
    <w:p>
      <w:pPr>
        <w:spacing w:line="480" w:lineRule="auto"/>
        <w:ind w:left="720" w:hanging="360"/>
      </w:pPr>
      <w:r>
        <w:rPr>
          <w:rFonts w:ascii="Times New Roman" w:hAnsi="Times New Roman"/>
          <w:sz w:val="24"/>
        </w:rPr>
        <w:t>4. Cultural Variation. How do cultural factors moderate trust calibration processes? Cross-cultural research (Li et al., 2008; Hofstede, 2001) suggests calibration dynamics may operate differently across contexts with varying power distance and uncertainty avoidance, requiring culturally sensitive scaffold adaptations.</w:t>
      </w:r>
    </w:p>
    <w:p>
      <w:pPr>
        <w:spacing w:line="480" w:lineRule="auto"/>
        <w:ind w:left="720" w:hanging="360"/>
      </w:pPr>
      <w:r>
        <w:rPr>
          <w:rFonts w:ascii="Times New Roman" w:hAnsi="Times New Roman"/>
          <w:sz w:val="24"/>
        </w:rPr>
        <w:t>5. Framework Validation. Does the Two-Level Framework accurately predict calibration outcomes? Design-based research (Anderson &amp; Shattuck, 2012; McKenney &amp; Reeves, 2019) can iteratively refine the framework, while randomized controlled trials can test specific causal claims, such as whether adaptive fading produces superior calibration outcomes compared to static scaffolding.</w:t>
      </w:r>
    </w:p>
    <w:p>
      <w:pPr>
        <w:spacing w:before="240" w:after="240" w:line="480" w:lineRule="auto"/>
        <w:jc w:val="center"/>
      </w:pPr>
      <w:r>
        <w:rPr>
          <w:rFonts w:ascii="Times New Roman" w:hAnsi="Times New Roman"/>
          <w:b/>
          <w:sz w:val="24"/>
        </w:rPr>
        <w:t>7. Conclusion</w:t>
      </w:r>
    </w:p>
    <w:p>
      <w:pPr>
        <w:spacing w:before="240" w:after="240" w:line="480" w:lineRule="auto"/>
        <w:jc w:val="left"/>
      </w:pPr>
      <w:r>
        <w:rPr>
          <w:rFonts w:ascii="Times New Roman" w:hAnsi="Times New Roman"/>
          <w:b/>
          <w:sz w:val="24"/>
        </w:rPr>
        <w:t>7.1 Limitations</w:t>
      </w:r>
    </w:p>
    <w:p>
      <w:pPr>
        <w:spacing w:line="480" w:lineRule="auto"/>
        <w:ind w:firstLine="720"/>
      </w:pPr>
      <w:r>
        <w:rPr>
          <w:rFonts w:ascii="Times New Roman" w:hAnsi="Times New Roman"/>
          <w:sz w:val="24"/>
        </w:rPr>
        <w:t>Several limitations warrant acknowledgment. First, this paper adopted a critical review approach (Grant &amp; Booth, 2009) rather than a full systematic review following PRISMA-ScR protocols (Peters et al., 2020). This enabled deeper theoretical synthesis but means the literature search, while systematic in its use of defined databases and search terms, was not exhaustive. Second, literature selection and analysis were conducted by a single researcher with AI-assisted coding through a retrieval-augmented generation (RAG) pipeline, introducing potential selection and interpretation bias; the final review covers 97 of 147 initially identified papers (50 await institutional PDF access). Future work should involve multiple independent reviewers to establish intercoder reliability. Third, the search was limited to English-language publications, potentially excluding relevant work from non-Anglophone research traditions where cultural dimensions such as power distance may shape trust dynamics differently (Hofstede, 2001; Li et al., 2008). Fourth, the Two-Level Trust Calibration Framework is a conceptual contribution requiring empirical validation. While the evidence mapping (Table 2) draws on established findings from adjacent fields — metacognitive prompting (Guo et al., 2022), desirable difficulties (Bjork &amp; Bjork, 2011), productive failure (Kapur, 2008, 2016), scaffolding (Hattie, 2009) — direct evidence for trust calibration scaffolds operating as theorized in educational AI contexts remains sparse. Fifth, the framework assumes relatively stable AI capability within defined contexts, yet generative AI systems exhibit variable performance across tasks and queries, meaning the Trust-AI Reliability Matrix requires dynamic rather than static reliability assessment — a challenge the current framework acknowledges but does not fully resolve.</w:t>
      </w:r>
    </w:p>
    <w:p>
      <w:pPr>
        <w:spacing w:before="240" w:after="240" w:line="480" w:lineRule="auto"/>
        <w:jc w:val="left"/>
      </w:pPr>
      <w:r>
        <w:rPr>
          <w:rFonts w:ascii="Times New Roman" w:hAnsi="Times New Roman"/>
          <w:b/>
          <w:sz w:val="24"/>
        </w:rPr>
        <w:t>7.2 Conclusion</w:t>
      </w:r>
    </w:p>
    <w:p>
      <w:pPr>
        <w:spacing w:line="480" w:lineRule="auto"/>
        <w:ind w:firstLine="720"/>
      </w:pPr>
      <w:r>
        <w:rPr>
          <w:rFonts w:ascii="Times New Roman" w:hAnsi="Times New Roman"/>
          <w:sz w:val="24"/>
        </w:rPr>
        <w:t>This paper has advanced a core argument: trust calibration — the alignment between learner trust in AI and the system's actual capability for a given task — represents the missing link in educational AI design. Through a critical review of 97 studies on trust in educational AI (2015--2026), we identified a structural gap at the intersection of trust research in human factors, which has long recognized calibration as central (Lee &amp; See, 2004; Parasuraman &amp; Riley, 1997), and scaffolding research in educational technology, which has developed sophisticated adaptive support approaches (Wood et al., 1976; Belland, 2014) but has not applied them to trust.</w:t>
      </w:r>
    </w:p>
    <w:p>
      <w:pPr>
        <w:spacing w:line="480" w:lineRule="auto"/>
        <w:ind w:firstLine="720"/>
      </w:pPr>
      <w:r>
        <w:rPr>
          <w:rFonts w:ascii="Times New Roman" w:hAnsi="Times New Roman"/>
          <w:sz w:val="24"/>
        </w:rPr>
        <w:t>The paper makes three contributions. First, it documents the calibration gap — the finding that existing research predominantly treats trust as a variable to be maximized rather than a calibration target aligned with system capability, a structural absence that will produce overtrust effects (Bastani et al., 2025) at increasing scale as AI adoption accelerates. Second, it proposes the Two-Level Trust Calibration Framework connecting learner-level trust dynamics (Level 1) with system-level calibration mechanisms (Level 2) through an Adaptive Calibration Cycle, specifying six trust calibration scaffolds each grounded in established theory and mapped to specific miscalibration states. Third, it introduces conceptual tools — the SRL-trust calibration distinction, the Trust-AI Reliability Matrix, and five design principles — providing shared vocabulary for a research community that has lacked the infrastructure to address trust calibration systematically.</w:t>
      </w:r>
    </w:p>
    <w:p>
      <w:pPr>
        <w:spacing w:line="480" w:lineRule="auto"/>
        <w:ind w:firstLine="720"/>
      </w:pPr>
      <w:r>
        <w:rPr>
          <w:rFonts w:ascii="Times New Roman" w:hAnsi="Times New Roman"/>
          <w:sz w:val="24"/>
        </w:rPr>
        <w:t>The path forward is empirical. The conceptual architecture must be tested through design-based research (Anderson &amp; Shattuck, 2012; McKenney &amp; Reeves, 2019) implementing trust calibration scaffolds in authentic settings and measuring their effects on calibration accuracy and learning outcomes. As educational AI becomes increasingly autonomous, the question is no longer "Do learners trust AI?" but "Is their trust calibrated?" — and "Who or what calibrates it?" The answer will determine whether AI integration produces learners who think critically with AI or defer uncritically to it.</w:t>
      </w:r>
    </w:p>
    <w:p>
      <w:r>
        <w:br w:type="page"/>
      </w:r>
    </w:p>
    <w:p>
      <w:pPr>
        <w:spacing w:before="240" w:after="240" w:line="480" w:lineRule="auto"/>
        <w:jc w:val="center"/>
      </w:pPr>
      <w:r>
        <w:rPr>
          <w:rFonts w:ascii="Times New Roman" w:hAnsi="Times New Roman"/>
          <w:b/>
          <w:sz w:val="24"/>
        </w:rPr>
        <w:t>Tables</w:t>
      </w:r>
    </w:p>
    <w:p>
      <w:pPr>
        <w:spacing w:line="480" w:lineRule="auto"/>
      </w:pPr>
      <w:r>
        <w:rPr>
          <w:rFonts w:ascii="Times New Roman" w:hAnsi="Times New Roman"/>
          <w:b/>
          <w:i/>
          <w:sz w:val="24"/>
        </w:rPr>
        <w:t>Table 1</w:t>
      </w:r>
    </w:p>
    <w:p>
      <w:pPr>
        <w:spacing w:line="480" w:lineRule="auto"/>
      </w:pPr>
      <w:r>
        <w:rPr>
          <w:rFonts w:ascii="Times New Roman" w:hAnsi="Times New Roman"/>
          <w:i/>
          <w:sz w:val="24"/>
        </w:rPr>
        <w:t>Literature Landscape Summary: Trust in Educational AI (N = 97)</w:t>
      </w:r>
    </w:p>
    <w:tbl>
      <w:tblPr>
        <w:tblW w:type="auto" w:w="0"/>
        <w:jc w:val="center"/>
        <w:tblLook w:firstColumn="1" w:firstRow="1" w:lastColumn="0" w:lastRow="0" w:noHBand="0" w:noVBand="1" w:val="04A0"/>
        <w:tblBorders>
          <w:top w:val="single" w:sz="12" w:color="000000"/>
          <w:left w:val="none" w:color="000000"/>
          <w:bottom w:val="single" w:sz="12" w:color="000000"/>
          <w:right w:val="none" w:color="000000"/>
          <w:insideH w:val="single" w:sz="4" w:color="000000"/>
          <w:insideV w:val="none" w:color="000000"/>
        </w:tblBorders>
      </w:tblPr>
      <w:tblGrid>
        <w:gridCol w:w="2340"/>
        <w:gridCol w:w="2340"/>
        <w:gridCol w:w="2340"/>
        <w:gridCol w:w="2340"/>
      </w:tblGrid>
      <w:tr>
        <w:tc>
          <w:tcPr>
            <w:tcW w:type="dxa" w:w="2340"/>
          </w:tcPr>
          <w:p>
            <w:pPr>
              <w:spacing w:line="276" w:lineRule="auto" w:before="40" w:after="40"/>
            </w:pPr>
            <w:r>
              <w:rPr>
                <w:rFonts w:ascii="Times New Roman" w:hAnsi="Times New Roman"/>
                <w:b/>
                <w:sz w:val="20"/>
              </w:rPr>
              <w:t>Dimension</w:t>
            </w:r>
          </w:p>
        </w:tc>
        <w:tc>
          <w:tcPr>
            <w:tcW w:type="dxa" w:w="2340"/>
          </w:tcPr>
          <w:p>
            <w:pPr>
              <w:spacing w:line="276" w:lineRule="auto" w:before="40" w:after="40"/>
            </w:pPr>
            <w:r>
              <w:rPr>
                <w:rFonts w:ascii="Times New Roman" w:hAnsi="Times New Roman"/>
                <w:b/>
                <w:sz w:val="20"/>
              </w:rPr>
              <w:t>Category</w:t>
            </w:r>
          </w:p>
        </w:tc>
        <w:tc>
          <w:tcPr>
            <w:tcW w:type="dxa" w:w="2340"/>
          </w:tcPr>
          <w:p>
            <w:pPr>
              <w:spacing w:line="276" w:lineRule="auto" w:before="40" w:after="40"/>
              <w:jc w:val="center"/>
            </w:pPr>
            <w:r>
              <w:rPr>
                <w:rFonts w:ascii="Times New Roman" w:hAnsi="Times New Roman"/>
                <w:b/>
                <w:sz w:val="20"/>
              </w:rPr>
              <w:t>n</w:t>
            </w:r>
          </w:p>
        </w:tc>
        <w:tc>
          <w:tcPr>
            <w:tcW w:type="dxa" w:w="2340"/>
          </w:tcPr>
          <w:p>
            <w:pPr>
              <w:spacing w:line="276" w:lineRule="auto" w:before="40" w:after="40"/>
              <w:jc w:val="center"/>
            </w:pPr>
            <w:r>
              <w:rPr>
                <w:rFonts w:ascii="Times New Roman" w:hAnsi="Times New Roman"/>
                <w:b/>
                <w:sz w:val="20"/>
              </w:rPr>
              <w:t>%</w:t>
            </w:r>
          </w:p>
        </w:tc>
      </w:tr>
      <w:tr>
        <w:tc>
          <w:tcPr>
            <w:tcW w:type="dxa" w:w="2340"/>
          </w:tcPr>
          <w:p>
            <w:pPr>
              <w:spacing w:line="276" w:lineRule="auto" w:before="40" w:after="40"/>
            </w:pPr>
            <w:r>
              <w:rPr>
                <w:rFonts w:ascii="Times New Roman" w:hAnsi="Times New Roman"/>
                <w:sz w:val="20"/>
              </w:rPr>
              <w:t>Trust Construct</w:t>
            </w:r>
          </w:p>
        </w:tc>
        <w:tc>
          <w:tcPr>
            <w:tcW w:type="dxa" w:w="2340"/>
          </w:tcPr>
          <w:p>
            <w:pPr>
              <w:spacing w:line="276" w:lineRule="auto" w:before="40" w:after="40"/>
            </w:pPr>
            <w:r>
              <w:rPr>
                <w:rFonts w:ascii="Times New Roman" w:hAnsi="Times New Roman"/>
                <w:sz w:val="20"/>
              </w:rPr>
              <w:t>Trust in AI</w:t>
            </w:r>
          </w:p>
        </w:tc>
        <w:tc>
          <w:tcPr>
            <w:tcW w:type="dxa" w:w="2340"/>
          </w:tcPr>
          <w:p>
            <w:pPr>
              <w:spacing w:line="276" w:lineRule="auto" w:before="40" w:after="40"/>
              <w:jc w:val="center"/>
            </w:pPr>
            <w:r>
              <w:rPr>
                <w:rFonts w:ascii="Times New Roman" w:hAnsi="Times New Roman"/>
                <w:sz w:val="20"/>
              </w:rPr>
              <w:t>86</w:t>
            </w:r>
          </w:p>
        </w:tc>
        <w:tc>
          <w:tcPr>
            <w:tcW w:type="dxa" w:w="2340"/>
          </w:tcPr>
          <w:p>
            <w:pPr>
              <w:spacing w:line="276" w:lineRule="auto" w:before="40" w:after="40"/>
              <w:jc w:val="center"/>
            </w:pPr>
            <w:r>
              <w:rPr>
                <w:rFonts w:ascii="Times New Roman" w:hAnsi="Times New Roman"/>
                <w:sz w:val="20"/>
              </w:rPr>
              <w:t>88.7</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Trust in automation</w:t>
            </w:r>
          </w:p>
        </w:tc>
        <w:tc>
          <w:tcPr>
            <w:tcW w:type="dxa" w:w="2340"/>
          </w:tcPr>
          <w:p>
            <w:pPr>
              <w:spacing w:line="276" w:lineRule="auto" w:before="40" w:after="40"/>
              <w:jc w:val="center"/>
            </w:pPr>
            <w:r>
              <w:rPr>
                <w:rFonts w:ascii="Times New Roman" w:hAnsi="Times New Roman"/>
                <w:sz w:val="20"/>
              </w:rPr>
              <w:t>6</w:t>
            </w:r>
          </w:p>
        </w:tc>
        <w:tc>
          <w:tcPr>
            <w:tcW w:type="dxa" w:w="2340"/>
          </w:tcPr>
          <w:p>
            <w:pPr>
              <w:spacing w:line="276" w:lineRule="auto" w:before="40" w:after="40"/>
              <w:jc w:val="center"/>
            </w:pPr>
            <w:r>
              <w:rPr>
                <w:rFonts w:ascii="Times New Roman" w:hAnsi="Times New Roman"/>
                <w:sz w:val="20"/>
              </w:rPr>
              <w:t>6.2</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Institutional trust</w:t>
            </w:r>
          </w:p>
        </w:tc>
        <w:tc>
          <w:tcPr>
            <w:tcW w:type="dxa" w:w="2340"/>
          </w:tcPr>
          <w:p>
            <w:pPr>
              <w:spacing w:line="276" w:lineRule="auto" w:before="40" w:after="40"/>
              <w:jc w:val="center"/>
            </w:pPr>
            <w:r>
              <w:rPr>
                <w:rFonts w:ascii="Times New Roman" w:hAnsi="Times New Roman"/>
                <w:sz w:val="20"/>
              </w:rPr>
              <w:t>3</w:t>
            </w:r>
          </w:p>
        </w:tc>
        <w:tc>
          <w:tcPr>
            <w:tcW w:type="dxa" w:w="2340"/>
          </w:tcPr>
          <w:p>
            <w:pPr>
              <w:spacing w:line="276" w:lineRule="auto" w:before="40" w:after="40"/>
              <w:jc w:val="center"/>
            </w:pPr>
            <w:r>
              <w:rPr>
                <w:rFonts w:ascii="Times New Roman" w:hAnsi="Times New Roman"/>
                <w:sz w:val="20"/>
              </w:rPr>
              <w:t>3.1</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Interpersonal trust</w:t>
            </w:r>
          </w:p>
        </w:tc>
        <w:tc>
          <w:tcPr>
            <w:tcW w:type="dxa" w:w="2340"/>
          </w:tcPr>
          <w:p>
            <w:pPr>
              <w:spacing w:line="276" w:lineRule="auto" w:before="40" w:after="40"/>
              <w:jc w:val="center"/>
            </w:pPr>
            <w:r>
              <w:rPr>
                <w:rFonts w:ascii="Times New Roman" w:hAnsi="Times New Roman"/>
                <w:sz w:val="20"/>
              </w:rPr>
              <w:t>2</w:t>
            </w:r>
          </w:p>
        </w:tc>
        <w:tc>
          <w:tcPr>
            <w:tcW w:type="dxa" w:w="2340"/>
          </w:tcPr>
          <w:p>
            <w:pPr>
              <w:spacing w:line="276" w:lineRule="auto" w:before="40" w:after="40"/>
              <w:jc w:val="center"/>
            </w:pPr>
            <w:r>
              <w:rPr>
                <w:rFonts w:ascii="Times New Roman" w:hAnsi="Times New Roman"/>
                <w:sz w:val="20"/>
              </w:rPr>
              <w:t>2.1</w:t>
            </w:r>
          </w:p>
        </w:tc>
      </w:tr>
      <w:tr>
        <w:tc>
          <w:tcPr>
            <w:tcW w:type="dxa" w:w="2340"/>
          </w:tcPr>
          <w:p>
            <w:pPr>
              <w:spacing w:line="276" w:lineRule="auto" w:before="40" w:after="40"/>
            </w:pPr>
            <w:r>
              <w:rPr>
                <w:rFonts w:ascii="Times New Roman" w:hAnsi="Times New Roman"/>
                <w:sz w:val="20"/>
              </w:rPr>
              <w:t>Trust Definition</w:t>
            </w:r>
          </w:p>
        </w:tc>
        <w:tc>
          <w:tcPr>
            <w:tcW w:type="dxa" w:w="2340"/>
          </w:tcPr>
          <w:p>
            <w:pPr>
              <w:spacing w:line="276" w:lineRule="auto" w:before="40" w:after="40"/>
            </w:pPr>
            <w:r>
              <w:rPr>
                <w:rFonts w:ascii="Times New Roman" w:hAnsi="Times New Roman"/>
                <w:sz w:val="20"/>
              </w:rPr>
              <w:t>No definition</w:t>
            </w:r>
          </w:p>
        </w:tc>
        <w:tc>
          <w:tcPr>
            <w:tcW w:type="dxa" w:w="2340"/>
          </w:tcPr>
          <w:p>
            <w:pPr>
              <w:spacing w:line="276" w:lineRule="auto" w:before="40" w:after="40"/>
              <w:jc w:val="center"/>
            </w:pPr>
            <w:r>
              <w:rPr>
                <w:rFonts w:ascii="Times New Roman" w:hAnsi="Times New Roman"/>
                <w:sz w:val="20"/>
              </w:rPr>
              <w:t>82</w:t>
            </w:r>
          </w:p>
        </w:tc>
        <w:tc>
          <w:tcPr>
            <w:tcW w:type="dxa" w:w="2340"/>
          </w:tcPr>
          <w:p>
            <w:pPr>
              <w:spacing w:line="276" w:lineRule="auto" w:before="40" w:after="40"/>
              <w:jc w:val="center"/>
            </w:pPr>
            <w:r>
              <w:rPr>
                <w:rFonts w:ascii="Times New Roman" w:hAnsi="Times New Roman"/>
                <w:sz w:val="20"/>
              </w:rPr>
              <w:t>84.5</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Explicit</w:t>
            </w:r>
          </w:p>
        </w:tc>
        <w:tc>
          <w:tcPr>
            <w:tcW w:type="dxa" w:w="2340"/>
          </w:tcPr>
          <w:p>
            <w:pPr>
              <w:spacing w:line="276" w:lineRule="auto" w:before="40" w:after="40"/>
              <w:jc w:val="center"/>
            </w:pPr>
            <w:r>
              <w:rPr>
                <w:rFonts w:ascii="Times New Roman" w:hAnsi="Times New Roman"/>
                <w:sz w:val="20"/>
              </w:rPr>
              <w:t>9</w:t>
            </w:r>
          </w:p>
        </w:tc>
        <w:tc>
          <w:tcPr>
            <w:tcW w:type="dxa" w:w="2340"/>
          </w:tcPr>
          <w:p>
            <w:pPr>
              <w:spacing w:line="276" w:lineRule="auto" w:before="40" w:after="40"/>
              <w:jc w:val="center"/>
            </w:pPr>
            <w:r>
              <w:rPr>
                <w:rFonts w:ascii="Times New Roman" w:hAnsi="Times New Roman"/>
                <w:sz w:val="20"/>
              </w:rPr>
              <w:t>9.3</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Implicit</w:t>
            </w:r>
          </w:p>
        </w:tc>
        <w:tc>
          <w:tcPr>
            <w:tcW w:type="dxa" w:w="2340"/>
          </w:tcPr>
          <w:p>
            <w:pPr>
              <w:spacing w:line="276" w:lineRule="auto" w:before="40" w:after="40"/>
              <w:jc w:val="center"/>
            </w:pPr>
            <w:r>
              <w:rPr>
                <w:rFonts w:ascii="Times New Roman" w:hAnsi="Times New Roman"/>
                <w:sz w:val="20"/>
              </w:rPr>
              <w:t>6</w:t>
            </w:r>
          </w:p>
        </w:tc>
        <w:tc>
          <w:tcPr>
            <w:tcW w:type="dxa" w:w="2340"/>
          </w:tcPr>
          <w:p>
            <w:pPr>
              <w:spacing w:line="276" w:lineRule="auto" w:before="40" w:after="40"/>
              <w:jc w:val="center"/>
            </w:pPr>
            <w:r>
              <w:rPr>
                <w:rFonts w:ascii="Times New Roman" w:hAnsi="Times New Roman"/>
                <w:sz w:val="20"/>
              </w:rPr>
              <w:t>6.2</w:t>
            </w:r>
          </w:p>
        </w:tc>
      </w:tr>
      <w:tr>
        <w:tc>
          <w:tcPr>
            <w:tcW w:type="dxa" w:w="2340"/>
          </w:tcPr>
          <w:p>
            <w:pPr>
              <w:spacing w:line="276" w:lineRule="auto" w:before="40" w:after="40"/>
            </w:pPr>
            <w:r>
              <w:rPr>
                <w:rFonts w:ascii="Times New Roman" w:hAnsi="Times New Roman"/>
                <w:sz w:val="20"/>
              </w:rPr>
              <w:t>Theoretical Framework</w:t>
            </w:r>
          </w:p>
        </w:tc>
        <w:tc>
          <w:tcPr>
            <w:tcW w:type="dxa" w:w="2340"/>
          </w:tcPr>
          <w:p>
            <w:pPr>
              <w:spacing w:line="276" w:lineRule="auto" w:before="40" w:after="40"/>
            </w:pPr>
            <w:r>
              <w:rPr>
                <w:rFonts w:ascii="Times New Roman" w:hAnsi="Times New Roman"/>
                <w:sz w:val="20"/>
              </w:rPr>
              <w:t>None</w:t>
            </w:r>
          </w:p>
        </w:tc>
        <w:tc>
          <w:tcPr>
            <w:tcW w:type="dxa" w:w="2340"/>
          </w:tcPr>
          <w:p>
            <w:pPr>
              <w:spacing w:line="276" w:lineRule="auto" w:before="40" w:after="40"/>
              <w:jc w:val="center"/>
            </w:pPr>
            <w:r>
              <w:rPr>
                <w:rFonts w:ascii="Times New Roman" w:hAnsi="Times New Roman"/>
                <w:sz w:val="20"/>
              </w:rPr>
              <w:t>48</w:t>
            </w:r>
          </w:p>
        </w:tc>
        <w:tc>
          <w:tcPr>
            <w:tcW w:type="dxa" w:w="2340"/>
          </w:tcPr>
          <w:p>
            <w:pPr>
              <w:spacing w:line="276" w:lineRule="auto" w:before="40" w:after="40"/>
              <w:jc w:val="center"/>
            </w:pPr>
            <w:r>
              <w:rPr>
                <w:rFonts w:ascii="Times New Roman" w:hAnsi="Times New Roman"/>
                <w:sz w:val="20"/>
              </w:rPr>
              <w:t>49.5</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TAM/UTAUT family</w:t>
            </w:r>
          </w:p>
        </w:tc>
        <w:tc>
          <w:tcPr>
            <w:tcW w:type="dxa" w:w="2340"/>
          </w:tcPr>
          <w:p>
            <w:pPr>
              <w:spacing w:line="276" w:lineRule="auto" w:before="40" w:after="40"/>
              <w:jc w:val="center"/>
            </w:pPr>
            <w:r>
              <w:rPr>
                <w:rFonts w:ascii="Times New Roman" w:hAnsi="Times New Roman"/>
                <w:sz w:val="20"/>
              </w:rPr>
              <w:t>22</w:t>
            </w:r>
          </w:p>
        </w:tc>
        <w:tc>
          <w:tcPr>
            <w:tcW w:type="dxa" w:w="2340"/>
          </w:tcPr>
          <w:p>
            <w:pPr>
              <w:spacing w:line="276" w:lineRule="auto" w:before="40" w:after="40"/>
              <w:jc w:val="center"/>
            </w:pPr>
            <w:r>
              <w:rPr>
                <w:rFonts w:ascii="Times New Roman" w:hAnsi="Times New Roman"/>
                <w:sz w:val="20"/>
              </w:rPr>
              <w:t>22.7</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DOI</w:t>
            </w:r>
          </w:p>
        </w:tc>
        <w:tc>
          <w:tcPr>
            <w:tcW w:type="dxa" w:w="2340"/>
          </w:tcPr>
          <w:p>
            <w:pPr>
              <w:spacing w:line="276" w:lineRule="auto" w:before="40" w:after="40"/>
              <w:jc w:val="center"/>
            </w:pPr>
            <w:r>
              <w:rPr>
                <w:rFonts w:ascii="Times New Roman" w:hAnsi="Times New Roman"/>
                <w:sz w:val="20"/>
              </w:rPr>
              <w:t>13</w:t>
            </w:r>
          </w:p>
        </w:tc>
        <w:tc>
          <w:tcPr>
            <w:tcW w:type="dxa" w:w="2340"/>
          </w:tcPr>
          <w:p>
            <w:pPr>
              <w:spacing w:line="276" w:lineRule="auto" w:before="40" w:after="40"/>
              <w:jc w:val="center"/>
            </w:pPr>
            <w:r>
              <w:rPr>
                <w:rFonts w:ascii="Times New Roman" w:hAnsi="Times New Roman"/>
                <w:sz w:val="20"/>
              </w:rPr>
              <w:t>13.4</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AIED</w:t>
            </w:r>
          </w:p>
        </w:tc>
        <w:tc>
          <w:tcPr>
            <w:tcW w:type="dxa" w:w="2340"/>
          </w:tcPr>
          <w:p>
            <w:pPr>
              <w:spacing w:line="276" w:lineRule="auto" w:before="40" w:after="40"/>
              <w:jc w:val="center"/>
            </w:pPr>
            <w:r>
              <w:rPr>
                <w:rFonts w:ascii="Times New Roman" w:hAnsi="Times New Roman"/>
                <w:sz w:val="20"/>
              </w:rPr>
              <w:t>13</w:t>
            </w:r>
          </w:p>
        </w:tc>
        <w:tc>
          <w:tcPr>
            <w:tcW w:type="dxa" w:w="2340"/>
          </w:tcPr>
          <w:p>
            <w:pPr>
              <w:spacing w:line="276" w:lineRule="auto" w:before="40" w:after="40"/>
              <w:jc w:val="center"/>
            </w:pPr>
            <w:r>
              <w:rPr>
                <w:rFonts w:ascii="Times New Roman" w:hAnsi="Times New Roman"/>
                <w:sz w:val="20"/>
              </w:rPr>
              <w:t>13.4</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Lee &amp; See / Hoff &amp; Bashir</w:t>
            </w:r>
          </w:p>
        </w:tc>
        <w:tc>
          <w:tcPr>
            <w:tcW w:type="dxa" w:w="2340"/>
          </w:tcPr>
          <w:p>
            <w:pPr>
              <w:spacing w:line="276" w:lineRule="auto" w:before="40" w:after="40"/>
              <w:jc w:val="center"/>
            </w:pPr>
            <w:r>
              <w:rPr>
                <w:rFonts w:ascii="Times New Roman" w:hAnsi="Times New Roman"/>
                <w:sz w:val="20"/>
              </w:rPr>
              <w:t>9</w:t>
            </w:r>
          </w:p>
        </w:tc>
        <w:tc>
          <w:tcPr>
            <w:tcW w:type="dxa" w:w="2340"/>
          </w:tcPr>
          <w:p>
            <w:pPr>
              <w:spacing w:line="276" w:lineRule="auto" w:before="40" w:after="40"/>
              <w:jc w:val="center"/>
            </w:pPr>
            <w:r>
              <w:rPr>
                <w:rFonts w:ascii="Times New Roman" w:hAnsi="Times New Roman"/>
                <w:sz w:val="20"/>
              </w:rPr>
              <w:t>9.3</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SRL</w:t>
            </w:r>
          </w:p>
        </w:tc>
        <w:tc>
          <w:tcPr>
            <w:tcW w:type="dxa" w:w="2340"/>
          </w:tcPr>
          <w:p>
            <w:pPr>
              <w:spacing w:line="276" w:lineRule="auto" w:before="40" w:after="40"/>
              <w:jc w:val="center"/>
            </w:pPr>
            <w:r>
              <w:rPr>
                <w:rFonts w:ascii="Times New Roman" w:hAnsi="Times New Roman"/>
                <w:sz w:val="20"/>
              </w:rPr>
              <w:t>5</w:t>
            </w:r>
          </w:p>
        </w:tc>
        <w:tc>
          <w:tcPr>
            <w:tcW w:type="dxa" w:w="2340"/>
          </w:tcPr>
          <w:p>
            <w:pPr>
              <w:spacing w:line="276" w:lineRule="auto" w:before="40" w:after="40"/>
              <w:jc w:val="center"/>
            </w:pPr>
            <w:r>
              <w:rPr>
                <w:rFonts w:ascii="Times New Roman" w:hAnsi="Times New Roman"/>
                <w:sz w:val="20"/>
              </w:rPr>
              <w:t>5.2</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SDT</w:t>
            </w:r>
          </w:p>
        </w:tc>
        <w:tc>
          <w:tcPr>
            <w:tcW w:type="dxa" w:w="2340"/>
          </w:tcPr>
          <w:p>
            <w:pPr>
              <w:spacing w:line="276" w:lineRule="auto" w:before="40" w:after="40"/>
              <w:jc w:val="center"/>
            </w:pPr>
            <w:r>
              <w:rPr>
                <w:rFonts w:ascii="Times New Roman" w:hAnsi="Times New Roman"/>
                <w:sz w:val="20"/>
              </w:rPr>
              <w:t>3</w:t>
            </w:r>
          </w:p>
        </w:tc>
        <w:tc>
          <w:tcPr>
            <w:tcW w:type="dxa" w:w="2340"/>
          </w:tcPr>
          <w:p>
            <w:pPr>
              <w:spacing w:line="276" w:lineRule="auto" w:before="40" w:after="40"/>
              <w:jc w:val="center"/>
            </w:pPr>
            <w:r>
              <w:rPr>
                <w:rFonts w:ascii="Times New Roman" w:hAnsi="Times New Roman"/>
                <w:sz w:val="20"/>
              </w:rPr>
              <w:t>3.1</w:t>
            </w:r>
          </w:p>
        </w:tc>
      </w:tr>
      <w:tr>
        <w:tc>
          <w:tcPr>
            <w:tcW w:type="dxa" w:w="2340"/>
          </w:tcPr>
          <w:p>
            <w:pPr>
              <w:spacing w:line="276" w:lineRule="auto" w:before="40" w:after="40"/>
            </w:pPr>
            <w:r>
              <w:rPr>
                <w:rFonts w:ascii="Times New Roman" w:hAnsi="Times New Roman"/>
                <w:sz w:val="20"/>
              </w:rPr>
              <w:t>Framework Depth</w:t>
            </w:r>
          </w:p>
        </w:tc>
        <w:tc>
          <w:tcPr>
            <w:tcW w:type="dxa" w:w="2340"/>
          </w:tcPr>
          <w:p>
            <w:pPr>
              <w:spacing w:line="276" w:lineRule="auto" w:before="40" w:after="40"/>
            </w:pPr>
            <w:r>
              <w:rPr>
                <w:rFonts w:ascii="Times New Roman" w:hAnsi="Times New Roman"/>
                <w:sz w:val="20"/>
              </w:rPr>
              <w:t>None</w:t>
            </w:r>
          </w:p>
        </w:tc>
        <w:tc>
          <w:tcPr>
            <w:tcW w:type="dxa" w:w="2340"/>
          </w:tcPr>
          <w:p>
            <w:pPr>
              <w:spacing w:line="276" w:lineRule="auto" w:before="40" w:after="40"/>
              <w:jc w:val="center"/>
            </w:pPr>
            <w:r>
              <w:rPr>
                <w:rFonts w:ascii="Times New Roman" w:hAnsi="Times New Roman"/>
                <w:sz w:val="20"/>
              </w:rPr>
              <w:t>48</w:t>
            </w:r>
          </w:p>
        </w:tc>
        <w:tc>
          <w:tcPr>
            <w:tcW w:type="dxa" w:w="2340"/>
          </w:tcPr>
          <w:p>
            <w:pPr>
              <w:spacing w:line="276" w:lineRule="auto" w:before="40" w:after="40"/>
              <w:jc w:val="center"/>
            </w:pPr>
            <w:r>
              <w:rPr>
                <w:rFonts w:ascii="Times New Roman" w:hAnsi="Times New Roman"/>
                <w:sz w:val="20"/>
              </w:rPr>
              <w:t>49.5</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Superficial</w:t>
            </w:r>
          </w:p>
        </w:tc>
        <w:tc>
          <w:tcPr>
            <w:tcW w:type="dxa" w:w="2340"/>
          </w:tcPr>
          <w:p>
            <w:pPr>
              <w:spacing w:line="276" w:lineRule="auto" w:before="40" w:after="40"/>
              <w:jc w:val="center"/>
            </w:pPr>
            <w:r>
              <w:rPr>
                <w:rFonts w:ascii="Times New Roman" w:hAnsi="Times New Roman"/>
                <w:sz w:val="20"/>
              </w:rPr>
              <w:t>24</w:t>
            </w:r>
          </w:p>
        </w:tc>
        <w:tc>
          <w:tcPr>
            <w:tcW w:type="dxa" w:w="2340"/>
          </w:tcPr>
          <w:p>
            <w:pPr>
              <w:spacing w:line="276" w:lineRule="auto" w:before="40" w:after="40"/>
              <w:jc w:val="center"/>
            </w:pPr>
            <w:r>
              <w:rPr>
                <w:rFonts w:ascii="Times New Roman" w:hAnsi="Times New Roman"/>
                <w:sz w:val="20"/>
              </w:rPr>
              <w:t>24.7</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Applied</w:t>
            </w:r>
          </w:p>
        </w:tc>
        <w:tc>
          <w:tcPr>
            <w:tcW w:type="dxa" w:w="2340"/>
          </w:tcPr>
          <w:p>
            <w:pPr>
              <w:spacing w:line="276" w:lineRule="auto" w:before="40" w:after="40"/>
              <w:jc w:val="center"/>
            </w:pPr>
            <w:r>
              <w:rPr>
                <w:rFonts w:ascii="Times New Roman" w:hAnsi="Times New Roman"/>
                <w:sz w:val="20"/>
              </w:rPr>
              <w:t>21</w:t>
            </w:r>
          </w:p>
        </w:tc>
        <w:tc>
          <w:tcPr>
            <w:tcW w:type="dxa" w:w="2340"/>
          </w:tcPr>
          <w:p>
            <w:pPr>
              <w:spacing w:line="276" w:lineRule="auto" w:before="40" w:after="40"/>
              <w:jc w:val="center"/>
            </w:pPr>
            <w:r>
              <w:rPr>
                <w:rFonts w:ascii="Times New Roman" w:hAnsi="Times New Roman"/>
                <w:sz w:val="20"/>
              </w:rPr>
              <w:t>21.6</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Foundational</w:t>
            </w:r>
          </w:p>
        </w:tc>
        <w:tc>
          <w:tcPr>
            <w:tcW w:type="dxa" w:w="2340"/>
          </w:tcPr>
          <w:p>
            <w:pPr>
              <w:spacing w:line="276" w:lineRule="auto" w:before="40" w:after="40"/>
              <w:jc w:val="center"/>
            </w:pPr>
            <w:r>
              <w:rPr>
                <w:rFonts w:ascii="Times New Roman" w:hAnsi="Times New Roman"/>
                <w:sz w:val="20"/>
              </w:rPr>
              <w:t>4</w:t>
            </w:r>
          </w:p>
        </w:tc>
        <w:tc>
          <w:tcPr>
            <w:tcW w:type="dxa" w:w="2340"/>
          </w:tcPr>
          <w:p>
            <w:pPr>
              <w:spacing w:line="276" w:lineRule="auto" w:before="40" w:after="40"/>
              <w:jc w:val="center"/>
            </w:pPr>
            <w:r>
              <w:rPr>
                <w:rFonts w:ascii="Times New Roman" w:hAnsi="Times New Roman"/>
                <w:sz w:val="20"/>
              </w:rPr>
              <w:t>4.1</w:t>
            </w:r>
          </w:p>
        </w:tc>
      </w:tr>
      <w:tr>
        <w:tc>
          <w:tcPr>
            <w:tcW w:type="dxa" w:w="2340"/>
          </w:tcPr>
          <w:p>
            <w:pPr>
              <w:spacing w:line="276" w:lineRule="auto" w:before="40" w:after="40"/>
            </w:pPr>
            <w:r>
              <w:rPr>
                <w:rFonts w:ascii="Times New Roman" w:hAnsi="Times New Roman"/>
                <w:sz w:val="20"/>
              </w:rPr>
              <w:t>Trust Measured</w:t>
            </w:r>
          </w:p>
        </w:tc>
        <w:tc>
          <w:tcPr>
            <w:tcW w:type="dxa" w:w="2340"/>
          </w:tcPr>
          <w:p>
            <w:pPr>
              <w:spacing w:line="276" w:lineRule="auto" w:before="40" w:after="40"/>
            </w:pPr>
            <w:r>
              <w:rPr>
                <w:rFonts w:ascii="Times New Roman" w:hAnsi="Times New Roman"/>
                <w:sz w:val="20"/>
              </w:rPr>
              <w:t>No</w:t>
            </w:r>
          </w:p>
        </w:tc>
        <w:tc>
          <w:tcPr>
            <w:tcW w:type="dxa" w:w="2340"/>
          </w:tcPr>
          <w:p>
            <w:pPr>
              <w:spacing w:line="276" w:lineRule="auto" w:before="40" w:after="40"/>
              <w:jc w:val="center"/>
            </w:pPr>
            <w:r>
              <w:rPr>
                <w:rFonts w:ascii="Times New Roman" w:hAnsi="Times New Roman"/>
                <w:sz w:val="20"/>
              </w:rPr>
              <w:t>90</w:t>
            </w:r>
          </w:p>
        </w:tc>
        <w:tc>
          <w:tcPr>
            <w:tcW w:type="dxa" w:w="2340"/>
          </w:tcPr>
          <w:p>
            <w:pPr>
              <w:spacing w:line="276" w:lineRule="auto" w:before="40" w:after="40"/>
              <w:jc w:val="center"/>
            </w:pPr>
            <w:r>
              <w:rPr>
                <w:rFonts w:ascii="Times New Roman" w:hAnsi="Times New Roman"/>
                <w:sz w:val="20"/>
              </w:rPr>
              <w:t>92.8</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Yes</w:t>
            </w:r>
          </w:p>
        </w:tc>
        <w:tc>
          <w:tcPr>
            <w:tcW w:type="dxa" w:w="2340"/>
          </w:tcPr>
          <w:p>
            <w:pPr>
              <w:spacing w:line="276" w:lineRule="auto" w:before="40" w:after="40"/>
              <w:jc w:val="center"/>
            </w:pPr>
            <w:r>
              <w:rPr>
                <w:rFonts w:ascii="Times New Roman" w:hAnsi="Times New Roman"/>
                <w:sz w:val="20"/>
              </w:rPr>
              <w:t>7</w:t>
            </w:r>
          </w:p>
        </w:tc>
        <w:tc>
          <w:tcPr>
            <w:tcW w:type="dxa" w:w="2340"/>
          </w:tcPr>
          <w:p>
            <w:pPr>
              <w:spacing w:line="276" w:lineRule="auto" w:before="40" w:after="40"/>
              <w:jc w:val="center"/>
            </w:pPr>
            <w:r>
              <w:rPr>
                <w:rFonts w:ascii="Times New Roman" w:hAnsi="Times New Roman"/>
                <w:sz w:val="20"/>
              </w:rPr>
              <w:t>7.2</w:t>
            </w:r>
          </w:p>
        </w:tc>
      </w:tr>
      <w:tr>
        <w:tc>
          <w:tcPr>
            <w:tcW w:type="dxa" w:w="2340"/>
          </w:tcPr>
          <w:p>
            <w:pPr>
              <w:spacing w:line="276" w:lineRule="auto" w:before="40" w:after="40"/>
            </w:pPr>
            <w:r>
              <w:rPr>
                <w:rFonts w:ascii="Times New Roman" w:hAnsi="Times New Roman"/>
                <w:sz w:val="20"/>
              </w:rPr>
              <w:t>Calibration Measured</w:t>
            </w:r>
          </w:p>
        </w:tc>
        <w:tc>
          <w:tcPr>
            <w:tcW w:type="dxa" w:w="2340"/>
          </w:tcPr>
          <w:p>
            <w:pPr>
              <w:spacing w:line="276" w:lineRule="auto" w:before="40" w:after="40"/>
            </w:pPr>
            <w:r>
              <w:rPr>
                <w:rFonts w:ascii="Times New Roman" w:hAnsi="Times New Roman"/>
                <w:sz w:val="20"/>
              </w:rPr>
              <w:t>No</w:t>
            </w:r>
          </w:p>
        </w:tc>
        <w:tc>
          <w:tcPr>
            <w:tcW w:type="dxa" w:w="2340"/>
          </w:tcPr>
          <w:p>
            <w:pPr>
              <w:spacing w:line="276" w:lineRule="auto" w:before="40" w:after="40"/>
              <w:jc w:val="center"/>
            </w:pPr>
            <w:r>
              <w:rPr>
                <w:rFonts w:ascii="Times New Roman" w:hAnsi="Times New Roman"/>
                <w:sz w:val="20"/>
              </w:rPr>
              <w:t>96</w:t>
            </w:r>
          </w:p>
        </w:tc>
        <w:tc>
          <w:tcPr>
            <w:tcW w:type="dxa" w:w="2340"/>
          </w:tcPr>
          <w:p>
            <w:pPr>
              <w:spacing w:line="276" w:lineRule="auto" w:before="40" w:after="40"/>
              <w:jc w:val="center"/>
            </w:pPr>
            <w:r>
              <w:rPr>
                <w:rFonts w:ascii="Times New Roman" w:hAnsi="Times New Roman"/>
                <w:sz w:val="20"/>
              </w:rPr>
              <w:t>99.0</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Yes</w:t>
            </w:r>
          </w:p>
        </w:tc>
        <w:tc>
          <w:tcPr>
            <w:tcW w:type="dxa" w:w="2340"/>
          </w:tcPr>
          <w:p>
            <w:pPr>
              <w:spacing w:line="276" w:lineRule="auto" w:before="40" w:after="40"/>
              <w:jc w:val="center"/>
            </w:pPr>
            <w:r>
              <w:rPr>
                <w:rFonts w:ascii="Times New Roman" w:hAnsi="Times New Roman"/>
                <w:sz w:val="20"/>
              </w:rPr>
              <w:t>1</w:t>
            </w:r>
          </w:p>
        </w:tc>
        <w:tc>
          <w:tcPr>
            <w:tcW w:type="dxa" w:w="2340"/>
          </w:tcPr>
          <w:p>
            <w:pPr>
              <w:spacing w:line="276" w:lineRule="auto" w:before="40" w:after="40"/>
              <w:jc w:val="center"/>
            </w:pPr>
            <w:r>
              <w:rPr>
                <w:rFonts w:ascii="Times New Roman" w:hAnsi="Times New Roman"/>
                <w:sz w:val="20"/>
              </w:rPr>
              <w:t>1.0</w:t>
            </w:r>
          </w:p>
        </w:tc>
      </w:tr>
      <w:tr>
        <w:tc>
          <w:tcPr>
            <w:tcW w:type="dxa" w:w="2340"/>
          </w:tcPr>
          <w:p>
            <w:pPr>
              <w:spacing w:line="276" w:lineRule="auto" w:before="40" w:after="40"/>
            </w:pPr>
            <w:r>
              <w:rPr>
                <w:rFonts w:ascii="Times New Roman" w:hAnsi="Times New Roman"/>
                <w:sz w:val="20"/>
              </w:rPr>
              <w:t>Addresses Calibration</w:t>
            </w:r>
          </w:p>
        </w:tc>
        <w:tc>
          <w:tcPr>
            <w:tcW w:type="dxa" w:w="2340"/>
          </w:tcPr>
          <w:p>
            <w:pPr>
              <w:spacing w:line="276" w:lineRule="auto" w:before="40" w:after="40"/>
            </w:pPr>
            <w:r>
              <w:rPr>
                <w:rFonts w:ascii="Times New Roman" w:hAnsi="Times New Roman"/>
                <w:sz w:val="20"/>
              </w:rPr>
              <w:t>No</w:t>
            </w:r>
          </w:p>
        </w:tc>
        <w:tc>
          <w:tcPr>
            <w:tcW w:type="dxa" w:w="2340"/>
          </w:tcPr>
          <w:p>
            <w:pPr>
              <w:spacing w:line="276" w:lineRule="auto" w:before="40" w:after="40"/>
              <w:jc w:val="center"/>
            </w:pPr>
            <w:r>
              <w:rPr>
                <w:rFonts w:ascii="Times New Roman" w:hAnsi="Times New Roman"/>
                <w:sz w:val="20"/>
              </w:rPr>
              <w:t>39</w:t>
            </w:r>
          </w:p>
        </w:tc>
        <w:tc>
          <w:tcPr>
            <w:tcW w:type="dxa" w:w="2340"/>
          </w:tcPr>
          <w:p>
            <w:pPr>
              <w:spacing w:line="276" w:lineRule="auto" w:before="40" w:after="40"/>
              <w:jc w:val="center"/>
            </w:pPr>
            <w:r>
              <w:rPr>
                <w:rFonts w:ascii="Times New Roman" w:hAnsi="Times New Roman"/>
                <w:sz w:val="20"/>
              </w:rPr>
              <w:t>40.2</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Partially</w:t>
            </w:r>
          </w:p>
        </w:tc>
        <w:tc>
          <w:tcPr>
            <w:tcW w:type="dxa" w:w="2340"/>
          </w:tcPr>
          <w:p>
            <w:pPr>
              <w:spacing w:line="276" w:lineRule="auto" w:before="40" w:after="40"/>
              <w:jc w:val="center"/>
            </w:pPr>
            <w:r>
              <w:rPr>
                <w:rFonts w:ascii="Times New Roman" w:hAnsi="Times New Roman"/>
                <w:sz w:val="20"/>
              </w:rPr>
              <w:t>42</w:t>
            </w:r>
          </w:p>
        </w:tc>
        <w:tc>
          <w:tcPr>
            <w:tcW w:type="dxa" w:w="2340"/>
          </w:tcPr>
          <w:p>
            <w:pPr>
              <w:spacing w:line="276" w:lineRule="auto" w:before="40" w:after="40"/>
              <w:jc w:val="center"/>
            </w:pPr>
            <w:r>
              <w:rPr>
                <w:rFonts w:ascii="Times New Roman" w:hAnsi="Times New Roman"/>
                <w:sz w:val="20"/>
              </w:rPr>
              <w:t>43.3</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Yes</w:t>
            </w:r>
          </w:p>
        </w:tc>
        <w:tc>
          <w:tcPr>
            <w:tcW w:type="dxa" w:w="2340"/>
          </w:tcPr>
          <w:p>
            <w:pPr>
              <w:spacing w:line="276" w:lineRule="auto" w:before="40" w:after="40"/>
              <w:jc w:val="center"/>
            </w:pPr>
            <w:r>
              <w:rPr>
                <w:rFonts w:ascii="Times New Roman" w:hAnsi="Times New Roman"/>
                <w:sz w:val="20"/>
              </w:rPr>
              <w:t>16</w:t>
            </w:r>
          </w:p>
        </w:tc>
        <w:tc>
          <w:tcPr>
            <w:tcW w:type="dxa" w:w="2340"/>
          </w:tcPr>
          <w:p>
            <w:pPr>
              <w:spacing w:line="276" w:lineRule="auto" w:before="40" w:after="40"/>
              <w:jc w:val="center"/>
            </w:pPr>
            <w:r>
              <w:rPr>
                <w:rFonts w:ascii="Times New Roman" w:hAnsi="Times New Roman"/>
                <w:sz w:val="20"/>
              </w:rPr>
              <w:t>16.5</w:t>
            </w:r>
          </w:p>
        </w:tc>
      </w:tr>
      <w:tr>
        <w:tc>
          <w:tcPr>
            <w:tcW w:type="dxa" w:w="2340"/>
          </w:tcPr>
          <w:p>
            <w:pPr>
              <w:spacing w:line="276" w:lineRule="auto" w:before="40" w:after="40"/>
            </w:pPr>
            <w:r>
              <w:rPr>
                <w:rFonts w:ascii="Times New Roman" w:hAnsi="Times New Roman"/>
                <w:sz w:val="20"/>
              </w:rPr>
              <w:t>Scaffold Proposed</w:t>
            </w:r>
          </w:p>
        </w:tc>
        <w:tc>
          <w:tcPr>
            <w:tcW w:type="dxa" w:w="2340"/>
          </w:tcPr>
          <w:p>
            <w:pPr>
              <w:spacing w:line="276" w:lineRule="auto" w:before="40" w:after="40"/>
            </w:pPr>
            <w:r>
              <w:rPr>
                <w:rFonts w:ascii="Times New Roman" w:hAnsi="Times New Roman"/>
                <w:sz w:val="20"/>
              </w:rPr>
              <w:t>No</w:t>
            </w:r>
          </w:p>
        </w:tc>
        <w:tc>
          <w:tcPr>
            <w:tcW w:type="dxa" w:w="2340"/>
          </w:tcPr>
          <w:p>
            <w:pPr>
              <w:spacing w:line="276" w:lineRule="auto" w:before="40" w:after="40"/>
              <w:jc w:val="center"/>
            </w:pPr>
            <w:r>
              <w:rPr>
                <w:rFonts w:ascii="Times New Roman" w:hAnsi="Times New Roman"/>
                <w:sz w:val="20"/>
              </w:rPr>
              <w:t>34</w:t>
            </w:r>
          </w:p>
        </w:tc>
        <w:tc>
          <w:tcPr>
            <w:tcW w:type="dxa" w:w="2340"/>
          </w:tcPr>
          <w:p>
            <w:pPr>
              <w:spacing w:line="276" w:lineRule="auto" w:before="40" w:after="40"/>
              <w:jc w:val="center"/>
            </w:pPr>
            <w:r>
              <w:rPr>
                <w:rFonts w:ascii="Times New Roman" w:hAnsi="Times New Roman"/>
                <w:sz w:val="20"/>
              </w:rPr>
              <w:t>35.1</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Yes</w:t>
            </w:r>
          </w:p>
        </w:tc>
        <w:tc>
          <w:tcPr>
            <w:tcW w:type="dxa" w:w="2340"/>
          </w:tcPr>
          <w:p>
            <w:pPr>
              <w:spacing w:line="276" w:lineRule="auto" w:before="40" w:after="40"/>
              <w:jc w:val="center"/>
            </w:pPr>
            <w:r>
              <w:rPr>
                <w:rFonts w:ascii="Times New Roman" w:hAnsi="Times New Roman"/>
                <w:sz w:val="20"/>
              </w:rPr>
              <w:t>63</w:t>
            </w:r>
          </w:p>
        </w:tc>
        <w:tc>
          <w:tcPr>
            <w:tcW w:type="dxa" w:w="2340"/>
          </w:tcPr>
          <w:p>
            <w:pPr>
              <w:spacing w:line="276" w:lineRule="auto" w:before="40" w:after="40"/>
              <w:jc w:val="center"/>
            </w:pPr>
            <w:r>
              <w:rPr>
                <w:rFonts w:ascii="Times New Roman" w:hAnsi="Times New Roman"/>
                <w:sz w:val="20"/>
              </w:rPr>
              <w:t>64.9</w:t>
            </w:r>
          </w:p>
        </w:tc>
      </w:tr>
      <w:tr>
        <w:tc>
          <w:tcPr>
            <w:tcW w:type="dxa" w:w="2340"/>
          </w:tcPr>
          <w:p>
            <w:pPr>
              <w:spacing w:line="276" w:lineRule="auto" w:before="40" w:after="40"/>
            </w:pPr>
            <w:r>
              <w:rPr>
                <w:rFonts w:ascii="Times New Roman" w:hAnsi="Times New Roman"/>
                <w:sz w:val="20"/>
              </w:rPr>
              <w:t>Scaffold Type</w:t>
            </w:r>
          </w:p>
        </w:tc>
        <w:tc>
          <w:tcPr>
            <w:tcW w:type="dxa" w:w="2340"/>
          </w:tcPr>
          <w:p>
            <w:pPr>
              <w:spacing w:line="276" w:lineRule="auto" w:before="40" w:after="40"/>
            </w:pPr>
            <w:r>
              <w:rPr>
                <w:rFonts w:ascii="Times New Roman" w:hAnsi="Times New Roman"/>
                <w:sz w:val="20"/>
              </w:rPr>
              <w:t>None</w:t>
            </w:r>
          </w:p>
        </w:tc>
        <w:tc>
          <w:tcPr>
            <w:tcW w:type="dxa" w:w="2340"/>
          </w:tcPr>
          <w:p>
            <w:pPr>
              <w:spacing w:line="276" w:lineRule="auto" w:before="40" w:after="40"/>
              <w:jc w:val="center"/>
            </w:pPr>
            <w:r>
              <w:rPr>
                <w:rFonts w:ascii="Times New Roman" w:hAnsi="Times New Roman"/>
                <w:sz w:val="20"/>
              </w:rPr>
              <w:t>34</w:t>
            </w:r>
          </w:p>
        </w:tc>
        <w:tc>
          <w:tcPr>
            <w:tcW w:type="dxa" w:w="2340"/>
          </w:tcPr>
          <w:p>
            <w:pPr>
              <w:spacing w:line="276" w:lineRule="auto" w:before="40" w:after="40"/>
              <w:jc w:val="center"/>
            </w:pPr>
            <w:r>
              <w:rPr>
                <w:rFonts w:ascii="Times New Roman" w:hAnsi="Times New Roman"/>
                <w:sz w:val="20"/>
              </w:rPr>
              <w:t>35.1</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Transparency</w:t>
            </w:r>
          </w:p>
        </w:tc>
        <w:tc>
          <w:tcPr>
            <w:tcW w:type="dxa" w:w="2340"/>
          </w:tcPr>
          <w:p>
            <w:pPr>
              <w:spacing w:line="276" w:lineRule="auto" w:before="40" w:after="40"/>
              <w:jc w:val="center"/>
            </w:pPr>
            <w:r>
              <w:rPr>
                <w:rFonts w:ascii="Times New Roman" w:hAnsi="Times New Roman"/>
                <w:sz w:val="20"/>
              </w:rPr>
              <w:t>24</w:t>
            </w:r>
          </w:p>
        </w:tc>
        <w:tc>
          <w:tcPr>
            <w:tcW w:type="dxa" w:w="2340"/>
          </w:tcPr>
          <w:p>
            <w:pPr>
              <w:spacing w:line="276" w:lineRule="auto" w:before="40" w:after="40"/>
              <w:jc w:val="center"/>
            </w:pPr>
            <w:r>
              <w:rPr>
                <w:rFonts w:ascii="Times New Roman" w:hAnsi="Times New Roman"/>
                <w:sz w:val="20"/>
              </w:rPr>
              <w:t>24.7</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Multiple</w:t>
            </w:r>
          </w:p>
        </w:tc>
        <w:tc>
          <w:tcPr>
            <w:tcW w:type="dxa" w:w="2340"/>
          </w:tcPr>
          <w:p>
            <w:pPr>
              <w:spacing w:line="276" w:lineRule="auto" w:before="40" w:after="40"/>
              <w:jc w:val="center"/>
            </w:pPr>
            <w:r>
              <w:rPr>
                <w:rFonts w:ascii="Times New Roman" w:hAnsi="Times New Roman"/>
                <w:sz w:val="20"/>
              </w:rPr>
              <w:t>24</w:t>
            </w:r>
          </w:p>
        </w:tc>
        <w:tc>
          <w:tcPr>
            <w:tcW w:type="dxa" w:w="2340"/>
          </w:tcPr>
          <w:p>
            <w:pPr>
              <w:spacing w:line="276" w:lineRule="auto" w:before="40" w:after="40"/>
              <w:jc w:val="center"/>
            </w:pPr>
            <w:r>
              <w:rPr>
                <w:rFonts w:ascii="Times New Roman" w:hAnsi="Times New Roman"/>
                <w:sz w:val="20"/>
              </w:rPr>
              <w:t>24.7</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Other</w:t>
            </w:r>
          </w:p>
        </w:tc>
        <w:tc>
          <w:tcPr>
            <w:tcW w:type="dxa" w:w="2340"/>
          </w:tcPr>
          <w:p>
            <w:pPr>
              <w:spacing w:line="276" w:lineRule="auto" w:before="40" w:after="40"/>
              <w:jc w:val="center"/>
            </w:pPr>
            <w:r>
              <w:rPr>
                <w:rFonts w:ascii="Times New Roman" w:hAnsi="Times New Roman"/>
                <w:sz w:val="20"/>
              </w:rPr>
              <w:t>9</w:t>
            </w:r>
          </w:p>
        </w:tc>
        <w:tc>
          <w:tcPr>
            <w:tcW w:type="dxa" w:w="2340"/>
          </w:tcPr>
          <w:p>
            <w:pPr>
              <w:spacing w:line="276" w:lineRule="auto" w:before="40" w:after="40"/>
              <w:jc w:val="center"/>
            </w:pPr>
            <w:r>
              <w:rPr>
                <w:rFonts w:ascii="Times New Roman" w:hAnsi="Times New Roman"/>
                <w:sz w:val="20"/>
              </w:rPr>
              <w:t>9.3</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Metacognitive</w:t>
            </w:r>
          </w:p>
        </w:tc>
        <w:tc>
          <w:tcPr>
            <w:tcW w:type="dxa" w:w="2340"/>
          </w:tcPr>
          <w:p>
            <w:pPr>
              <w:spacing w:line="276" w:lineRule="auto" w:before="40" w:after="40"/>
              <w:jc w:val="center"/>
            </w:pPr>
            <w:r>
              <w:rPr>
                <w:rFonts w:ascii="Times New Roman" w:hAnsi="Times New Roman"/>
                <w:sz w:val="20"/>
              </w:rPr>
              <w:t>3</w:t>
            </w:r>
          </w:p>
        </w:tc>
        <w:tc>
          <w:tcPr>
            <w:tcW w:type="dxa" w:w="2340"/>
          </w:tcPr>
          <w:p>
            <w:pPr>
              <w:spacing w:line="276" w:lineRule="auto" w:before="40" w:after="40"/>
              <w:jc w:val="center"/>
            </w:pPr>
            <w:r>
              <w:rPr>
                <w:rFonts w:ascii="Times New Roman" w:hAnsi="Times New Roman"/>
                <w:sz w:val="20"/>
              </w:rPr>
              <w:t>3.1</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Autonomy</w:t>
            </w:r>
          </w:p>
        </w:tc>
        <w:tc>
          <w:tcPr>
            <w:tcW w:type="dxa" w:w="2340"/>
          </w:tcPr>
          <w:p>
            <w:pPr>
              <w:spacing w:line="276" w:lineRule="auto" w:before="40" w:after="40"/>
              <w:jc w:val="center"/>
            </w:pPr>
            <w:r>
              <w:rPr>
                <w:rFonts w:ascii="Times New Roman" w:hAnsi="Times New Roman"/>
                <w:sz w:val="20"/>
              </w:rPr>
              <w:t>3</w:t>
            </w:r>
          </w:p>
        </w:tc>
        <w:tc>
          <w:tcPr>
            <w:tcW w:type="dxa" w:w="2340"/>
          </w:tcPr>
          <w:p>
            <w:pPr>
              <w:spacing w:line="276" w:lineRule="auto" w:before="40" w:after="40"/>
              <w:jc w:val="center"/>
            </w:pPr>
            <w:r>
              <w:rPr>
                <w:rFonts w:ascii="Times New Roman" w:hAnsi="Times New Roman"/>
                <w:sz w:val="20"/>
              </w:rPr>
              <w:t>3.1</w:t>
            </w:r>
          </w:p>
        </w:tc>
      </w:tr>
      <w:tr>
        <w:tc>
          <w:tcPr>
            <w:tcW w:type="dxa" w:w="2340"/>
          </w:tcPr>
          <w:p>
            <w:pPr>
              <w:spacing w:line="276" w:lineRule="auto" w:before="40" w:after="40"/>
            </w:pPr>
            <w:r>
              <w:rPr>
                <w:rFonts w:ascii="Times New Roman" w:hAnsi="Times New Roman"/>
                <w:sz w:val="20"/>
              </w:rPr>
              <w:t>Oversight Design</w:t>
            </w:r>
          </w:p>
        </w:tc>
        <w:tc>
          <w:tcPr>
            <w:tcW w:type="dxa" w:w="2340"/>
          </w:tcPr>
          <w:p>
            <w:pPr>
              <w:spacing w:line="276" w:lineRule="auto" w:before="40" w:after="40"/>
            </w:pPr>
            <w:r>
              <w:rPr>
                <w:rFonts w:ascii="Times New Roman" w:hAnsi="Times New Roman"/>
                <w:sz w:val="20"/>
              </w:rPr>
              <w:t>None</w:t>
            </w:r>
          </w:p>
        </w:tc>
        <w:tc>
          <w:tcPr>
            <w:tcW w:type="dxa" w:w="2340"/>
          </w:tcPr>
          <w:p>
            <w:pPr>
              <w:spacing w:line="276" w:lineRule="auto" w:before="40" w:after="40"/>
              <w:jc w:val="center"/>
            </w:pPr>
            <w:r>
              <w:rPr>
                <w:rFonts w:ascii="Times New Roman" w:hAnsi="Times New Roman"/>
                <w:sz w:val="20"/>
              </w:rPr>
              <w:t>54</w:t>
            </w:r>
          </w:p>
        </w:tc>
        <w:tc>
          <w:tcPr>
            <w:tcW w:type="dxa" w:w="2340"/>
          </w:tcPr>
          <w:p>
            <w:pPr>
              <w:spacing w:line="276" w:lineRule="auto" w:before="40" w:after="40"/>
              <w:jc w:val="center"/>
            </w:pPr>
            <w:r>
              <w:rPr>
                <w:rFonts w:ascii="Times New Roman" w:hAnsi="Times New Roman"/>
                <w:sz w:val="20"/>
              </w:rPr>
              <w:t>55.7</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Discussed</w:t>
            </w:r>
          </w:p>
        </w:tc>
        <w:tc>
          <w:tcPr>
            <w:tcW w:type="dxa" w:w="2340"/>
          </w:tcPr>
          <w:p>
            <w:pPr>
              <w:spacing w:line="276" w:lineRule="auto" w:before="40" w:after="40"/>
              <w:jc w:val="center"/>
            </w:pPr>
            <w:r>
              <w:rPr>
                <w:rFonts w:ascii="Times New Roman" w:hAnsi="Times New Roman"/>
                <w:sz w:val="20"/>
              </w:rPr>
              <w:t>42</w:t>
            </w:r>
          </w:p>
        </w:tc>
        <w:tc>
          <w:tcPr>
            <w:tcW w:type="dxa" w:w="2340"/>
          </w:tcPr>
          <w:p>
            <w:pPr>
              <w:spacing w:line="276" w:lineRule="auto" w:before="40" w:after="40"/>
              <w:jc w:val="center"/>
            </w:pPr>
            <w:r>
              <w:rPr>
                <w:rFonts w:ascii="Times New Roman" w:hAnsi="Times New Roman"/>
                <w:sz w:val="20"/>
              </w:rPr>
              <w:t>43.3</w:t>
            </w:r>
          </w:p>
        </w:tc>
      </w:tr>
      <w:tr>
        <w:tc>
          <w:tcPr>
            <w:tcW w:type="dxa" w:w="2340"/>
          </w:tcPr>
          <w:p>
            <w:pPr>
              <w:spacing w:line="276" w:lineRule="auto" w:before="40" w:after="40"/>
            </w:pPr>
            <w:r>
              <w:rPr>
                <w:rFonts w:ascii="Times New Roman" w:hAnsi="Times New Roman"/>
                <w:sz w:val="20"/>
              </w:rPr>
            </w:r>
          </w:p>
        </w:tc>
        <w:tc>
          <w:tcPr>
            <w:tcW w:type="dxa" w:w="2340"/>
          </w:tcPr>
          <w:p>
            <w:pPr>
              <w:spacing w:line="276" w:lineRule="auto" w:before="40" w:after="40"/>
            </w:pPr>
            <w:r>
              <w:rPr>
                <w:rFonts w:ascii="Times New Roman" w:hAnsi="Times New Roman"/>
                <w:sz w:val="20"/>
              </w:rPr>
              <w:t>Monitoring system</w:t>
            </w:r>
          </w:p>
        </w:tc>
        <w:tc>
          <w:tcPr>
            <w:tcW w:type="dxa" w:w="2340"/>
          </w:tcPr>
          <w:p>
            <w:pPr>
              <w:spacing w:line="276" w:lineRule="auto" w:before="40" w:after="40"/>
              <w:jc w:val="center"/>
            </w:pPr>
            <w:r>
              <w:rPr>
                <w:rFonts w:ascii="Times New Roman" w:hAnsi="Times New Roman"/>
                <w:sz w:val="20"/>
              </w:rPr>
              <w:t>1</w:t>
            </w:r>
          </w:p>
        </w:tc>
        <w:tc>
          <w:tcPr>
            <w:tcW w:type="dxa" w:w="2340"/>
          </w:tcPr>
          <w:p>
            <w:pPr>
              <w:spacing w:line="276" w:lineRule="auto" w:before="40" w:after="40"/>
              <w:jc w:val="center"/>
            </w:pPr>
            <w:r>
              <w:rPr>
                <w:rFonts w:ascii="Times New Roman" w:hAnsi="Times New Roman"/>
                <w:sz w:val="20"/>
              </w:rPr>
              <w:t>1.0</w:t>
            </w:r>
          </w:p>
        </w:tc>
      </w:tr>
    </w:tbl>
    <w:p>
      <w:pPr>
        <w:spacing w:line="480" w:lineRule="auto"/>
      </w:pPr>
      <w:r>
        <w:rPr>
          <w:rFonts w:ascii="Times New Roman" w:hAnsi="Times New Roman"/>
          <w:i/>
          <w:sz w:val="20"/>
        </w:rPr>
        <w:t xml:space="preserve">Note. </w:t>
      </w:r>
      <w:r>
        <w:rPr>
          <w:rFonts w:ascii="Times New Roman" w:hAnsi="Times New Roman"/>
          <w:sz w:val="20"/>
        </w:rPr>
        <w:t>Some papers employed multiple frameworks; framework categories are not mutually exclusive. Percentages may not sum to 100% due to rounding or overlapping categories.</w:t>
      </w:r>
    </w:p>
    <w:p>
      <w:r>
        <w:br w:type="page"/>
      </w:r>
    </w:p>
    <w:p>
      <w:pPr>
        <w:spacing w:before="240" w:after="240" w:line="480" w:lineRule="auto"/>
        <w:jc w:val="center"/>
      </w:pPr>
      <w:r>
        <w:rPr>
          <w:rFonts w:ascii="Times New Roman" w:hAnsi="Times New Roman"/>
          <w:b/>
          <w:sz w:val="24"/>
        </w:rPr>
        <w:t>References</w:t>
      </w:r>
    </w:p>
    <w:p>
      <w:pPr>
        <w:spacing w:line="480" w:lineRule="auto"/>
        <w:ind w:hanging="720" w:left="720"/>
      </w:pPr>
      <w:r>
        <w:rPr>
          <w:rFonts w:ascii="Times New Roman" w:hAnsi="Times New Roman"/>
          <w:sz w:val="24"/>
        </w:rPr>
        <w:t>Al-Adwan, A. S., Li, N., Al-Adwan, A., Abbasi, G. A., Albelbisi, N. A., &amp; Habibi, A. (2023). Extending the technology acceptance model (TAM) to predict university students' intentions to use metaverse-based learning platforms. Education and Information Technologies, 28(9), 11823--11850. https://doi.org/10.1007/s10639-023-11816-3</w:t>
      </w:r>
    </w:p>
    <w:p>
      <w:pPr>
        <w:spacing w:line="480" w:lineRule="auto"/>
        <w:ind w:hanging="720" w:left="720"/>
      </w:pPr>
      <w:r>
        <w:rPr>
          <w:rFonts w:ascii="Times New Roman" w:hAnsi="Times New Roman"/>
          <w:sz w:val="24"/>
        </w:rPr>
        <w:t>Amershi, S., Weld, D., Vorvoreanu, M., Fourney, A., Nushi, B., Collisson, P., Suh, J., Iqbal, S., Bennett, P. N., Inkpen, K., Teevan, J., Kiber, R., &amp; Horvitz, E. (2019). Guidelines for human-AI interaction. Proceedings of the 2019 CHI Conference on Human Factors in Computing Systems, 1--13. https://doi.org/10.1145/3290605.3300233</w:t>
      </w:r>
    </w:p>
    <w:p>
      <w:pPr>
        <w:spacing w:line="480" w:lineRule="auto"/>
        <w:ind w:hanging="720" w:left="720"/>
      </w:pPr>
      <w:r>
        <w:rPr>
          <w:rFonts w:ascii="Times New Roman" w:hAnsi="Times New Roman"/>
          <w:sz w:val="24"/>
        </w:rPr>
        <w:t>Anderson, T., &amp; Shattuck, J. (2012). Design-based research: A decade of progress in education research? Educational Researcher, 41(1), 16--25. https://doi.org/10.3102/0013189X11428813</w:t>
      </w:r>
    </w:p>
    <w:p>
      <w:pPr>
        <w:spacing w:line="480" w:lineRule="auto"/>
        <w:ind w:hanging="720" w:left="720"/>
      </w:pPr>
      <w:r>
        <w:rPr>
          <w:rFonts w:ascii="Times New Roman" w:hAnsi="Times New Roman"/>
          <w:sz w:val="24"/>
        </w:rPr>
        <w:t>Arrieta, A. B., Diaz-Rodriguez, N., Del Ser, J., Bennetot, A., Tabik, S., Barbado, A., Garcia, S., Gil-Lopez, S., Molina, D., Benjamins, R., Chatila, R., &amp; Herrera, F. (2020). Explainable artificial intelligence (XAI): Concepts, taxonomies, opportunities and challenges toward responsible AI. Information Fusion, 58, 82--115. https://doi.org/10.1016/j.inffus.2019.12.012</w:t>
      </w:r>
    </w:p>
    <w:p>
      <w:pPr>
        <w:spacing w:line="480" w:lineRule="auto"/>
        <w:ind w:hanging="720" w:left="720"/>
      </w:pPr>
      <w:r>
        <w:rPr>
          <w:rFonts w:ascii="Times New Roman" w:hAnsi="Times New Roman"/>
          <w:sz w:val="24"/>
        </w:rPr>
        <w:t>Azevedo, R., &amp; Cromley, J. G. (2004). Does training on self-regulated learning facilitate students' learning with hypermedia? Journal of Educational Psychology, 96(3), 523--535. https://doi.org/10.1037/0022-0663.96.3.523</w:t>
      </w:r>
    </w:p>
    <w:p>
      <w:pPr>
        <w:spacing w:line="480" w:lineRule="auto"/>
        <w:ind w:hanging="720" w:left="720"/>
      </w:pPr>
      <w:r>
        <w:rPr>
          <w:rFonts w:ascii="Times New Roman" w:hAnsi="Times New Roman"/>
          <w:sz w:val="24"/>
        </w:rPr>
        <w:t>Baidoo-Anu, D., &amp; Ansah, L. O. (2023). Education in the era of generative artificial intelligence (AI): Understanding the potential benefits of ChatGPT in promoting teaching and learning. Journal of AI, 7(1), 52--62. https://doi.org/10.61969/jai.1337500</w:t>
      </w:r>
    </w:p>
    <w:p>
      <w:pPr>
        <w:spacing w:line="480" w:lineRule="auto"/>
        <w:ind w:hanging="720" w:left="720"/>
      </w:pPr>
      <w:r>
        <w:rPr>
          <w:rFonts w:ascii="Times New Roman" w:hAnsi="Times New Roman"/>
          <w:sz w:val="24"/>
        </w:rPr>
        <w:t>Bandura, A. (1997). Self-efficacy: The exercise of control. W. H. Freeman.</w:t>
      </w:r>
    </w:p>
    <w:p>
      <w:pPr>
        <w:spacing w:line="480" w:lineRule="auto"/>
        <w:ind w:hanging="720" w:left="720"/>
      </w:pPr>
      <w:r>
        <w:rPr>
          <w:rFonts w:ascii="Times New Roman" w:hAnsi="Times New Roman"/>
          <w:sz w:val="24"/>
        </w:rPr>
        <w:t>Bannert, M., Reimann, P., &amp; Sonnenberg, C. (2009). Process mining techniques for analysing patterns and strategies in students' self-regulated learning. Metacognition and Learning, 4(2), 131--161. https://doi.org/10.1007/s11409-009-9040-2</w:t>
      </w:r>
    </w:p>
    <w:p>
      <w:pPr>
        <w:spacing w:line="480" w:lineRule="auto"/>
        <w:ind w:hanging="720" w:left="720"/>
      </w:pPr>
      <w:r>
        <w:rPr>
          <w:rFonts w:ascii="Times New Roman" w:hAnsi="Times New Roman"/>
          <w:sz w:val="24"/>
        </w:rPr>
        <w:t>Bannert, M., Sonnenberg, C., Mengelkamp, C., &amp; Pieger, E. (2015). Short- and long-term effects of students' self-directed metacognitive prompts on mathematical problem-solving. Computers in Human Behavior, 52, 293--306. https://doi.org/10.1016/j.chb.2015.05.038</w:t>
      </w:r>
    </w:p>
    <w:p>
      <w:pPr>
        <w:spacing w:line="480" w:lineRule="auto"/>
        <w:ind w:hanging="720" w:left="720"/>
      </w:pPr>
      <w:r>
        <w:rPr>
          <w:rFonts w:ascii="Times New Roman" w:hAnsi="Times New Roman"/>
          <w:sz w:val="24"/>
        </w:rPr>
        <w:t>Bastani, H., Bastani, O., Sungu, A., Ge, H., Kabakcı, O., &amp; Mariman, R. (2025). Generative AI can harm learning. Proceedings of the National Academy of Sciences, 122(2), e2412617122. https://doi.org/10.1073/pnas.2412617122</w:t>
      </w:r>
    </w:p>
    <w:p>
      <w:pPr>
        <w:spacing w:line="480" w:lineRule="auto"/>
        <w:ind w:hanging="720" w:left="720"/>
      </w:pPr>
      <w:r>
        <w:rPr>
          <w:rFonts w:ascii="Times New Roman" w:hAnsi="Times New Roman"/>
          <w:sz w:val="24"/>
        </w:rPr>
        <w:t>Belland, B. R. (2014). Scaffolding: Definition, current debates, and future directions. In J. M. Spector, M. D. Merrill, J. Elen, &amp; M. J. Bishop (Eds.), Handbook of research on educational communications and technology (4th ed., pp. 505--518). Springer. https://doi.org/10.1007/978-1-4614-3185-5_39</w:t>
      </w:r>
    </w:p>
    <w:p>
      <w:pPr>
        <w:spacing w:line="480" w:lineRule="auto"/>
        <w:ind w:hanging="720" w:left="720"/>
      </w:pPr>
      <w:r>
        <w:rPr>
          <w:rFonts w:ascii="Times New Roman" w:hAnsi="Times New Roman"/>
          <w:sz w:val="24"/>
        </w:rPr>
        <w:t>Bjork, R. A., &amp; Bjork, E. L. (2011). Making things hard on yourself, but in a good way: Creating desirable difficulties to enhance learning. In M. A. Gernsbacher, R. W. Pew, L. M. Hough, &amp; J. R. Pomerantz (Eds.), Psychology and the real world: Essays illustrating fundamental contributions to society (pp. 56--64). Worth Publishers.</w:t>
      </w:r>
    </w:p>
    <w:p>
      <w:pPr>
        <w:spacing w:line="480" w:lineRule="auto"/>
        <w:ind w:hanging="720" w:left="720"/>
      </w:pPr>
      <w:r>
        <w:rPr>
          <w:rFonts w:ascii="Times New Roman" w:hAnsi="Times New Roman"/>
          <w:sz w:val="24"/>
        </w:rPr>
        <w:t>Black, P., &amp; Wiliam, D. (1998). Assessment and classroom learning. Assessment in Education: Principles, Policy &amp; Practice, 5(1), 7--74. https://doi.org/10.1080/0969595980050102</w:t>
      </w:r>
    </w:p>
    <w:p>
      <w:pPr>
        <w:spacing w:line="480" w:lineRule="auto"/>
        <w:ind w:hanging="720" w:left="720"/>
      </w:pPr>
      <w:r>
        <w:rPr>
          <w:rFonts w:ascii="Times New Roman" w:hAnsi="Times New Roman"/>
          <w:sz w:val="24"/>
        </w:rPr>
        <w:t>Chen, X., Zou, D., Xie, H., Cheng, G., &amp; Liu, C. (2022). Two decades of artificial intelligence in education: Contributors, collaborations, research topics, challenges, and future directions. Educational Technology &amp; Society, 25(1), 28--47.</w:t>
      </w:r>
    </w:p>
    <w:p>
      <w:pPr>
        <w:spacing w:line="480" w:lineRule="auto"/>
        <w:ind w:hanging="720" w:left="720"/>
      </w:pPr>
      <w:r>
        <w:rPr>
          <w:rFonts w:ascii="Times New Roman" w:hAnsi="Times New Roman"/>
          <w:sz w:val="24"/>
        </w:rPr>
        <w:t>Cotton, D. R. E., Cotton, P. A., &amp; Shipway, J. R. (2024). Chatting and cheating: Ensuring academic integrity in the era of ChatGPT. Innovations in Education and Teaching International, 61(2), 228--239. https://doi.org/10.1080/14703297.2023.2190148</w:t>
      </w:r>
    </w:p>
    <w:p>
      <w:pPr>
        <w:spacing w:line="480" w:lineRule="auto"/>
        <w:ind w:hanging="720" w:left="720"/>
      </w:pPr>
      <w:r>
        <w:rPr>
          <w:rFonts w:ascii="Times New Roman" w:hAnsi="Times New Roman"/>
          <w:sz w:val="24"/>
        </w:rPr>
        <w:t>Darvishi, A., Khosravi, H., Sadiq, S., Gasevic, D., &amp; Siemens, G. (2024). Impact of AI assistance on student agency. Computers &amp; Education, 210, 104967. https://doi.org/10.1016/j.compedu.2023.104967</w:t>
      </w:r>
    </w:p>
    <w:p>
      <w:pPr>
        <w:spacing w:line="480" w:lineRule="auto"/>
        <w:ind w:hanging="720" w:left="720"/>
      </w:pPr>
      <w:r>
        <w:rPr>
          <w:rFonts w:ascii="Times New Roman" w:hAnsi="Times New Roman"/>
          <w:sz w:val="24"/>
        </w:rPr>
        <w:t>Davis, F. D. (1989). Perceived usefulness, perceived ease of use, and user acceptance of information technology. MIS Quarterly, 13(3), 319--340. https://doi.org/10.2307/249008</w:t>
      </w:r>
    </w:p>
    <w:p>
      <w:pPr>
        <w:spacing w:line="480" w:lineRule="auto"/>
        <w:ind w:hanging="720" w:left="720"/>
      </w:pPr>
      <w:r>
        <w:rPr>
          <w:rFonts w:ascii="Times New Roman" w:hAnsi="Times New Roman"/>
          <w:sz w:val="24"/>
        </w:rPr>
        <w:t>de Visser, E. J., Peeters, M. M. M., Jung, M. F., Kohn, S., Shaw, T. H., Pak, R., &amp; Neerincx, M. A. (2020). Towards a theory of longitudinal trust calibration in human--robot teams. International Journal of Social Robotics, 12(2), 459--478. https://doi.org/10.1007/s12369-019-00596-x</w:t>
      </w:r>
    </w:p>
    <w:p>
      <w:pPr>
        <w:spacing w:line="480" w:lineRule="auto"/>
        <w:ind w:hanging="720" w:left="720"/>
      </w:pPr>
      <w:r>
        <w:rPr>
          <w:rFonts w:ascii="Times New Roman" w:hAnsi="Times New Roman"/>
          <w:sz w:val="24"/>
        </w:rPr>
        <w:t>Dunlosky, J., &amp; Rawson, K. A. (2012). Overconfidence produces underachievement: Inaccurate self evaluations undermine students' learning and retention of material. Learning and Instruction, 22(4), 271--280. https://doi.org/10.1016/j.learninstruc.2011.08.003</w:t>
      </w:r>
    </w:p>
    <w:p>
      <w:pPr>
        <w:spacing w:line="480" w:lineRule="auto"/>
        <w:ind w:hanging="720" w:left="720"/>
      </w:pPr>
      <w:r>
        <w:rPr>
          <w:rFonts w:ascii="Times New Roman" w:hAnsi="Times New Roman"/>
          <w:sz w:val="24"/>
        </w:rPr>
        <w:t>Dzindolet, M. T., Peterson, S. A., Pomranky, R. A., Pierce, L. G., &amp; Beck, H. P. (2003). The role of trust in automation reliance. International Journal of Human-Computer Studies, 58(6), 697--718. https://doi.org/10.1016/S1071-5819(03)00038-7</w:t>
      </w:r>
    </w:p>
    <w:p>
      <w:pPr>
        <w:spacing w:line="480" w:lineRule="auto"/>
        <w:ind w:hanging="720" w:left="720"/>
      </w:pPr>
      <w:r>
        <w:rPr>
          <w:rFonts w:ascii="Times New Roman" w:hAnsi="Times New Roman"/>
          <w:sz w:val="24"/>
        </w:rPr>
        <w:t>Flavell, J. H. (1979). Metacognition and cognitive monitoring: A new area of cognitive-developmental inquiry. American Psychologist, 34(10), 906--911. https://doi.org/10.1037/0003-066X.34.10.906</w:t>
      </w:r>
    </w:p>
    <w:p>
      <w:pPr>
        <w:spacing w:line="480" w:lineRule="auto"/>
        <w:ind w:hanging="720" w:left="720"/>
      </w:pPr>
      <w:r>
        <w:rPr>
          <w:rFonts w:ascii="Times New Roman" w:hAnsi="Times New Roman"/>
          <w:sz w:val="24"/>
        </w:rPr>
        <w:t>Grant, M. J., &amp; Booth, A. (2009). A typology of reviews: An analysis of 14 review types and associated methodologies. Health Information &amp; Libraries Journal, 26(2), 91--108. https://doi.org/10.1111/j.1471-1842.2009.00848.x</w:t>
      </w:r>
    </w:p>
    <w:p>
      <w:pPr>
        <w:spacing w:line="480" w:lineRule="auto"/>
        <w:ind w:hanging="720" w:left="720"/>
      </w:pPr>
      <w:r>
        <w:rPr>
          <w:rFonts w:ascii="Times New Roman" w:hAnsi="Times New Roman"/>
          <w:sz w:val="24"/>
        </w:rPr>
        <w:t>Gunning, D., Stefik, M., Choi, J., Miller, T., Stumpf, S., &amp; Yang, G.-Z. (2019). XAI — Explainable artificial intelligence. Science Robotics, 4(37), eaay7120. https://doi.org/10.1126/scirobotics.aay7120</w:t>
      </w:r>
    </w:p>
    <w:p>
      <w:pPr>
        <w:spacing w:line="480" w:lineRule="auto"/>
        <w:ind w:hanging="720" w:left="720"/>
      </w:pPr>
      <w:r>
        <w:rPr>
          <w:rFonts w:ascii="Times New Roman" w:hAnsi="Times New Roman"/>
          <w:sz w:val="24"/>
        </w:rPr>
        <w:t>Guo, L., Wang, W., Liao, J., &amp; Cheng, S. (2022). Effects of metacognitive prompts on self-regulated learning: A meta-analysis. Frontiers in Psychology, 13, 1001498. https://doi.org/10.3389/fpsyg.2022.1001498</w:t>
      </w:r>
    </w:p>
    <w:p>
      <w:pPr>
        <w:spacing w:line="480" w:lineRule="auto"/>
        <w:ind w:hanging="720" w:left="720"/>
      </w:pPr>
      <w:r>
        <w:rPr>
          <w:rFonts w:ascii="Times New Roman" w:hAnsi="Times New Roman"/>
          <w:sz w:val="24"/>
        </w:rPr>
        <w:t>Hancock, P. A., Billings, D. R., Schaefer, K. E., Chen, J. Y. C., de Visser, E. J., &amp; Parasuraman, R. (2011). A meta-analysis of factors affecting trust in human-robot interaction. Human Factors, 53(5), 517--527. https://doi.org/10.1177/0018720811417254</w:t>
      </w:r>
    </w:p>
    <w:p>
      <w:pPr>
        <w:spacing w:line="480" w:lineRule="auto"/>
        <w:ind w:hanging="720" w:left="720"/>
      </w:pPr>
      <w:r>
        <w:rPr>
          <w:rFonts w:ascii="Times New Roman" w:hAnsi="Times New Roman"/>
          <w:sz w:val="24"/>
        </w:rPr>
        <w:t>Hannafin, M., Land, S., &amp; Oliver, K. (1999). Open learning environments: Foundations, methods, and models. In C. M. Reigeluth (Ed.), Instructional-design theories and models: A new paradigm of instructional theory (Vol. 2, pp. 115--140). Lawrence Erlbaum.</w:t>
      </w:r>
    </w:p>
    <w:p>
      <w:pPr>
        <w:spacing w:line="480" w:lineRule="auto"/>
        <w:ind w:hanging="720" w:left="720"/>
      </w:pPr>
      <w:r>
        <w:rPr>
          <w:rFonts w:ascii="Times New Roman" w:hAnsi="Times New Roman"/>
          <w:sz w:val="24"/>
        </w:rPr>
        <w:t>Hattie, J. (2009). Visible learning: A synthesis of over 800 meta-analyses relating to achievement. Routledge.</w:t>
      </w:r>
    </w:p>
    <w:p>
      <w:pPr>
        <w:spacing w:line="480" w:lineRule="auto"/>
        <w:ind w:hanging="720" w:left="720"/>
      </w:pPr>
      <w:r>
        <w:rPr>
          <w:rFonts w:ascii="Times New Roman" w:hAnsi="Times New Roman"/>
          <w:sz w:val="24"/>
        </w:rPr>
        <w:t>Hoff, K. A., &amp; Bashir, M. (2015). Trust in automation: Integrating empirical evidence on factors that influence trust. Human Factors, 57(3), 407--434. https://doi.org/10.1177/0018720814547570</w:t>
      </w:r>
    </w:p>
    <w:p>
      <w:pPr>
        <w:spacing w:line="480" w:lineRule="auto"/>
        <w:ind w:hanging="720" w:left="720"/>
      </w:pPr>
      <w:r>
        <w:rPr>
          <w:rFonts w:ascii="Times New Roman" w:hAnsi="Times New Roman"/>
          <w:sz w:val="24"/>
        </w:rPr>
        <w:t>Hofstede, G. (2001). Culture's consequences: Comparing values, behaviors, institutions, and organizations across nations (2nd ed.). Sage.</w:t>
      </w:r>
    </w:p>
    <w:p>
      <w:pPr>
        <w:spacing w:line="480" w:lineRule="auto"/>
        <w:ind w:hanging="720" w:left="720"/>
      </w:pPr>
      <w:r>
        <w:rPr>
          <w:rFonts w:ascii="Times New Roman" w:hAnsi="Times New Roman"/>
          <w:sz w:val="24"/>
        </w:rPr>
        <w:t>Holmes, W., Bialik, M., &amp; Fadel, C. (2019). Artificial intelligence in education: Promises and implications for teaching and learning. Center for Curriculum Redesign.</w:t>
      </w:r>
    </w:p>
    <w:p>
      <w:pPr>
        <w:spacing w:line="480" w:lineRule="auto"/>
        <w:ind w:hanging="720" w:left="720"/>
      </w:pPr>
      <w:r>
        <w:rPr>
          <w:rFonts w:ascii="Times New Roman" w:hAnsi="Times New Roman"/>
          <w:sz w:val="24"/>
        </w:rPr>
        <w:t>Jian, J.-Y., Bisantz, A. M., &amp; Drury, C. G. (2000). Foundations for an empirically determined scale of trust in automated systems. International Journal of Cognitive Ergonomics, 4(1), 53--71. https://doi.org/10.1207/S15327566IJCE0401_04</w:t>
      </w:r>
    </w:p>
    <w:p>
      <w:pPr>
        <w:spacing w:line="480" w:lineRule="auto"/>
        <w:ind w:hanging="720" w:left="720"/>
      </w:pPr>
      <w:r>
        <w:rPr>
          <w:rFonts w:ascii="Times New Roman" w:hAnsi="Times New Roman"/>
          <w:sz w:val="24"/>
        </w:rPr>
        <w:t>Kapur, M. (2008). Productive failure. Cognition and Instruction, 26(3), 379--424. https://doi.org/10.1080/07370000802212669</w:t>
      </w:r>
    </w:p>
    <w:p>
      <w:pPr>
        <w:spacing w:line="480" w:lineRule="auto"/>
        <w:ind w:hanging="720" w:left="720"/>
      </w:pPr>
      <w:r>
        <w:rPr>
          <w:rFonts w:ascii="Times New Roman" w:hAnsi="Times New Roman"/>
          <w:sz w:val="24"/>
        </w:rPr>
        <w:t>Kapur, M. (2016). Examining productive failure, productive success, and constructive failure as a framework for reconceptualizing how failure can be productive. Instructional Science, 44(4), 321--338. https://doi.org/10.1007/s11251-016-9379-0</w:t>
      </w:r>
    </w:p>
    <w:p>
      <w:pPr>
        <w:spacing w:line="480" w:lineRule="auto"/>
        <w:ind w:hanging="720" w:left="720"/>
      </w:pPr>
      <w:r>
        <w:rPr>
          <w:rFonts w:ascii="Times New Roman" w:hAnsi="Times New Roman"/>
          <w:sz w:val="24"/>
        </w:rPr>
        <w:t>Kasneci, E., Sessler, K., Kuchemann, S., Bannert, M., Dementieva, D., Fischer, F., Gasser, U., Groh, G., Gunnemann, S., Hullermeier, E., Kruber, S., Kuber, G., Sachs, S., Seidel, T., Stadler, M., Wachter, B., Weidlich, J., &amp; Kasneci, G. (2023). ChatGPT for good? On opportunities and challenges of large language models for education. Learning and Individual Differences, 103, 102274. https://doi.org/10.1016/j.lindif.2023.102274</w:t>
      </w:r>
    </w:p>
    <w:p>
      <w:pPr>
        <w:spacing w:line="480" w:lineRule="auto"/>
        <w:ind w:hanging="720" w:left="720"/>
      </w:pPr>
      <w:r>
        <w:rPr>
          <w:rFonts w:ascii="Times New Roman" w:hAnsi="Times New Roman"/>
          <w:sz w:val="24"/>
        </w:rPr>
        <w:t>Lee, J. D., &amp; See, K. A. (2004). Trust in automation: Designing for appropriate reliance. Human Factors, 46(1), 50--80. https://doi.org/10.1518/hfes.46.1.50.30392</w:t>
      </w:r>
    </w:p>
    <w:p>
      <w:pPr>
        <w:spacing w:line="480" w:lineRule="auto"/>
        <w:ind w:hanging="720" w:left="720"/>
      </w:pPr>
      <w:r>
        <w:rPr>
          <w:rFonts w:ascii="Times New Roman" w:hAnsi="Times New Roman"/>
          <w:sz w:val="24"/>
        </w:rPr>
        <w:t>Li, X., Hess, T. J., &amp; Valacich, J. S. (2008). Why do we trust new technology? A study of initial trust formation with organizational information systems. The Journal of Strategic Information Systems, 17(1), 39--71. https://doi.org/10.1016/j.jsis.2008.01.001</w:t>
      </w:r>
    </w:p>
    <w:p>
      <w:pPr>
        <w:spacing w:line="480" w:lineRule="auto"/>
        <w:ind w:hanging="720" w:left="720"/>
      </w:pPr>
      <w:r>
        <w:rPr>
          <w:rFonts w:ascii="Times New Roman" w:hAnsi="Times New Roman"/>
          <w:sz w:val="24"/>
        </w:rPr>
        <w:t>Lo, C. K. (2023). What is the impact of ChatGPT on education? A rapid review of the literature. Education Sciences, 13(4), 410. https://doi.org/10.3390/educsci13040410</w:t>
      </w:r>
    </w:p>
    <w:p>
      <w:pPr>
        <w:spacing w:line="480" w:lineRule="auto"/>
        <w:ind w:hanging="720" w:left="720"/>
      </w:pPr>
      <w:r>
        <w:rPr>
          <w:rFonts w:ascii="Times New Roman" w:hAnsi="Times New Roman"/>
          <w:sz w:val="24"/>
        </w:rPr>
        <w:t>Loibl, K., Roll, I., &amp; Rummel, N. (2017). Towards a theory of when and how problem solving followed by instruction works: A meta-analysis. Educational Psychology Review, 29(4), 693--715. https://doi.org/10.1007/s10648-016-9379-x</w:t>
      </w:r>
    </w:p>
    <w:p>
      <w:pPr>
        <w:spacing w:line="480" w:lineRule="auto"/>
        <w:ind w:hanging="720" w:left="720"/>
      </w:pPr>
      <w:r>
        <w:rPr>
          <w:rFonts w:ascii="Times New Roman" w:hAnsi="Times New Roman"/>
          <w:sz w:val="24"/>
        </w:rPr>
        <w:t>Logg, J. M., Minson, J. A., &amp; Moore, D. A. (2019). Algorithm appreciation: People prefer algorithmic to human judgment. Organizational Behavior and Human Decision Processes, 151, 90--103. https://doi.org/10.1016/j.obhdp.2018.12.005</w:t>
      </w:r>
    </w:p>
    <w:p>
      <w:pPr>
        <w:spacing w:line="480" w:lineRule="auto"/>
        <w:ind w:hanging="720" w:left="720"/>
      </w:pPr>
      <w:r>
        <w:rPr>
          <w:rFonts w:ascii="Times New Roman" w:hAnsi="Times New Roman"/>
          <w:sz w:val="24"/>
        </w:rPr>
        <w:t>Long, D., &amp; Magerko, B. (2020). What is AI literacy? Competencies and design considerations. Proceedings of the 2020 CHI Conference on Human Factors in Computing Systems, 1--16. https://doi.org/10.1145/3313831.3376727</w:t>
      </w:r>
    </w:p>
    <w:p>
      <w:pPr>
        <w:spacing w:line="480" w:lineRule="auto"/>
        <w:ind w:hanging="720" w:left="720"/>
      </w:pPr>
      <w:r>
        <w:rPr>
          <w:rFonts w:ascii="Times New Roman" w:hAnsi="Times New Roman"/>
          <w:sz w:val="24"/>
        </w:rPr>
        <w:t>Mayer, R. C., Davis, J. H., &amp; Schoorman, F. D. (1995). An integrative model of organizational trust. Academy of Management Review, 20(3), 709--734. https://doi.org/10.5465/amr.1995.9508080335</w:t>
      </w:r>
    </w:p>
    <w:p>
      <w:pPr>
        <w:spacing w:line="480" w:lineRule="auto"/>
        <w:ind w:hanging="720" w:left="720"/>
      </w:pPr>
      <w:r>
        <w:rPr>
          <w:rFonts w:ascii="Times New Roman" w:hAnsi="Times New Roman"/>
          <w:sz w:val="24"/>
        </w:rPr>
        <w:t>McKenney, S., &amp; Reeves, T. C. (2019). Conducting educational design research (2nd ed.). Routledge. https://doi.org/10.4324/9781315105642</w:t>
      </w:r>
    </w:p>
    <w:p>
      <w:pPr>
        <w:spacing w:line="480" w:lineRule="auto"/>
        <w:ind w:hanging="720" w:left="720"/>
      </w:pPr>
      <w:r>
        <w:rPr>
          <w:rFonts w:ascii="Times New Roman" w:hAnsi="Times New Roman"/>
          <w:sz w:val="24"/>
        </w:rPr>
        <w:t>Mollick, E. R., &amp; Mollick, L. (2023). Using AI to implement effective teaching strategies in classrooms: Five strategies, including prompts. The Wharton School Research Paper. https://doi.org/10.2139/ssrn.4391243</w:t>
      </w:r>
    </w:p>
    <w:p>
      <w:pPr>
        <w:spacing w:line="480" w:lineRule="auto"/>
        <w:ind w:hanging="720" w:left="720"/>
      </w:pPr>
      <w:r>
        <w:rPr>
          <w:rFonts w:ascii="Times New Roman" w:hAnsi="Times New Roman"/>
          <w:sz w:val="24"/>
        </w:rPr>
        <w:t>Ng, D. T. K., Leung, J. K. L., Chu, S. K. W., &amp; Qiao, M. S. (2021). Conceptualizing AI literacy: An exploratory review. Computers and Education: Artificial Intelligence, 2, 100041. https://doi.org/10.1016/j.caeai.2021.100041</w:t>
      </w:r>
    </w:p>
    <w:p>
      <w:pPr>
        <w:spacing w:line="480" w:lineRule="auto"/>
        <w:ind w:hanging="720" w:left="720"/>
      </w:pPr>
      <w:r>
        <w:rPr>
          <w:rFonts w:ascii="Times New Roman" w:hAnsi="Times New Roman"/>
          <w:sz w:val="24"/>
        </w:rPr>
        <w:t>Panadero, E. (2017). A review of self-regulated learning: Six models and four directions for research. Frontiers in Psychology, 8, 422. https://doi.org/10.3389/fpsyg.2017.00422</w:t>
      </w:r>
    </w:p>
    <w:p>
      <w:pPr>
        <w:spacing w:line="480" w:lineRule="auto"/>
        <w:ind w:hanging="720" w:left="720"/>
      </w:pPr>
      <w:r>
        <w:rPr>
          <w:rFonts w:ascii="Times New Roman" w:hAnsi="Times New Roman"/>
          <w:sz w:val="24"/>
        </w:rPr>
        <w:t>Parasuraman, R., &amp; Riley, V. (1997). Humans and automation: Use, misuse, disuse, abuse. Human Factors, 39(2), 230--253. https://doi.org/10.1518/001872097778543886</w:t>
      </w:r>
    </w:p>
    <w:p>
      <w:pPr>
        <w:spacing w:line="480" w:lineRule="auto"/>
        <w:ind w:hanging="720" w:left="720"/>
      </w:pPr>
      <w:r>
        <w:rPr>
          <w:rFonts w:ascii="Times New Roman" w:hAnsi="Times New Roman"/>
          <w:sz w:val="24"/>
        </w:rPr>
        <w:t>Pea, R. D. (2004). The social and technological dimensions of scaffolding and related theoretical concepts for learning, education, and human activity. The Journal of the Learning Sciences, 13(3), 423--451. https://doi.org/10.1207/s15327809jls1303_6</w:t>
      </w:r>
    </w:p>
    <w:p>
      <w:pPr>
        <w:spacing w:line="480" w:lineRule="auto"/>
        <w:ind w:hanging="720" w:left="720"/>
      </w:pPr>
      <w:r>
        <w:rPr>
          <w:rFonts w:ascii="Times New Roman" w:hAnsi="Times New Roman"/>
          <w:sz w:val="24"/>
        </w:rPr>
        <w:t>Peters, M. D. J., Marnie, C., Tricco, A. C., Pollock, D., Munn, Z., Alexander, L., McInerney, P., Godfrey, C. M., &amp; Khalil, H. (2020). Updated methodological guidance for the conduct of scoping reviews. JBI Evidence Synthesis, 18(10), 2119--2126. https://doi.org/10.11124/JBIES-20-00167</w:t>
      </w:r>
    </w:p>
    <w:p>
      <w:pPr>
        <w:spacing w:line="480" w:lineRule="auto"/>
        <w:ind w:hanging="720" w:left="720"/>
      </w:pPr>
      <w:r>
        <w:rPr>
          <w:rFonts w:ascii="Times New Roman" w:hAnsi="Times New Roman"/>
          <w:sz w:val="24"/>
        </w:rPr>
        <w:t>Pieschl, S. (2009). Metacognitive calibration — an extended conceptualization and potential applications. Metacognition and Learning, 4(1), 3--31. https://doi.org/10.1007/s11409-008-9030-4</w:t>
      </w:r>
    </w:p>
    <w:p>
      <w:pPr>
        <w:spacing w:line="480" w:lineRule="auto"/>
        <w:ind w:hanging="720" w:left="720"/>
      </w:pPr>
      <w:r>
        <w:rPr>
          <w:rFonts w:ascii="Times New Roman" w:hAnsi="Times New Roman"/>
          <w:sz w:val="24"/>
        </w:rPr>
        <w:t>Pintrich, P. R. (2000). The role of goal orientation in self-regulated learning. In M. Boekaerts, P. R. Pintrich, &amp; M. Zeidner (Eds.), Handbook of self-regulation (pp. 451--502). Academic Press. https://doi.org/10.1016/B978-012109890-2/50043-3</w:t>
      </w:r>
    </w:p>
    <w:p>
      <w:pPr>
        <w:spacing w:line="480" w:lineRule="auto"/>
        <w:ind w:hanging="720" w:left="720"/>
      </w:pPr>
      <w:r>
        <w:rPr>
          <w:rFonts w:ascii="Times New Roman" w:hAnsi="Times New Roman"/>
          <w:sz w:val="24"/>
        </w:rPr>
        <w:t>Puntambekar, S., &amp; Hubscher, R. (2005). Tools for scaffolding students in a complex learning environment: What have we gained and what have we missed? Educational Psychologist, 40(1), 1--12. https://doi.org/10.1207/s15326985ep4001_1</w:t>
      </w:r>
    </w:p>
    <w:p>
      <w:pPr>
        <w:spacing w:line="480" w:lineRule="auto"/>
        <w:ind w:hanging="720" w:left="720"/>
      </w:pPr>
      <w:r>
        <w:rPr>
          <w:rFonts w:ascii="Times New Roman" w:hAnsi="Times New Roman"/>
          <w:sz w:val="24"/>
        </w:rPr>
        <w:t>Reiser, B. J. (2004). Scaffolding complex learning: The mechanisms of structuring and problematizing student work. The Journal of the Learning Sciences, 13(3), 273--304. https://doi.org/10.1207/s15327809jls1303_2</w:t>
      </w:r>
    </w:p>
    <w:p>
      <w:pPr>
        <w:spacing w:line="480" w:lineRule="auto"/>
        <w:ind w:hanging="720" w:left="720"/>
      </w:pPr>
      <w:r>
        <w:rPr>
          <w:rFonts w:ascii="Times New Roman" w:hAnsi="Times New Roman"/>
          <w:sz w:val="24"/>
        </w:rPr>
        <w:t>Ryan, R. M., &amp; Deci, E. L. (2000). Self-determination theory and the facilitation of intrinsic motivation, social development, and well-being. American Psychologist, 55(1), 68--78. https://doi.org/10.1037/0003-066X.55.1.68</w:t>
      </w:r>
    </w:p>
    <w:p>
      <w:pPr>
        <w:spacing w:line="480" w:lineRule="auto"/>
        <w:ind w:hanging="720" w:left="720"/>
      </w:pPr>
      <w:r>
        <w:rPr>
          <w:rFonts w:ascii="Times New Roman" w:hAnsi="Times New Roman"/>
          <w:sz w:val="24"/>
        </w:rPr>
        <w:t>Ryan, R. M., &amp; Deci, E. L. (2017). Self-determination theory: Basic psychological needs in motivation, development, and wellness. Guilford Press. https://doi.org/10.1521/978.14625/28806</w:t>
      </w:r>
    </w:p>
    <w:p>
      <w:pPr>
        <w:spacing w:line="480" w:lineRule="auto"/>
        <w:ind w:hanging="720" w:left="720"/>
      </w:pPr>
      <w:r>
        <w:rPr>
          <w:rFonts w:ascii="Times New Roman" w:hAnsi="Times New Roman"/>
          <w:sz w:val="24"/>
        </w:rPr>
        <w:t>Schaefer, K. E., Chen, J. Y. C., Szalma, J. L., &amp; Hancock, P. A. (2016). A meta-analysis of factors influencing the development of trust in automation: Implications for understanding autonomy in future systems. Human Factors, 58(3), 377--400. https://doi.org/10.1177/0018720816634228</w:t>
      </w:r>
    </w:p>
    <w:p>
      <w:pPr>
        <w:spacing w:line="480" w:lineRule="auto"/>
        <w:ind w:hanging="720" w:left="720"/>
      </w:pPr>
      <w:r>
        <w:rPr>
          <w:rFonts w:ascii="Times New Roman" w:hAnsi="Times New Roman"/>
          <w:sz w:val="24"/>
        </w:rPr>
        <w:t>Schraw, G., &amp; Dennison, R. S. (1994). Assessing metacognitive awareness. Contemporary Educational Psychology, 19(4), 460--475. https://doi.org/10.1006/ceps.1994.1033</w:t>
      </w:r>
    </w:p>
    <w:p>
      <w:pPr>
        <w:spacing w:line="480" w:lineRule="auto"/>
        <w:ind w:hanging="720" w:left="720"/>
      </w:pPr>
      <w:r>
        <w:rPr>
          <w:rFonts w:ascii="Times New Roman" w:hAnsi="Times New Roman"/>
          <w:sz w:val="24"/>
        </w:rPr>
        <w:t>Shneiderman, B. (2020). Human-centered artificial intelligence: Reliable, safe &amp; trustworthy. International Journal of Human-Computer Interaction, 36(6), 495--504. https://doi.org/10.1080/10447318.2020.1741118</w:t>
      </w:r>
    </w:p>
    <w:p>
      <w:pPr>
        <w:spacing w:line="480" w:lineRule="auto"/>
        <w:ind w:hanging="720" w:left="720"/>
      </w:pPr>
      <w:r>
        <w:rPr>
          <w:rFonts w:ascii="Times New Roman" w:hAnsi="Times New Roman"/>
          <w:sz w:val="24"/>
        </w:rPr>
        <w:t>Strzelecki, A. (2023). To use or not to use ChatGPT in higher education? A study of students' acceptance and use of technology. Interactive Learning Environments, 32(10), 5142--5155. https://doi.org/10.1080/10494820.2023.2209881</w:t>
      </w:r>
    </w:p>
    <w:p>
      <w:pPr>
        <w:spacing w:line="480" w:lineRule="auto"/>
        <w:ind w:hanging="720" w:left="720"/>
      </w:pPr>
      <w:r>
        <w:rPr>
          <w:rFonts w:ascii="Times New Roman" w:hAnsi="Times New Roman"/>
          <w:sz w:val="24"/>
        </w:rPr>
        <w:t>Sweller, J. (2011). Cognitive load theory. In J. Mestre &amp; B. Ross (Eds.), The psychology of learning and motivation (Vol. 55, pp. 37--76). Academic Press. https://doi.org/10.1016/B978-0-12-387691-1.00002-8</w:t>
      </w:r>
    </w:p>
    <w:p>
      <w:pPr>
        <w:spacing w:line="480" w:lineRule="auto"/>
        <w:ind w:hanging="720" w:left="720"/>
      </w:pPr>
      <w:r>
        <w:rPr>
          <w:rFonts w:ascii="Times New Roman" w:hAnsi="Times New Roman"/>
          <w:sz w:val="24"/>
        </w:rPr>
        <w:t>UNESCO. (2023). Guidance for generative AI in education and research. UNESCO Publishing. https://doi.org/10.54675/EWZQ9535</w:t>
      </w:r>
    </w:p>
    <w:p>
      <w:pPr>
        <w:spacing w:line="480" w:lineRule="auto"/>
        <w:ind w:hanging="720" w:left="720"/>
      </w:pPr>
      <w:r>
        <w:rPr>
          <w:rFonts w:ascii="Times New Roman" w:hAnsi="Times New Roman"/>
          <w:sz w:val="24"/>
        </w:rPr>
        <w:t>Venkatesh, V., Morris, M. G., Davis, G. B., &amp; Davis, F. D. (2003). User acceptance of information technology: Toward a unified view. MIS Quarterly, 27(3), 425--478. https://doi.org/10.2307/30036540</w:t>
      </w:r>
    </w:p>
    <w:p>
      <w:pPr>
        <w:spacing w:line="480" w:lineRule="auto"/>
        <w:ind w:hanging="720" w:left="720"/>
      </w:pPr>
      <w:r>
        <w:rPr>
          <w:rFonts w:ascii="Times New Roman" w:hAnsi="Times New Roman"/>
          <w:sz w:val="24"/>
        </w:rPr>
        <w:t>Vygotsky, L. S. (1978). Mind in society: The development of higher psychological processes (M. Cole, V. John-Steiner, S. Scribner, &amp; E. Souberman, Eds.). Harvard University Press.</w:t>
      </w:r>
    </w:p>
    <w:p>
      <w:pPr>
        <w:spacing w:line="480" w:lineRule="auto"/>
        <w:ind w:hanging="720" w:left="720"/>
      </w:pPr>
      <w:r>
        <w:rPr>
          <w:rFonts w:ascii="Times New Roman" w:hAnsi="Times New Roman"/>
          <w:sz w:val="24"/>
        </w:rPr>
        <w:t>Wang, X., Li, L., Tan, S. C., Yang, L., &amp; Lei, J. (2025). Trust in AI-powered educational agents: A stimulus-organism-response perspective. [Manuscript under review].</w:t>
      </w:r>
    </w:p>
    <w:p>
      <w:pPr>
        <w:spacing w:line="480" w:lineRule="auto"/>
        <w:ind w:hanging="720" w:left="720"/>
      </w:pPr>
      <w:r>
        <w:rPr>
          <w:rFonts w:ascii="Times New Roman" w:hAnsi="Times New Roman"/>
          <w:sz w:val="24"/>
        </w:rPr>
        <w:t>Wiliam, D. (2011). Embedded formative assessment. Solution Tree Press.</w:t>
      </w:r>
    </w:p>
    <w:p>
      <w:pPr>
        <w:spacing w:line="480" w:lineRule="auto"/>
        <w:ind w:hanging="720" w:left="720"/>
      </w:pPr>
      <w:r>
        <w:rPr>
          <w:rFonts w:ascii="Times New Roman" w:hAnsi="Times New Roman"/>
          <w:sz w:val="24"/>
        </w:rPr>
        <w:t>Williams, R. (2025). Navigating the AI-enhanced learning landscape: A framework for integrating generative AI as a cognitive and metacognitive tool. Information, 16(1), 28. https://doi.org/10.3390/info16010028</w:t>
      </w:r>
    </w:p>
    <w:p>
      <w:pPr>
        <w:spacing w:line="480" w:lineRule="auto"/>
        <w:ind w:hanging="720" w:left="720"/>
      </w:pPr>
      <w:r>
        <w:rPr>
          <w:rFonts w:ascii="Times New Roman" w:hAnsi="Times New Roman"/>
          <w:sz w:val="24"/>
        </w:rPr>
        <w:t>Winne, P. H., &amp; Hadwin, A. F. (1998). Studying as self-regulated learning. In D. J. Hacker, J. Dunlosky, &amp; A. C. Graesner (Eds.), Metacognition in educational theory and practice (pp. 277--304). Lawrence Erlbaum.</w:t>
      </w:r>
    </w:p>
    <w:p>
      <w:pPr>
        <w:spacing w:line="480" w:lineRule="auto"/>
        <w:ind w:hanging="720" w:left="720"/>
      </w:pPr>
      <w:r>
        <w:rPr>
          <w:rFonts w:ascii="Times New Roman" w:hAnsi="Times New Roman"/>
          <w:sz w:val="24"/>
        </w:rPr>
        <w:t>Wood, D., Bruner, J. S., &amp; Ross, G. (1976). The role of tutoring in problem solving. Journal of Child Psychology and Psychiatry, 17(2), 89--100. https://doi.org/10.1111/j.1469-7610.1976.tb00381.x</w:t>
      </w:r>
    </w:p>
    <w:p>
      <w:pPr>
        <w:spacing w:line="480" w:lineRule="auto"/>
        <w:ind w:hanging="720" w:left="720"/>
      </w:pPr>
      <w:r>
        <w:rPr>
          <w:rFonts w:ascii="Times New Roman" w:hAnsi="Times New Roman"/>
          <w:sz w:val="24"/>
        </w:rPr>
        <w:t>Zawacki-Richter, O., Marin, V. I., Bond, M., &amp; Gouverneur, F. (2019). Systematic review of research on artificial intelligence applications in higher education -- Where are the educators? International Journal of Educational Technology in Higher Education, 16(1), 39. https://doi.org/10.1186/s41239-019-0171-0</w:t>
      </w:r>
    </w:p>
    <w:p>
      <w:pPr>
        <w:spacing w:line="480" w:lineRule="auto"/>
        <w:ind w:hanging="720" w:left="720"/>
      </w:pPr>
      <w:r>
        <w:rPr>
          <w:rFonts w:ascii="Times New Roman" w:hAnsi="Times New Roman"/>
          <w:sz w:val="24"/>
        </w:rPr>
        <w:t>Zimmerman, B. J. (2000). Attaining self-regulation: A social cognitive perspective. In M. Boekaerts, P. R. Pintrich, &amp; M. Zeidner (Eds.), Handbook of self-regulation (pp. 13--39). Academic Press. https://doi.org/10.1016/B978-012109890-2/50031-7</w:t>
      </w:r>
    </w:p>
    <w:p>
      <w:pPr>
        <w:spacing w:line="480" w:lineRule="auto"/>
        <w:ind w:hanging="720" w:left="720"/>
      </w:pPr>
      <w:r>
        <w:rPr>
          <w:rFonts w:ascii="Times New Roman" w:hAnsi="Times New Roman"/>
          <w:sz w:val="24"/>
        </w:rPr>
        <w:t>Zimmerman, B. J. (2002). Becoming a self-regulated learner: An overview. Theory Into Practice, 41(2), 64--70. https://doi.org/10.1207/s15430421tip4102_2</w:t>
      </w:r>
    </w:p>
    <w:p>
      <w:pPr>
        <w:spacing w:line="480" w:lineRule="auto"/>
        <w:ind w:hanging="720" w:left="720"/>
      </w:pPr>
      <w:r>
        <w:rPr>
          <w:rFonts w:ascii="Times New Roman" w:hAnsi="Times New Roman"/>
          <w:sz w:val="24"/>
        </w:rPr>
        <w:t>Chi, M. T. H., Siler, S. A., Jeong, H., Yamauchi, T., &amp; Hausmann, R. G. (2001). Learning from human tutoring. Cognitive Science, 25(4), 471--533. https://doi.org/10.1207/s15516709cog2504_1</w:t>
      </w:r>
    </w:p>
    <w:p>
      <w:pPr>
        <w:spacing w:line="480" w:lineRule="auto"/>
        <w:ind w:hanging="720" w:left="720"/>
      </w:pPr>
      <w:r>
        <w:rPr>
          <w:rFonts w:ascii="Times New Roman" w:hAnsi="Times New Roman"/>
          <w:sz w:val="24"/>
        </w:rPr>
        <w:t>Sakamoto, T., Hasan, R., Lennon, M., Cody, J., Krumholz, H. M., &amp; Schulz, W. L. (2024). Facilitating trust calibration in artificial intelligence--driven diagnostic decision support systems. Journal of Medical Internet Research, 26, e58666. https://doi.org/10.2196/58666</w:t>
      </w:r>
    </w:p>
    <w:p>
      <w:pPr>
        <w:spacing w:line="480" w:lineRule="auto"/>
        <w:ind w:hanging="720" w:left="720"/>
      </w:pPr>
      <w:r>
        <w:rPr>
          <w:rFonts w:ascii="Times New Roman" w:hAnsi="Times New Roman"/>
          <w:sz w:val="24"/>
        </w:rPr>
        <w:t>Ma, S., Kimani, E., Rowan, K., Feuerriegel, S., &amp; Perer, A. (2024). Are you really sure? Understanding the effects of human self-confidence calibration prompts on trust, reliance, and task performance in AI-assisted decision making. Proceedings of the 2024 CHI Conference on Human Factors in Computing Systems, Article 671. https://doi.org/10.1145/3613904.3642671</w:t>
      </w:r>
    </w:p>
    <w:p>
      <w:pPr>
        <w:spacing w:line="480" w:lineRule="auto"/>
        <w:ind w:hanging="720" w:left="720"/>
      </w:pPr>
      <w:r>
        <w:rPr>
          <w:rFonts w:ascii="Times New Roman" w:hAnsi="Times New Roman"/>
          <w:sz w:val="24"/>
        </w:rPr>
        <w:t>Lee, J., Lee, S., &amp; Steyvers, M. (2025). Metacognitive sensitivity: Key to calibrating trust with AI. PNAS Nexus, 4(3), pgaf133. https://doi.org/10.1093/pnasnexus/pgaf133</w:t>
      </w:r>
    </w:p>
    <w:p>
      <w:pPr>
        <w:spacing w:line="480" w:lineRule="auto"/>
        <w:ind w:hanging="720" w:left="720"/>
      </w:pPr>
      <w:r>
        <w:rPr>
          <w:rFonts w:ascii="Times New Roman" w:hAnsi="Times New Roman"/>
          <w:sz w:val="24"/>
        </w:rPr>
        <w:t>Lee, S., &amp; Bosch, N. (2025). Calibration discrepancy predicts students' subsequent metacognitive strategy use in AI-supported learning. International Journal of Artificial Intelligence in Education. https://doi.org/10.1007/s40593-025-00514-5</w:t>
      </w:r>
    </w:p>
    <w:p>
      <w:pPr>
        <w:spacing w:line="480" w:lineRule="auto"/>
        <w:ind w:hanging="720" w:left="720"/>
      </w:pPr>
      <w:r>
        <w:rPr>
          <w:rFonts w:ascii="Times New Roman" w:hAnsi="Times New Roman"/>
          <w:sz w:val="24"/>
        </w:rPr>
        <w:t>Li, Y., Chen, M., &amp; Liao, Q. V. (2024). Understanding the effects of miscalibrated AI confidence on user trust. Proceedings of the 2024 CHI Conference on Human Factors in Computing Systems. https://doi.org/10.48550/arXiv.2402.07632</w:t>
      </w:r>
    </w:p>
    <w:p>
      <w:pPr>
        <w:spacing w:line="480" w:lineRule="auto"/>
        <w:ind w:hanging="720" w:left="720"/>
      </w:pPr>
      <w:r>
        <w:rPr>
          <w:rFonts w:ascii="Times New Roman" w:hAnsi="Times New Roman"/>
          <w:sz w:val="24"/>
        </w:rPr>
        <w:t>Wischnewski, M., Krämer, N., &amp; Müller, E. (2023). Measuring and understanding trust calibrations for automated systems: A survey of the state-of-the-art and future directions. Proceedings of the 2023 CHI Conference on Human Factors in Computing Systems, Article 197. https://doi.org/10.1145/3544548.3581197</w:t>
      </w:r>
    </w:p>
    <w:p>
      <w:pPr>
        <w:spacing w:line="480" w:lineRule="auto"/>
        <w:ind w:hanging="720" w:left="720"/>
      </w:pPr>
      <w:r>
        <w:rPr>
          <w:rFonts w:ascii="Times New Roman" w:hAnsi="Times New Roman"/>
          <w:sz w:val="24"/>
        </w:rPr>
        <w:t>Mehrotra, S., Jonker, C. M., &amp; Tielman, M. L. (2024). A systematic review of the research on fostering appropriate trust in human-AI interaction. ACM Computing Surveys, 56(12), 1--40. https://doi.org/10.1145/3696449</w:t>
      </w:r>
    </w:p>
    <w:p>
      <w:pPr>
        <w:spacing w:line="480" w:lineRule="auto"/>
        <w:ind w:hanging="720" w:left="720"/>
      </w:pPr>
      <w:r>
        <w:rPr>
          <w:rFonts w:ascii="Times New Roman" w:hAnsi="Times New Roman"/>
          <w:sz w:val="24"/>
        </w:rPr>
        <w:t>Nelson, T. O., &amp; Narens, L. (1990). Metamemory: A theoretical framework and new findings. In G. H. Bower (Ed.), The psychology of learning and motivation (Vol. 26, pp. 125--173). Academic Press.</w:t>
      </w:r>
    </w:p>
    <w:p>
      <w:pPr>
        <w:spacing w:line="480" w:lineRule="auto"/>
        <w:ind w:hanging="720" w:left="720"/>
      </w:pPr>
      <w:r>
        <w:rPr>
          <w:rFonts w:ascii="Times New Roman" w:hAnsi="Times New Roman"/>
          <w:sz w:val="24"/>
        </w:rPr>
        <w:t>Okamura, K., &amp; Yamada, S. (2020). Adaptive trust calibration for human-AI collaboration. PLOS ONE, 15(2), e0229132. https://doi.org/10.1371/journal.pone.0229132</w:t>
      </w:r>
    </w:p>
    <w:p>
      <w:pPr>
        <w:spacing w:line="480" w:lineRule="auto"/>
        <w:ind w:hanging="720" w:left="720"/>
      </w:pPr>
      <w:r>
        <w:rPr>
          <w:rFonts w:ascii="Times New Roman" w:hAnsi="Times New Roman"/>
          <w:sz w:val="24"/>
        </w:rPr>
        <w:t>Parasuraman, R., &amp; Manzey, D. H. (2010). Complacency and bias in human use of automation: An attentional integration. Human Factors, 52(3), 381--410. https://doi.org/10.1177/0018720810376055</w:t>
      </w:r>
    </w:p>
    <w:p>
      <w:pPr>
        <w:spacing w:line="480" w:lineRule="auto"/>
        <w:ind w:hanging="720" w:left="720"/>
      </w:pPr>
      <w:r>
        <w:rPr>
          <w:rFonts w:ascii="Times New Roman" w:hAnsi="Times New Roman"/>
          <w:sz w:val="24"/>
        </w:rPr>
        <w:t>Pare, G., Trudel, M.-C., Jaana, M., &amp; Kitsiou, S. (2015). Synthesizing information systems knowledge: A typology of literature reviews. Information &amp; Management, 52(2), 183--199. https://doi.org/10.1016/j.im.2014.08.008</w:t>
      </w:r>
    </w:p>
    <w:p>
      <w:pPr>
        <w:spacing w:line="480" w:lineRule="auto"/>
        <w:ind w:hanging="720" w:left="720"/>
      </w:pPr>
      <w:r>
        <w:rPr>
          <w:rFonts w:ascii="Times New Roman" w:hAnsi="Times New Roman"/>
          <w:sz w:val="24"/>
        </w:rPr>
        <w:t>Risko, E. F., &amp; Gilbert, S. J. (2016). Cognitive offloading. Trends in Cognitive Sciences, 20(9), 676--688. https://doi.org/10.1016/j.tics.2016.07.002</w:t>
      </w:r>
    </w:p>
    <w:p>
      <w:pPr>
        <w:spacing w:line="480" w:lineRule="auto"/>
        <w:ind w:hanging="720" w:left="720"/>
      </w:pPr>
      <w:r>
        <w:rPr>
          <w:rFonts w:ascii="Times New Roman" w:hAnsi="Times New Roman"/>
          <w:sz w:val="24"/>
        </w:rPr>
        <w:t>Scharowski, N., Perrig, S. A. L., von Felten, N., &amp; Brühlmann, F. (2025). To trust or distrust trust measures: Validating questionnaires for trust in AI. Proceedings of the 2025 ACM Conference on Fairness, Accountability, and Transparency (FAccT). https://doi.org/10.48550/arXiv.2403.00582</w:t>
      </w:r>
    </w:p>
    <w:p>
      <w:pPr>
        <w:spacing w:line="480" w:lineRule="auto"/>
        <w:ind w:hanging="720" w:left="720"/>
      </w:pPr>
      <w:r>
        <w:rPr>
          <w:rFonts w:ascii="Times New Roman" w:hAnsi="Times New Roman"/>
          <w:sz w:val="24"/>
        </w:rPr>
        <w:t>Steyvers, M., &amp; Peters, M. A. K. (2025). Metacognition and uncertainty communication in humans and large language models. Current Directions in Psychological Science. https://doi.org/10.1177/09637214251391158</w:t>
      </w:r>
    </w:p>
    <w:p>
      <w:pPr>
        <w:spacing w:line="480" w:lineRule="auto"/>
        <w:ind w:hanging="720" w:left="720"/>
      </w:pPr>
      <w:r>
        <w:rPr>
          <w:rFonts w:ascii="Times New Roman" w:hAnsi="Times New Roman"/>
          <w:sz w:val="24"/>
        </w:rPr>
        <w:t>Tomsett, R., Preece, A., Braines, D., Cerutti, F., Chakraborty, S., Srivastava, M., Pearson, G., &amp; Kaplan, L. (2020). Rapid trust calibration through interpretable and uncertainty-aware AI. Patterns, 1(6), 100049. https://doi.org/10.1016/j.patter.2020.100049</w:t>
      </w:r>
    </w:p>
    <w:p>
      <w:pPr>
        <w:spacing w:line="480" w:lineRule="auto"/>
        <w:ind w:hanging="720" w:left="720"/>
      </w:pPr>
      <w:r>
        <w:rPr>
          <w:rFonts w:ascii="Times New Roman" w:hAnsi="Times New Roman"/>
          <w:sz w:val="24"/>
        </w:rPr>
        <w:t>Vasconcelos, H., Jörke, M., Grunde-McLaughlin, M., Gerstenberg, T., Bernstein, M. S., &amp; Krishna, R. (2023). Explanations can reduce overreliance on AI systems during decision-making. Proceedings of the ACM on Human-Computer Interaction, 7(CSCW1), 1--38. https://doi.org/10.1145/3579605</w:t>
      </w:r>
    </w:p>
    <w:p>
      <w:pPr>
        <w:spacing w:line="480" w:lineRule="auto"/>
        <w:ind w:hanging="720" w:left="720"/>
      </w:pPr>
      <w:r>
        <w:rPr>
          <w:rFonts w:ascii="Times New Roman" w:hAnsi="Times New Roman"/>
          <w:sz w:val="24"/>
        </w:rPr>
        <w:t>Yin, M., Wortman Vaughan, J., &amp; Wallach, H. (2019). Understanding the effect of accuracy on trust in machine learning models. Proceedings of the 2019 CHI Conference on Human Factors in Computing Systems, Article 279. https://doi.org/10.1145/3290605.3300509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