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b/>
          <w:i w:val="0"/>
          <w:sz w:val="24"/>
        </w:rPr>
        <w:t>The Calibration Gap: A Critical Review of Trust Research</w:t>
      </w:r>
    </w:p>
    <w:p>
      <w:pPr>
        <w:spacing w:before="0" w:after="0" w:line="480" w:lineRule="auto"/>
        <w:jc w:val="center"/>
      </w:pPr>
      <w:r>
        <w:rPr>
          <w:rFonts w:ascii="Times New Roman" w:hAnsi="Times New Roman"/>
          <w:b/>
          <w:i w:val="0"/>
          <w:sz w:val="24"/>
        </w:rPr>
        <w:t>in Educational AI and the Case for a Paradigm Shift</w:t>
      </w:r>
    </w:p>
    <w:p>
      <w:pPr>
        <w:spacing w:before="0" w:after="0" w:line="480" w:lineRule="auto"/>
      </w:pPr>
    </w:p>
    <w:p>
      <w:pPr>
        <w:spacing w:before="0" w:after="0" w:line="480" w:lineRule="auto"/>
        <w:jc w:val="center"/>
      </w:pPr>
      <w:r>
        <w:rPr>
          <w:rFonts w:ascii="Times New Roman" w:hAnsi="Times New Roman"/>
          <w:b w:val="0"/>
          <w:i w:val="0"/>
          <w:sz w:val="24"/>
        </w:rPr>
        <w:t>Hosung You</w:t>
      </w:r>
    </w:p>
    <w:p>
      <w:pPr>
        <w:spacing w:before="0" w:after="0" w:line="480" w:lineRule="auto"/>
        <w:jc w:val="center"/>
      </w:pPr>
      <w:r>
        <w:rPr>
          <w:rFonts w:ascii="Times New Roman" w:hAnsi="Times New Roman"/>
          <w:b w:val="0"/>
          <w:i w:val="0"/>
          <w:sz w:val="24"/>
        </w:rPr>
        <w:t>Department of Artificial Intelligence Convergence Education</w:t>
      </w:r>
    </w:p>
    <w:p>
      <w:pPr>
        <w:spacing w:before="0" w:after="0" w:line="480" w:lineRule="auto"/>
        <w:jc w:val="center"/>
      </w:pPr>
      <w:r>
        <w:rPr>
          <w:rFonts w:ascii="Times New Roman" w:hAnsi="Times New Roman"/>
          <w:b w:val="0"/>
          <w:i w:val="0"/>
          <w:sz w:val="24"/>
        </w:rPr>
        <w:t>Sungkyunkwan University</w:t>
      </w: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b/>
          <w:i w:val="0"/>
          <w:sz w:val="24"/>
        </w:rPr>
        <w:t>Author Note</w:t>
      </w:r>
    </w:p>
    <w:p>
      <w:pPr>
        <w:spacing w:before="0" w:after="0" w:line="480" w:lineRule="auto"/>
        <w:ind w:firstLine="720"/>
      </w:pPr>
      <w:r>
        <w:rPr>
          <w:rFonts w:ascii="Times New Roman" w:hAnsi="Times New Roman"/>
          <w:b w:val="0"/>
          <w:i w:val="0"/>
          <w:sz w:val="24"/>
        </w:rPr>
        <w:t>Correspondence concerning this article should be addressed to Hosung You, Department of Artificial Intelligence Convergence Education, Sungkyunkwan University, Seoul, South Korea.</w:t>
      </w:r>
    </w:p>
    <w:p>
      <w:r>
        <w:br w:type="page"/>
      </w:r>
    </w:p>
    <w:p>
      <w:pPr>
        <w:spacing w:before="240" w:after="120" w:line="480" w:lineRule="auto"/>
        <w:jc w:val="center"/>
      </w:pPr>
      <w:r>
        <w:rPr>
          <w:rFonts w:ascii="Times New Roman" w:hAnsi="Times New Roman"/>
          <w:b/>
          <w:i w:val="0"/>
          <w:sz w:val="24"/>
        </w:rPr>
        <w:t>Abstract</w:t>
      </w:r>
    </w:p>
    <w:p>
      <w:pPr>
        <w:spacing w:before="0" w:after="0" w:line="480" w:lineRule="auto"/>
      </w:pPr>
      <w:r>
        <w:rPr>
          <w:rFonts w:ascii="Times New Roman" w:hAnsi="Times New Roman"/>
          <w:b w:val="0"/>
          <w:i w:val="0"/>
          <w:sz w:val="24"/>
        </w:rPr>
        <w:t>The rapid integration of generative AI into education raises an urgent question: do learners trust AI systems appropriately? While Bastani et al. (2025) demonstrated that unrestricted AI tutoring access produced 17% lower performance on unassisted assessments—attributable to uncalibrated overtrust and cognitive offloading—the field lacks systematic tools for diagnosing where trust research stands and what it overlooks. This paper presents a critical review of 97 studies on trust in educational AI (2015–2026) from Web of Science, Scopus, PsycINFO, and supplementary citation tracking. We advance two contributions. First, we introduce a 5-domain Research Orientation Typology that classifies the corpus along a trust calibration maturity spectrum: Trust Adoption (D1, n=5), Trust Conceptualization (D2, n=11), Trust Design (D3, n=24), Trust Awareness (D4, n=41), and Trust Calibration (D5, n=16). This typology reveals that 83.5% of research remains below the calibration threshold, with 13 of 16 calibration-focused papers originating from adjacent disciplines rather than educational AI databases. Second, we argue for a paradigm shift from asking "Do learners trust AI?" to "Is their trust calibrated?"—a reframing grounded in the pronounced calibration gap we document: 84.5% of studies provided no explicit trust definition, only 7.2% measured trust empirically, and no study simultaneously measured both trust level and AI reliability. We introduce the Trust–AI Reliability Matrix as a diagnostic tool and outline a five-priority research agenda. The findings underscore that without calibration-oriented measurement and theory, the field cannot distinguish warranted trust from dangerous overreliance.</w:t>
      </w:r>
    </w:p>
    <w:p>
      <w:pPr>
        <w:spacing w:before="0" w:after="0" w:line="480" w:lineRule="auto"/>
        <w:ind w:firstLine="720"/>
      </w:pPr>
      <w:r>
        <w:rPr>
          <w:rFonts w:ascii="Times New Roman" w:hAnsi="Times New Roman"/>
          <w:b w:val="0"/>
          <w:i/>
          <w:sz w:val="24"/>
        </w:rPr>
        <w:t xml:space="preserve">Keywords: </w:t>
      </w:r>
      <w:r>
        <w:rPr>
          <w:rFonts w:ascii="Times New Roman" w:hAnsi="Times New Roman"/>
          <w:b w:val="0"/>
          <w:i w:val="0"/>
          <w:sz w:val="24"/>
        </w:rPr>
        <w:t>trust calibration, educational AI, critical review, research typology, generative AI, metacognition</w:t>
      </w:r>
    </w:p>
    <w:p>
      <w:r>
        <w:br w:type="page"/>
      </w:r>
    </w:p>
    <w:p>
      <w:pPr>
        <w:spacing w:before="240" w:after="120" w:line="480" w:lineRule="auto"/>
        <w:jc w:val="center"/>
      </w:pPr>
      <w:r>
        <w:rPr>
          <w:rFonts w:ascii="Times New Roman" w:hAnsi="Times New Roman"/>
          <w:b/>
          <w:i w:val="0"/>
          <w:sz w:val="24"/>
        </w:rPr>
        <w:t>Introduction</w:t>
      </w:r>
    </w:p>
    <w:p>
      <w:pPr>
        <w:spacing w:before="240" w:after="120" w:line="480" w:lineRule="auto"/>
      </w:pPr>
      <w:r>
        <w:rPr>
          <w:rFonts w:ascii="Times New Roman" w:hAnsi="Times New Roman"/>
          <w:b/>
          <w:i w:val="0"/>
          <w:sz w:val="24"/>
        </w:rPr>
        <w:t>The Problem: When Trust in AI Harms Learning</w:t>
      </w:r>
    </w:p>
    <w:p>
      <w:pPr>
        <w:spacing w:before="0" w:after="0" w:line="480" w:lineRule="auto"/>
        <w:ind w:firstLine="720"/>
      </w:pPr>
      <w:r>
        <w:rPr>
          <w:rFonts w:ascii="Times New Roman" w:hAnsi="Times New Roman"/>
          <w:b w:val="0"/>
          <w:i w:val="0"/>
          <w:sz w:val="24"/>
        </w:rPr>
        <w:t xml:space="preserve">The promise of artificial intelligence in education rests on a deceptively simple assumption: that giving learners access to capable AI tools will improve learning. A landmark study by Bastani et al. (2025), published in the </w:t>
      </w:r>
      <w:r>
        <w:rPr>
          <w:rFonts w:ascii="Times New Roman" w:hAnsi="Times New Roman"/>
          <w:b w:val="0"/>
          <w:i/>
          <w:sz w:val="24"/>
        </w:rPr>
        <w:t>Proceedings of the National Academy of Sciences</w:t>
      </w:r>
      <w:r>
        <w:rPr>
          <w:rFonts w:ascii="Times New Roman" w:hAnsi="Times New Roman"/>
          <w:b w:val="0"/>
          <w:i w:val="0"/>
          <w:sz w:val="24"/>
        </w:rPr>
        <w:t>, dismantled this assumption. In a large-scale randomized controlled trial involving nearly a thousand students, unrestricted access to ChatGPT not only failed to improve learning outcomes but actively harmed them: students performed 17% worse on subsequent unassisted assessments. The mechanism was not a failure of AI capability but a failure of trust calibration—students uncritically accepted AI-generated outputs, bypassing the effortful cognitive processing that constitutes genuine learning. When a tutoring-oriented version that withheld direct answers was introduced, the negative effects disappeared.</w:t>
      </w:r>
    </w:p>
    <w:p>
      <w:pPr>
        <w:spacing w:before="0" w:after="0" w:line="480" w:lineRule="auto"/>
        <w:ind w:firstLine="720"/>
      </w:pPr>
      <w:r>
        <w:rPr>
          <w:rFonts w:ascii="Times New Roman" w:hAnsi="Times New Roman"/>
          <w:b w:val="0"/>
          <w:i w:val="0"/>
          <w:sz w:val="24"/>
        </w:rPr>
        <w:t xml:space="preserve">This finding underscores a fundamental insight: the educational value of AI depends not on what the technology can do, but on whether learners trust it appropriately. The rapid integration of generative AI into higher education has created a </w:t>
      </w:r>
      <w:r>
        <w:rPr>
          <w:rFonts w:ascii="Times New Roman" w:hAnsi="Times New Roman"/>
          <w:b w:val="0"/>
          <w:i/>
          <w:sz w:val="24"/>
        </w:rPr>
        <w:t>design dilemma of autonomy and oversight</w:t>
      </w:r>
      <w:r>
        <w:rPr>
          <w:rFonts w:ascii="Times New Roman" w:hAnsi="Times New Roman"/>
          <w:b w:val="0"/>
          <w:i w:val="0"/>
          <w:sz w:val="24"/>
        </w:rPr>
        <w:t>. Granting AI systems broad autonomy risks fostering the uncritical dependence Bastani et al. (2025) documented. Imposing rigid constraints risks undermining the flexibility that makes AI-assisted learning potentially transformative (Kasneci et al., 2023). Navigating this dilemma requires understanding the mechanism that mediates between AI capability and learning outcomes—a mechanism that current research has largely overlooked.</w:t>
      </w:r>
    </w:p>
    <w:p>
      <w:pPr>
        <w:spacing w:before="0" w:after="0" w:line="480" w:lineRule="auto"/>
        <w:ind w:firstLine="720"/>
      </w:pPr>
      <w:r>
        <w:rPr>
          <w:rFonts w:ascii="Times New Roman" w:hAnsi="Times New Roman"/>
          <w:b w:val="0"/>
          <w:i w:val="0"/>
          <w:sz w:val="24"/>
        </w:rPr>
        <w:t>This is not an isolated finding. Darvishi et al. (2024) documented how AI assistance can undermine student agency when learners defer uncritically to AI-generated feedback. Cotton et al. (2024) chronicled the academic integrity challenges that arise when students accept AI outputs without verification. In medical education, Kıyak et al. (2026) found that even explicit "ChatGPT can make mistakes" warnings failed to reduce overreliance on AI-generated clinical advice in a randomized controlled trial with medical students—a finding with direct implications for patient safety. The warning's failure to recalibrate trust illustrates a deeper issue: surface-level interventions that acknowledge AI fallibility without providing calibration tools leave the underlying trust miscalibration intact.</w:t>
      </w:r>
    </w:p>
    <w:p>
      <w:pPr>
        <w:spacing w:before="0" w:after="0" w:line="480" w:lineRule="auto"/>
        <w:ind w:firstLine="720"/>
      </w:pPr>
      <w:r>
        <w:rPr>
          <w:rFonts w:ascii="Times New Roman" w:hAnsi="Times New Roman"/>
          <w:b w:val="0"/>
          <w:i w:val="0"/>
          <w:sz w:val="24"/>
        </w:rPr>
        <w:t>These cases share a common structure. In each, learners interact with AI systems whose reliability varies across tasks and domains, yet their trust in those systems operates as an undifferentiated global attitude rather than a calibrated, domain-specific judgment. The educational AI literature has documented this pattern extensively—but, as the present review demonstrates, it has not yet developed the measurement infrastructure or theoretical frameworks needed to move from documentation to intervention.</w:t>
      </w:r>
    </w:p>
    <w:p>
      <w:pPr>
        <w:spacing w:before="240" w:after="120" w:line="480" w:lineRule="auto"/>
      </w:pPr>
      <w:r>
        <w:rPr>
          <w:rFonts w:ascii="Times New Roman" w:hAnsi="Times New Roman"/>
          <w:b/>
          <w:i w:val="0"/>
          <w:sz w:val="24"/>
        </w:rPr>
        <w:t>The Conceptual Problem: Trust Level Is Not Trust Calibration</w:t>
      </w:r>
    </w:p>
    <w:p>
      <w:pPr>
        <w:spacing w:before="0" w:after="0" w:line="480" w:lineRule="auto"/>
        <w:ind w:firstLine="720"/>
      </w:pPr>
      <w:r>
        <w:rPr>
          <w:rFonts w:ascii="Times New Roman" w:hAnsi="Times New Roman"/>
          <w:b w:val="0"/>
          <w:i w:val="0"/>
          <w:sz w:val="24"/>
        </w:rPr>
        <w:t xml:space="preserve">The educational AI literature has grown rapidly, examining learning outcomes (Cotton et al., 2024), learner acceptance (Al-Adwan et al., 2023), and pedagogical integration (Baidoo-Anu &amp; Ansah, 2023; Kasneci et al., 2023). Yet a critical variable remains undertheorized: learner trust. Trust is not merely an affective response but a </w:t>
      </w:r>
      <w:r>
        <w:rPr>
          <w:rFonts w:ascii="Times New Roman" w:hAnsi="Times New Roman"/>
          <w:b w:val="0"/>
          <w:i/>
          <w:sz w:val="24"/>
        </w:rPr>
        <w:t>calibration problem</w:t>
      </w:r>
      <w:r>
        <w:rPr>
          <w:rFonts w:ascii="Times New Roman" w:hAnsi="Times New Roman"/>
          <w:b w:val="0"/>
          <w:i w:val="0"/>
          <w:sz w:val="24"/>
        </w:rPr>
        <w:t>. Trust calibration refers to the correspondence between a person's trust in a system and the system's actual capabilities (Lee &amp; See, 2004). Overtrust—where perceived capability exceeds actual capability—leads to uncritical acceptance and cognitive offloading (Risko &amp; Gilbert, 2016; Sparrow et al., 2011). Undertrust leads to rejection of beneficial AI assistance (Parasuraman &amp; Riley, 1997).</w:t>
      </w:r>
    </w:p>
    <w:p>
      <w:pPr>
        <w:spacing w:before="0" w:after="0" w:line="480" w:lineRule="auto"/>
        <w:ind w:firstLine="720"/>
      </w:pPr>
      <w:r>
        <w:rPr>
          <w:rFonts w:ascii="Times New Roman" w:hAnsi="Times New Roman"/>
          <w:b w:val="0"/>
          <w:i w:val="0"/>
          <w:sz w:val="24"/>
        </w:rPr>
        <w:t xml:space="preserve">This distinction matters because current research overwhelmingly treats trust as a quantity to be maximized. Technology acceptance models (Davis, 1989; Venkatesh et al., 2003) position trust as a predictor of adoption—higher trust predicts greater use. But the Bastani et al. (2025) finding demonstrates precisely the problem with this logic: students who trusted ChatGPT more used it more, and learned less. The issue was not too little trust but </w:t>
      </w:r>
      <w:r>
        <w:rPr>
          <w:rFonts w:ascii="Times New Roman" w:hAnsi="Times New Roman"/>
          <w:b w:val="0"/>
          <w:i/>
          <w:sz w:val="24"/>
        </w:rPr>
        <w:t>miscalibrated</w:t>
      </w:r>
      <w:r>
        <w:rPr>
          <w:rFonts w:ascii="Times New Roman" w:hAnsi="Times New Roman"/>
          <w:b w:val="0"/>
          <w:i w:val="0"/>
          <w:sz w:val="24"/>
        </w:rPr>
        <w:t xml:space="preserve"> trust—trust that did not correspond to the AI's actual pedagogical value for the given task.</w:t>
      </w:r>
    </w:p>
    <w:p>
      <w:pPr>
        <w:spacing w:before="0" w:after="0" w:line="480" w:lineRule="auto"/>
        <w:ind w:firstLine="720"/>
      </w:pPr>
      <w:r>
        <w:rPr>
          <w:rFonts w:ascii="Times New Roman" w:hAnsi="Times New Roman"/>
          <w:b w:val="0"/>
          <w:i w:val="0"/>
          <w:sz w:val="24"/>
        </w:rPr>
        <w:t xml:space="preserve">The calibration concept introduces a crucial nuance absent from current discourse. A student who reports high trust in ChatGPT for summarizing well-documented historical events may be well-calibrated—the AI is indeed reliable for that task. The same student reporting identical trust for ChatGPT's ability to solve novel mathematical proofs is dangerously miscalibrated, because the AI's reliability for mathematical reasoning is substantially lower. Trust level is identical; calibration differs entirely. Without measuring both trust </w:t>
      </w:r>
      <w:r>
        <w:rPr>
          <w:rFonts w:ascii="Times New Roman" w:hAnsi="Times New Roman"/>
          <w:b w:val="0"/>
          <w:i/>
          <w:sz w:val="24"/>
        </w:rPr>
        <w:t>and</w:t>
      </w:r>
      <w:r>
        <w:rPr>
          <w:rFonts w:ascii="Times New Roman" w:hAnsi="Times New Roman"/>
          <w:b w:val="0"/>
          <w:i w:val="0"/>
          <w:sz w:val="24"/>
        </w:rPr>
        <w:t xml:space="preserve"> the reliability baseline against which trust should be evaluated, the field cannot distinguish these states.</w:t>
      </w:r>
    </w:p>
    <w:p>
      <w:pPr>
        <w:spacing w:before="240" w:after="120" w:line="480" w:lineRule="auto"/>
      </w:pPr>
      <w:r>
        <w:rPr>
          <w:rFonts w:ascii="Times New Roman" w:hAnsi="Times New Roman"/>
          <w:b/>
          <w:i w:val="0"/>
          <w:sz w:val="24"/>
        </w:rPr>
        <w:t>Existing Research Limitations</w:t>
      </w:r>
    </w:p>
    <w:p>
      <w:pPr>
        <w:spacing w:before="0" w:after="0" w:line="480" w:lineRule="auto"/>
        <w:ind w:firstLine="720"/>
      </w:pPr>
      <w:r>
        <w:rPr>
          <w:rFonts w:ascii="Times New Roman" w:hAnsi="Times New Roman"/>
          <w:b w:val="0"/>
          <w:i w:val="0"/>
          <w:sz w:val="24"/>
        </w:rPr>
        <w:t>Despite the centrality of trust calibration, existing frameworks do not adequately address it. Technology acceptance models (Davis, 1989; Venkatesh et al., 2003) treat trust as a predictor of adoption, structurally unable to accommodate the possibility that adoption itself may be harmful when trust is miscalibrated. Self-regulated learning frameworks (Zimmerman, 2000; Winne &amp; Hadwin, 1998) address calibration of self-judgments but not calibration of judgments about external AI systems. The trust-in-automation tradition (Lee &amp; See, 2004; Hoff &amp; Bashir, 2015) explicitly models calibration but has not been systematically translated to educational contexts where the user's cognitive development is itself at stake.</w:t>
      </w:r>
    </w:p>
    <w:p>
      <w:pPr>
        <w:spacing w:before="0" w:after="0" w:line="480" w:lineRule="auto"/>
        <w:ind w:firstLine="720"/>
      </w:pPr>
      <w:r>
        <w:rPr>
          <w:rFonts w:ascii="Times New Roman" w:hAnsi="Times New Roman"/>
          <w:b w:val="0"/>
          <w:i w:val="0"/>
          <w:sz w:val="24"/>
        </w:rPr>
        <w:t>The result is a field that has produced extensive research on trust in educational AI without the conceptual or measurement infrastructure to assess whether that trust is warranted. Recent work has begun to bridge this gap—Pandey et al. (2025) examined epistemic trust in generative AI, and Lee et al. (2025) identified metacognitive sensitivity as a mechanism for trust calibration—but these contributions remain isolated rather than paradigmatic.</w:t>
      </w:r>
    </w:p>
    <w:p>
      <w:pPr>
        <w:spacing w:before="0" w:after="0" w:line="480" w:lineRule="auto"/>
        <w:ind w:firstLine="720"/>
      </w:pPr>
      <w:r>
        <w:rPr>
          <w:rFonts w:ascii="Times New Roman" w:hAnsi="Times New Roman"/>
          <w:b w:val="0"/>
          <w:i w:val="0"/>
          <w:sz w:val="24"/>
        </w:rPr>
        <w:t>What is missing is not individual studies but a systematic accounting of where the field stands and what it overlooks: a diagnostic that can guide the transition from trust-level to trust-calibration research. The present paper provides this diagnostic by mapping the entire trust-in-educational-AI corpus onto a calibration maturity spectrum, identifying precisely where the field concentrates its attention and where critical blind spots persist.</w:t>
      </w:r>
    </w:p>
    <w:p>
      <w:pPr>
        <w:spacing w:before="240" w:after="120" w:line="480" w:lineRule="auto"/>
      </w:pPr>
      <w:r>
        <w:rPr>
          <w:rFonts w:ascii="Times New Roman" w:hAnsi="Times New Roman"/>
          <w:b/>
          <w:i w:val="0"/>
          <w:sz w:val="24"/>
        </w:rPr>
        <w:t>Contributions</w:t>
      </w:r>
    </w:p>
    <w:p>
      <w:pPr>
        <w:spacing w:before="0" w:after="0" w:line="480" w:lineRule="auto"/>
        <w:ind w:firstLine="720"/>
      </w:pPr>
      <w:r>
        <w:rPr>
          <w:rFonts w:ascii="Times New Roman" w:hAnsi="Times New Roman"/>
          <w:b w:val="0"/>
          <w:i w:val="0"/>
          <w:sz w:val="24"/>
        </w:rPr>
        <w:t>This paper addresses this gap through two contributions:</w:t>
      </w:r>
    </w:p>
    <w:p>
      <w:pPr>
        <w:spacing w:before="0" w:after="0" w:line="480" w:lineRule="auto"/>
        <w:ind w:left="720" w:hanging="360"/>
      </w:pPr>
      <w:r>
        <w:rPr>
          <w:rFonts w:ascii="Times New Roman" w:hAnsi="Times New Roman"/>
          <w:b w:val="0"/>
          <w:i w:val="0"/>
          <w:sz w:val="24"/>
        </w:rPr>
        <w:t xml:space="preserve">1. </w:t>
      </w:r>
      <w:r>
        <w:rPr>
          <w:rFonts w:ascii="Times New Roman" w:hAnsi="Times New Roman"/>
          <w:b w:val="0"/>
          <w:i w:val="0"/>
          <w:sz w:val="24"/>
        </w:rPr>
      </w:r>
      <w:r>
        <w:rPr>
          <w:rFonts w:ascii="Times New Roman" w:hAnsi="Times New Roman"/>
          <w:b/>
          <w:i w:val="0"/>
          <w:sz w:val="24"/>
        </w:rPr>
        <w:t>A 5-domain Research Orientation Typology</w:t>
      </w:r>
      <w:r>
        <w:rPr>
          <w:rFonts w:ascii="Times New Roman" w:hAnsi="Times New Roman"/>
          <w:b w:val="0"/>
          <w:i w:val="0"/>
          <w:sz w:val="24"/>
        </w:rPr>
        <w:t xml:space="preserve"> that classifies 97 coded papers along a trust calibration maturity spectrum (D1–D5), revealing where the field concentrates its attention and where critical blind spots persist. This typology provides a diagnostic framework for the </w:t>
      </w:r>
      <w:r>
        <w:rPr>
          <w:rFonts w:ascii="Times New Roman" w:hAnsi="Times New Roman"/>
          <w:b w:val="0"/>
          <w:i/>
          <w:sz w:val="24"/>
        </w:rPr>
        <w:t>calibration gap</w:t>
      </w:r>
      <w:r>
        <w:rPr>
          <w:rFonts w:ascii="Times New Roman" w:hAnsi="Times New Roman"/>
          <w:b w:val="0"/>
          <w:i w:val="0"/>
          <w:sz w:val="24"/>
        </w:rPr>
        <w:t>—the finding that 83.5% of research operates below the calibration threshold.</w:t>
      </w:r>
    </w:p>
    <w:p>
      <w:pPr>
        <w:spacing w:before="0" w:after="0" w:line="480" w:lineRule="auto"/>
        <w:ind w:left="720" w:hanging="360"/>
      </w:pPr>
      <w:r>
        <w:rPr>
          <w:rFonts w:ascii="Times New Roman" w:hAnsi="Times New Roman"/>
          <w:b w:val="0"/>
          <w:i w:val="0"/>
          <w:sz w:val="24"/>
        </w:rPr>
        <w:t xml:space="preserve">2. </w:t>
      </w:r>
      <w:r>
        <w:rPr>
          <w:rFonts w:ascii="Times New Roman" w:hAnsi="Times New Roman"/>
          <w:b w:val="0"/>
          <w:i w:val="0"/>
          <w:sz w:val="24"/>
        </w:rPr>
      </w:r>
      <w:r>
        <w:rPr>
          <w:rFonts w:ascii="Times New Roman" w:hAnsi="Times New Roman"/>
          <w:b/>
          <w:i w:val="0"/>
          <w:sz w:val="24"/>
        </w:rPr>
        <w:t>A paradigm shift argument</w:t>
      </w:r>
      <w:r>
        <w:rPr>
          <w:rFonts w:ascii="Times New Roman" w:hAnsi="Times New Roman"/>
          <w:b w:val="0"/>
          <w:i w:val="0"/>
          <w:sz w:val="24"/>
        </w:rPr>
        <w:t xml:space="preserve"> from trust-level to trust-calibration research, grounded in the empirical evidence of the calibration gap and operationalized through the Trust–AI Reliability Matrix, a diagnostic tool for assessing the alignment between learner trust and AI reliability.</w:t>
      </w:r>
    </w:p>
    <w:p>
      <w:pPr>
        <w:spacing w:before="0" w:after="0" w:line="480" w:lineRule="auto"/>
        <w:ind w:firstLine="720"/>
      </w:pPr>
      <w:r>
        <w:rPr>
          <w:rFonts w:ascii="Times New Roman" w:hAnsi="Times New Roman"/>
          <w:b w:val="0"/>
          <w:i w:val="0"/>
          <w:sz w:val="24"/>
        </w:rPr>
        <w:t xml:space="preserve">Together, these contributions move beyond the conventional approach of cataloging what is known about trust in educational AI. Instead, they provide a structural diagnosis of what the field </w:t>
      </w:r>
      <w:r>
        <w:rPr>
          <w:rFonts w:ascii="Times New Roman" w:hAnsi="Times New Roman"/>
          <w:b w:val="0"/>
          <w:i/>
          <w:sz w:val="24"/>
        </w:rPr>
        <w:t>cannot currently see</w:t>
      </w:r>
      <w:r>
        <w:rPr>
          <w:rFonts w:ascii="Times New Roman" w:hAnsi="Times New Roman"/>
          <w:b w:val="0"/>
          <w:i w:val="0"/>
          <w:sz w:val="24"/>
        </w:rPr>
        <w:t>—and a framework for redirecting attention toward the questions that matter most for learner outcomes.</w:t>
      </w:r>
    </w:p>
    <w:p>
      <w:pPr>
        <w:spacing w:before="240" w:after="120" w:line="480" w:lineRule="auto"/>
      </w:pPr>
      <w:r>
        <w:rPr>
          <w:rFonts w:ascii="Times New Roman" w:hAnsi="Times New Roman"/>
          <w:b/>
          <w:i w:val="0"/>
          <w:sz w:val="24"/>
        </w:rPr>
        <w:t>Research Questions</w:t>
      </w:r>
    </w:p>
    <w:p>
      <w:pPr>
        <w:spacing w:before="0" w:after="0" w:line="480" w:lineRule="auto"/>
        <w:ind w:firstLine="720"/>
      </w:pPr>
      <w:r>
        <w:rPr>
          <w:rFonts w:ascii="Times New Roman" w:hAnsi="Times New Roman"/>
          <w:b w:val="0"/>
          <w:i w:val="0"/>
          <w:sz w:val="24"/>
        </w:rPr>
        <w:t>Three research questions guide this inquiry:</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RQ1:</w:t>
      </w:r>
      <w:r>
        <w:rPr>
          <w:rFonts w:ascii="Times New Roman" w:hAnsi="Times New Roman"/>
          <w:b w:val="0"/>
          <w:i w:val="0"/>
          <w:sz w:val="24"/>
        </w:rPr>
        <w:t xml:space="preserve"> How does existing research approach trust in educational AI, and what research orientations characterize the field?</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RQ2:</w:t>
      </w:r>
      <w:r>
        <w:rPr>
          <w:rFonts w:ascii="Times New Roman" w:hAnsi="Times New Roman"/>
          <w:b w:val="0"/>
          <w:i w:val="0"/>
          <w:sz w:val="24"/>
        </w:rPr>
        <w:t xml:space="preserve"> To what extent does current research address trust calibration, and where does a calibration gap persist?</w:t>
      </w:r>
    </w:p>
    <w:p>
      <w:pPr>
        <w:spacing w:before="0" w:after="0" w:line="480" w:lineRule="auto"/>
        <w:ind w:left="720" w:hanging="360"/>
      </w:pPr>
      <w:r>
        <w:rPr>
          <w:rFonts w:ascii="Times New Roman" w:hAnsi="Times New Roman"/>
          <w:b w:val="0"/>
          <w:i w:val="0"/>
          <w:sz w:val="24"/>
        </w:rPr>
        <w:t xml:space="preserve">• </w:t>
      </w:r>
      <w:r>
        <w:rPr>
          <w:rFonts w:ascii="Times New Roman" w:hAnsi="Times New Roman"/>
          <w:b w:val="0"/>
          <w:i w:val="0"/>
          <w:sz w:val="24"/>
        </w:rPr>
      </w:r>
      <w:r>
        <w:rPr>
          <w:rFonts w:ascii="Times New Roman" w:hAnsi="Times New Roman"/>
          <w:b/>
          <w:i w:val="0"/>
          <w:sz w:val="24"/>
        </w:rPr>
        <w:t>RQ3:</w:t>
      </w:r>
      <w:r>
        <w:rPr>
          <w:rFonts w:ascii="Times New Roman" w:hAnsi="Times New Roman"/>
          <w:b w:val="0"/>
          <w:i w:val="0"/>
          <w:sz w:val="24"/>
        </w:rPr>
        <w:t xml:space="preserve"> What theoretical and methodological reframing is needed to advance trust calibration research in educational AI?</w:t>
      </w:r>
    </w:p>
    <w:p>
      <w:pPr>
        <w:spacing w:before="0" w:after="0" w:line="480" w:lineRule="auto"/>
        <w:ind w:firstLine="720"/>
      </w:pPr>
      <w:r>
        <w:rPr>
          <w:rFonts w:ascii="Times New Roman" w:hAnsi="Times New Roman"/>
          <w:b w:val="0"/>
          <w:i w:val="0"/>
          <w:sz w:val="24"/>
        </w:rPr>
        <w:t>RQ1 motivates the Research Orientation Typology; RQ2 drives the calibration gap diagnosis; RQ3 grounds the paradigm shift argument and research agenda.</w:t>
      </w:r>
    </w:p>
    <w:p>
      <w:pPr>
        <w:spacing w:before="240" w:after="120" w:line="480" w:lineRule="auto"/>
        <w:jc w:val="center"/>
      </w:pPr>
      <w:r>
        <w:rPr>
          <w:rFonts w:ascii="Times New Roman" w:hAnsi="Times New Roman"/>
          <w:b/>
          <w:i w:val="0"/>
          <w:sz w:val="24"/>
        </w:rPr>
        <w:t>Conceptual Foundation</w:t>
      </w:r>
    </w:p>
    <w:p>
      <w:pPr>
        <w:spacing w:before="240" w:after="120" w:line="480" w:lineRule="auto"/>
      </w:pPr>
      <w:r>
        <w:rPr>
          <w:rFonts w:ascii="Times New Roman" w:hAnsi="Times New Roman"/>
          <w:b/>
          <w:i w:val="0"/>
          <w:sz w:val="24"/>
        </w:rPr>
        <w:t>Trust Calibration: From Automation to Education</w:t>
      </w:r>
    </w:p>
    <w:p>
      <w:pPr>
        <w:spacing w:before="0" w:after="0" w:line="480" w:lineRule="auto"/>
        <w:ind w:firstLine="720"/>
      </w:pPr>
      <w:r>
        <w:rPr>
          <w:rFonts w:ascii="Times New Roman" w:hAnsi="Times New Roman"/>
          <w:b w:val="0"/>
          <w:i w:val="0"/>
          <w:sz w:val="24"/>
        </w:rPr>
        <w:t xml:space="preserve">Lee and See (2004) defined trust as "the attitude that an agent will help achieve an individual's goals in a situation characterized by uncertainty and vulnerability" (p. 54). Critically, they distinguished trust </w:t>
      </w:r>
      <w:r>
        <w:rPr>
          <w:rFonts w:ascii="Times New Roman" w:hAnsi="Times New Roman"/>
          <w:b w:val="0"/>
          <w:i/>
          <w:sz w:val="24"/>
        </w:rPr>
        <w:t>level</w:t>
      </w:r>
      <w:r>
        <w:rPr>
          <w:rFonts w:ascii="Times New Roman" w:hAnsi="Times New Roman"/>
          <w:b w:val="0"/>
          <w:i w:val="0"/>
          <w:sz w:val="24"/>
        </w:rPr>
        <w:t xml:space="preserve"> from trust </w:t>
      </w:r>
      <w:r>
        <w:rPr>
          <w:rFonts w:ascii="Times New Roman" w:hAnsi="Times New Roman"/>
          <w:b w:val="0"/>
          <w:i/>
          <w:sz w:val="24"/>
        </w:rPr>
        <w:t>calibration</w:t>
      </w:r>
      <w:r>
        <w:rPr>
          <w:rFonts w:ascii="Times New Roman" w:hAnsi="Times New Roman"/>
          <w:b w:val="0"/>
          <w:i w:val="0"/>
          <w:sz w:val="24"/>
        </w:rPr>
        <w:t>: the former captures how much a person trusts a system; the latter captures whether that trust corresponds to the system's actual reliability. A person with high trust in a highly reliable system is well-calibrated; the same level of trust directed at an unreliable system constitutes dangerous overtrust. This distinction—between the magnitude and the accuracy of trust—is foundational to the present paper.</w:t>
      </w:r>
    </w:p>
    <w:p>
      <w:pPr>
        <w:spacing w:before="0" w:after="0" w:line="480" w:lineRule="auto"/>
        <w:ind w:firstLine="720"/>
      </w:pPr>
      <w:r>
        <w:rPr>
          <w:rFonts w:ascii="Times New Roman" w:hAnsi="Times New Roman"/>
          <w:b w:val="0"/>
          <w:i w:val="0"/>
          <w:sz w:val="24"/>
        </w:rPr>
        <w:t xml:space="preserve">Trust calibration fails in two modes. </w:t>
      </w:r>
      <w:r>
        <w:rPr>
          <w:rFonts w:ascii="Times New Roman" w:hAnsi="Times New Roman"/>
          <w:b w:val="0"/>
          <w:i/>
          <w:sz w:val="24"/>
        </w:rPr>
        <w:t>Overtrust</w:t>
      </w:r>
      <w:r>
        <w:rPr>
          <w:rFonts w:ascii="Times New Roman" w:hAnsi="Times New Roman"/>
          <w:b w:val="0"/>
          <w:i w:val="0"/>
          <w:sz w:val="24"/>
        </w:rPr>
        <w:t xml:space="preserve"> occurs when trust exceeds the system's actual reliability, resulting in uncritical acceptance. In educational contexts, overtrust manifests as </w:t>
      </w:r>
      <w:r>
        <w:rPr>
          <w:rFonts w:ascii="Times New Roman" w:hAnsi="Times New Roman"/>
          <w:b w:val="0"/>
          <w:i/>
          <w:sz w:val="24"/>
        </w:rPr>
        <w:t>automation complacency</w:t>
      </w:r>
      <w:r>
        <w:rPr>
          <w:rFonts w:ascii="Times New Roman" w:hAnsi="Times New Roman"/>
          <w:b w:val="0"/>
          <w:i w:val="0"/>
          <w:sz w:val="24"/>
        </w:rPr>
        <w:t xml:space="preserve"> (Parasuraman &amp; Manzey, 2010) and </w:t>
      </w:r>
      <w:r>
        <w:rPr>
          <w:rFonts w:ascii="Times New Roman" w:hAnsi="Times New Roman"/>
          <w:b w:val="0"/>
          <w:i/>
          <w:sz w:val="24"/>
        </w:rPr>
        <w:t>cognitive offloading</w:t>
      </w:r>
      <w:r>
        <w:rPr>
          <w:rFonts w:ascii="Times New Roman" w:hAnsi="Times New Roman"/>
          <w:b w:val="0"/>
          <w:i w:val="0"/>
          <w:sz w:val="24"/>
        </w:rPr>
        <w:t xml:space="preserve"> (Risko &amp; Gilbert, 2016)—learners delegate not just task execution but the cognitive effort that produces learning. This is particularly insidious with large language models, whose fluent outputs mask variable reliability across domains (Ji et al., 2023). Bastani et al. (2025) documented precisely this mechanism: students bypassed productive struggle by accepting AI-generated solutions. </w:t>
      </w:r>
      <w:r>
        <w:rPr>
          <w:rFonts w:ascii="Times New Roman" w:hAnsi="Times New Roman"/>
          <w:b w:val="0"/>
          <w:i/>
          <w:sz w:val="24"/>
        </w:rPr>
        <w:t>Undertrust</w:t>
      </w:r>
      <w:r>
        <w:rPr>
          <w:rFonts w:ascii="Times New Roman" w:hAnsi="Times New Roman"/>
          <w:b w:val="0"/>
          <w:i w:val="0"/>
          <w:sz w:val="24"/>
        </w:rPr>
        <w:t xml:space="preserve"> occurs when trust falls below the system's actual capability, causing learners to reject beneficial AI assistance and forgo scaffolded learning opportunities (Parasuraman &amp; Riley, 1997).</w:t>
      </w:r>
    </w:p>
    <w:p>
      <w:pPr>
        <w:spacing w:before="0" w:after="0" w:line="480" w:lineRule="auto"/>
        <w:ind w:firstLine="720"/>
      </w:pPr>
      <w:r>
        <w:rPr>
          <w:rFonts w:ascii="Times New Roman" w:hAnsi="Times New Roman"/>
          <w:b w:val="0"/>
          <w:i w:val="0"/>
          <w:sz w:val="24"/>
        </w:rPr>
        <w:t xml:space="preserve">Hoff and Bashir (2015) extended this foundation with a three-layer model distinguishing </w:t>
      </w:r>
      <w:r>
        <w:rPr>
          <w:rFonts w:ascii="Times New Roman" w:hAnsi="Times New Roman"/>
          <w:b w:val="0"/>
          <w:i/>
          <w:sz w:val="24"/>
        </w:rPr>
        <w:t>dispositional trust</w:t>
      </w:r>
      <w:r>
        <w:rPr>
          <w:rFonts w:ascii="Times New Roman" w:hAnsi="Times New Roman"/>
          <w:b w:val="0"/>
          <w:i w:val="0"/>
          <w:sz w:val="24"/>
        </w:rPr>
        <w:t xml:space="preserve"> (stable personality-level tendencies shaped by age, culture, and experience), </w:t>
      </w:r>
      <w:r>
        <w:rPr>
          <w:rFonts w:ascii="Times New Roman" w:hAnsi="Times New Roman"/>
          <w:b w:val="0"/>
          <w:i/>
          <w:sz w:val="24"/>
        </w:rPr>
        <w:t>situational trust</w:t>
      </w:r>
      <w:r>
        <w:rPr>
          <w:rFonts w:ascii="Times New Roman" w:hAnsi="Times New Roman"/>
          <w:b w:val="0"/>
          <w:i w:val="0"/>
          <w:sz w:val="24"/>
        </w:rPr>
        <w:t xml:space="preserve"> (context-dependent, influenced by task environment and perceived risk), and </w:t>
      </w:r>
      <w:r>
        <w:rPr>
          <w:rFonts w:ascii="Times New Roman" w:hAnsi="Times New Roman"/>
          <w:b w:val="0"/>
          <w:i/>
          <w:sz w:val="24"/>
        </w:rPr>
        <w:t>learned trust</w:t>
      </w:r>
      <w:r>
        <w:rPr>
          <w:rFonts w:ascii="Times New Roman" w:hAnsi="Times New Roman"/>
          <w:b w:val="0"/>
          <w:i w:val="0"/>
          <w:sz w:val="24"/>
        </w:rPr>
        <w:t xml:space="preserve"> (accumulated through direct experience with a specific system). This temporal layering is particularly important in education, where trust evolves across an entire semester rather than during a single encounter. A student's dispositional trust may lead to initial openness to AI tools, but learned trust—the layer most amenable to educational intervention—should differentiate based on accumulating evidence of the system's domain-specific reliability. When learned trust fails to update appropriately in response to reliability evidence, miscalibration persists. Mayer et al. (1995) proposed the Ability-Benevolence-Integrity (ABI) model, increasingly applied to human-technology interaction (Lankton et al., 2015). In educational AI, </w:t>
      </w:r>
      <w:r>
        <w:rPr>
          <w:rFonts w:ascii="Times New Roman" w:hAnsi="Times New Roman"/>
          <w:b w:val="0"/>
          <w:i/>
          <w:sz w:val="24"/>
        </w:rPr>
        <w:t>ability</w:t>
      </w:r>
      <w:r>
        <w:rPr>
          <w:rFonts w:ascii="Times New Roman" w:hAnsi="Times New Roman"/>
          <w:b w:val="0"/>
          <w:i w:val="0"/>
          <w:sz w:val="24"/>
        </w:rPr>
        <w:t xml:space="preserve"> maps to domain-specific accuracy, </w:t>
      </w:r>
      <w:r>
        <w:rPr>
          <w:rFonts w:ascii="Times New Roman" w:hAnsi="Times New Roman"/>
          <w:b w:val="0"/>
          <w:i/>
          <w:sz w:val="24"/>
        </w:rPr>
        <w:t>benevolence</w:t>
      </w:r>
      <w:r>
        <w:rPr>
          <w:rFonts w:ascii="Times New Roman" w:hAnsi="Times New Roman"/>
          <w:b w:val="0"/>
          <w:i w:val="0"/>
          <w:sz w:val="24"/>
        </w:rPr>
        <w:t xml:space="preserve"> to the perception that the AI supports learning rather than replacing learner effort, and </w:t>
      </w:r>
      <w:r>
        <w:rPr>
          <w:rFonts w:ascii="Times New Roman" w:hAnsi="Times New Roman"/>
          <w:b w:val="0"/>
          <w:i/>
          <w:sz w:val="24"/>
        </w:rPr>
        <w:t>integrity</w:t>
      </w:r>
      <w:r>
        <w:rPr>
          <w:rFonts w:ascii="Times New Roman" w:hAnsi="Times New Roman"/>
          <w:b w:val="0"/>
          <w:i w:val="0"/>
          <w:sz w:val="24"/>
        </w:rPr>
        <w:t xml:space="preserve"> to consistency and adherence to educational norms. De Visser et al. (2020) further contributed the concept of trust repair through calibration cues—system-initiated reliability signals that can restore appropriate trust levels after violations.</w:t>
      </w:r>
    </w:p>
    <w:p>
      <w:pPr>
        <w:spacing w:before="0" w:after="0" w:line="480" w:lineRule="auto"/>
        <w:ind w:firstLine="720"/>
      </w:pPr>
      <w:r>
        <w:rPr>
          <w:rFonts w:ascii="Times New Roman" w:hAnsi="Times New Roman"/>
          <w:b w:val="0"/>
          <w:i w:val="0"/>
          <w:sz w:val="24"/>
        </w:rPr>
        <w:t xml:space="preserve">Translating these frameworks to education demands attention to what makes educational AI distinctive. Unlike industrial automation, where the user's goal is task completion, educational AI operates in a domain where the "user" is simultaneously a </w:t>
      </w:r>
      <w:r>
        <w:rPr>
          <w:rFonts w:ascii="Times New Roman" w:hAnsi="Times New Roman"/>
          <w:b w:val="0"/>
          <w:i/>
          <w:sz w:val="24"/>
        </w:rPr>
        <w:t>learner</w:t>
      </w:r>
      <w:r>
        <w:rPr>
          <w:rFonts w:ascii="Times New Roman" w:hAnsi="Times New Roman"/>
          <w:b w:val="0"/>
          <w:i w:val="0"/>
          <w:sz w:val="24"/>
        </w:rPr>
        <w:t xml:space="preserve">. This creates what we term the </w:t>
      </w:r>
      <w:r>
        <w:rPr>
          <w:rFonts w:ascii="Times New Roman" w:hAnsi="Times New Roman"/>
          <w:b w:val="0"/>
          <w:i/>
          <w:sz w:val="24"/>
        </w:rPr>
        <w:t>learner paradox</w:t>
      </w:r>
      <w:r>
        <w:rPr>
          <w:rFonts w:ascii="Times New Roman" w:hAnsi="Times New Roman"/>
          <w:b w:val="0"/>
          <w:i w:val="0"/>
          <w:sz w:val="24"/>
        </w:rPr>
        <w:t xml:space="preserve">: the most helpful AI response (providing the correct answer) may be the most pedagogically harmful one (depriving the learner of productive struggle). This paradox means that trust calibration in educational AI must account not only for accuracy-based trust—whether the AI's output is correct—but also for whether learners understand the </w:t>
      </w:r>
      <w:r>
        <w:rPr>
          <w:rFonts w:ascii="Times New Roman" w:hAnsi="Times New Roman"/>
          <w:b w:val="0"/>
          <w:i/>
          <w:sz w:val="24"/>
        </w:rPr>
        <w:t>pedagogical implications</w:t>
      </w:r>
      <w:r>
        <w:rPr>
          <w:rFonts w:ascii="Times New Roman" w:hAnsi="Times New Roman"/>
          <w:b w:val="0"/>
          <w:i w:val="0"/>
          <w:sz w:val="24"/>
        </w:rPr>
        <w:t xml:space="preserve"> of their reliance patterns. A student who trusts ChatGPT to solve her calculus homework may be accurately trusting its mathematical capability while simultaneously miscalibrating the educational cost of bypassing the learning process.</w:t>
      </w:r>
    </w:p>
    <w:p>
      <w:pPr>
        <w:spacing w:before="240" w:after="120" w:line="480" w:lineRule="auto"/>
      </w:pPr>
      <w:r>
        <w:rPr>
          <w:rFonts w:ascii="Times New Roman" w:hAnsi="Times New Roman"/>
          <w:b/>
          <w:i w:val="0"/>
          <w:sz w:val="24"/>
        </w:rPr>
        <w:t>SRL Calibration Versus Trust Calibration</w:t>
      </w:r>
    </w:p>
    <w:p>
      <w:pPr>
        <w:spacing w:before="0" w:after="0" w:line="480" w:lineRule="auto"/>
        <w:ind w:firstLine="720"/>
      </w:pPr>
      <w:r>
        <w:rPr>
          <w:rFonts w:ascii="Times New Roman" w:hAnsi="Times New Roman"/>
          <w:b w:val="0"/>
          <w:i w:val="0"/>
          <w:sz w:val="24"/>
        </w:rPr>
        <w:t xml:space="preserve">Existing educational research addresses calibration extensively—but almost exclusively in the context of self-regulated learning. SRL calibration (Winne &amp; Hadwin, 1998; Greene &amp; Azevedo, 2007; Panadero, 2017) refers to the accuracy of learners' judgments about </w:t>
      </w:r>
      <w:r>
        <w:rPr>
          <w:rFonts w:ascii="Times New Roman" w:hAnsi="Times New Roman"/>
          <w:b w:val="0"/>
          <w:i/>
          <w:sz w:val="24"/>
        </w:rPr>
        <w:t>their own</w:t>
      </w:r>
      <w:r>
        <w:rPr>
          <w:rFonts w:ascii="Times New Roman" w:hAnsi="Times New Roman"/>
          <w:b w:val="0"/>
          <w:i w:val="0"/>
          <w:sz w:val="24"/>
        </w:rPr>
        <w:t xml:space="preserve"> knowledge and performance. A well-calibrated learner accurately assesses what they know and do not know, enabling adaptive study strategies. Decades of research have established SRL calibration as a powerful predictor of academic achievement (Dunlosky &amp; Rawson, 2012), with metacognitive monitoring as the operative mechanism (Nelson &amp; Narens, 1990; Pieschl, 2009).</w:t>
      </w:r>
    </w:p>
    <w:p>
      <w:pPr>
        <w:spacing w:before="0" w:after="0" w:line="480" w:lineRule="auto"/>
        <w:ind w:firstLine="720"/>
      </w:pPr>
      <w:r>
        <w:rPr>
          <w:rFonts w:ascii="Times New Roman" w:hAnsi="Times New Roman"/>
          <w:b w:val="0"/>
          <w:i w:val="0"/>
          <w:sz w:val="24"/>
        </w:rPr>
        <w:t xml:space="preserve">Trust calibration differs fundamentally from SRL calibration in its </w:t>
      </w:r>
      <w:r>
        <w:rPr>
          <w:rFonts w:ascii="Times New Roman" w:hAnsi="Times New Roman"/>
          <w:b w:val="0"/>
          <w:i/>
          <w:sz w:val="24"/>
        </w:rPr>
        <w:t>locus of uncertainty</w:t>
      </w:r>
      <w:r>
        <w:rPr>
          <w:rFonts w:ascii="Times New Roman" w:hAnsi="Times New Roman"/>
          <w:b w:val="0"/>
          <w:i w:val="0"/>
          <w:sz w:val="24"/>
        </w:rPr>
        <w:t xml:space="preserve">. Where SRL calibration asks, "How accurately do I judge my own capabilities?", trust calibration asks, "How accurately do I judge the AI system's capabilities?" This shift from </w:t>
      </w:r>
      <w:r>
        <w:rPr>
          <w:rFonts w:ascii="Times New Roman" w:hAnsi="Times New Roman"/>
          <w:b w:val="0"/>
          <w:i/>
          <w:sz w:val="24"/>
        </w:rPr>
        <w:t>self</w:t>
      </w:r>
      <w:r>
        <w:rPr>
          <w:rFonts w:ascii="Times New Roman" w:hAnsi="Times New Roman"/>
          <w:b w:val="0"/>
          <w:i w:val="0"/>
          <w:sz w:val="24"/>
        </w:rPr>
        <w:t xml:space="preserve"> to </w:t>
      </w:r>
      <w:r>
        <w:rPr>
          <w:rFonts w:ascii="Times New Roman" w:hAnsi="Times New Roman"/>
          <w:b w:val="0"/>
          <w:i/>
          <w:sz w:val="24"/>
        </w:rPr>
        <w:t>external system</w:t>
      </w:r>
      <w:r>
        <w:rPr>
          <w:rFonts w:ascii="Times New Roman" w:hAnsi="Times New Roman"/>
          <w:b w:val="0"/>
          <w:i w:val="0"/>
          <w:sz w:val="24"/>
        </w:rPr>
        <w:t xml:space="preserve"> has profound implications. SRL calibration improves through metacognitive training that enhances self-monitoring (Schraw, 1998). Trust calibration requires knowledge of the AI system's reliability profile—its strengths, limitations, and failure modes—a form of </w:t>
      </w:r>
      <w:r>
        <w:rPr>
          <w:rFonts w:ascii="Times New Roman" w:hAnsi="Times New Roman"/>
          <w:b w:val="0"/>
          <w:i/>
          <w:sz w:val="24"/>
        </w:rPr>
        <w:t>AI literacy</w:t>
      </w:r>
      <w:r>
        <w:rPr>
          <w:rFonts w:ascii="Times New Roman" w:hAnsi="Times New Roman"/>
          <w:b w:val="0"/>
          <w:i w:val="0"/>
          <w:sz w:val="24"/>
        </w:rPr>
        <w:t xml:space="preserve"> (Long &amp; Magerko, 2020) that goes beyond general self-regulation.</w:t>
      </w:r>
    </w:p>
    <w:p>
      <w:pPr>
        <w:spacing w:before="0" w:after="0" w:line="480" w:lineRule="auto"/>
        <w:ind w:firstLine="720"/>
      </w:pPr>
      <w:r>
        <w:rPr>
          <w:rFonts w:ascii="Times New Roman" w:hAnsi="Times New Roman"/>
          <w:b w:val="0"/>
          <w:i w:val="0"/>
          <w:sz w:val="24"/>
        </w:rPr>
        <w:t>The distinction is not merely semantic. Consider a student who accurately recognizes that she struggles with integral calculus (high SRL calibration). When she turns to ChatGPT, however, she may grossly overestimate the AI's mathematical reasoning accuracy, accepting a subtly incorrect solution without verification (low trust calibration). Her SRL calibration does not protect her from trust miscalibration because the two involve different objects of judgment and different informational requirements. Existing SRL frameworks (Zimmerman, 2000; Winne &amp; Hadwin, 1998; Panadero, 2017) address the first type of calibration; the second—trust calibration in AI-mediated learning—remains largely unaddressed.</w:t>
      </w:r>
    </w:p>
    <w:p>
      <w:pPr>
        <w:spacing w:before="0" w:after="0" w:line="480" w:lineRule="auto"/>
        <w:ind w:firstLine="720"/>
      </w:pPr>
      <w:r>
        <w:rPr>
          <w:rFonts w:ascii="Times New Roman" w:hAnsi="Times New Roman"/>
          <w:b w:val="0"/>
          <w:i w:val="0"/>
          <w:sz w:val="24"/>
        </w:rPr>
        <w:t>Emerging work in adjacent fields supports this argument. Lee et al. (2025) identified metacognitive sensitivity as a key mechanism for calibrating trust with AI, establishing a direct conceptual bridge between metacognition research and trust calibration. Lee and Bosch (2025) showed that calibration discrepancy predicts subsequent metacognitive strategy use—directly linking trust calibration to SRL processes. Steyvers and Peters (2025) examined how metacognition and uncertainty communication interact between humans and large language models, further underscoring the need for calibration-specific frameworks. Lee, Lee, and Bosch (2025) found that learning behaviors mediate the effects of metacognitive calibration in AI-supported learning, suggesting that the two types of calibration interact in complex ways. This paper argues that trust calibration constitutes a distinct regulatory challenge demanding its own theoretical attention and design solutions. While SRL calibration has generated a robust research program with validated instruments, intervention designs, and longitudinal evidence (Pieschl, 2009; Panadero, 2017), trust calibration in educational AI remains at the pre-paradigmatic stage—lacking even the basic measurement infrastructure that SRL calibration has long enjoyed.</w:t>
      </w:r>
    </w:p>
    <w:p>
      <w:pPr>
        <w:spacing w:before="240" w:after="120" w:line="480" w:lineRule="auto"/>
      </w:pPr>
      <w:r>
        <w:rPr>
          <w:rFonts w:ascii="Times New Roman" w:hAnsi="Times New Roman"/>
          <w:b/>
          <w:i w:val="0"/>
          <w:sz w:val="24"/>
        </w:rPr>
        <w:t>Why TAM/UTAUT Cannot Capture Calibration</w:t>
      </w:r>
    </w:p>
    <w:p>
      <w:pPr>
        <w:spacing w:before="0" w:after="0" w:line="480" w:lineRule="auto"/>
        <w:ind w:firstLine="720"/>
      </w:pPr>
      <w:r>
        <w:rPr>
          <w:rFonts w:ascii="Times New Roman" w:hAnsi="Times New Roman"/>
          <w:b w:val="0"/>
          <w:i w:val="0"/>
          <w:sz w:val="24"/>
        </w:rPr>
        <w:t>Technology acceptance models constitute the most common theoretical framework in educational AI trust research. Yet their structural design makes them incapable of addressing calibration. In TAM (Davis, 1989) and UTAUT (Venkatesh et al., 2003), trust functions as one predictor among several—alongside perceived usefulness, ease of use, and social influence—of a single outcome: adoption intention. This architecture has two consequences relevant to calibration.</w:t>
      </w:r>
    </w:p>
    <w:p>
      <w:pPr>
        <w:spacing w:before="0" w:after="0" w:line="480" w:lineRule="auto"/>
        <w:ind w:firstLine="720"/>
      </w:pPr>
      <w:r>
        <w:rPr>
          <w:rFonts w:ascii="Times New Roman" w:hAnsi="Times New Roman"/>
          <w:b w:val="0"/>
          <w:i w:val="0"/>
          <w:sz w:val="24"/>
        </w:rPr>
        <w:t xml:space="preserve">First, trust is always positioned as a variable to be </w:t>
      </w:r>
      <w:r>
        <w:rPr>
          <w:rFonts w:ascii="Times New Roman" w:hAnsi="Times New Roman"/>
          <w:b w:val="0"/>
          <w:i/>
          <w:sz w:val="24"/>
        </w:rPr>
        <w:t>maximized</w:t>
      </w:r>
      <w:r>
        <w:rPr>
          <w:rFonts w:ascii="Times New Roman" w:hAnsi="Times New Roman"/>
          <w:b w:val="0"/>
          <w:i w:val="0"/>
          <w:sz w:val="24"/>
        </w:rPr>
        <w:t xml:space="preserve">: higher trust predicts greater adoption, and greater adoption is implicitly desirable. There is no conceptual space for the possibility that trust can be </w:t>
      </w:r>
      <w:r>
        <w:rPr>
          <w:rFonts w:ascii="Times New Roman" w:hAnsi="Times New Roman"/>
          <w:b w:val="0"/>
          <w:i/>
          <w:sz w:val="24"/>
        </w:rPr>
        <w:t>too high</w:t>
      </w:r>
      <w:r>
        <w:rPr>
          <w:rFonts w:ascii="Times New Roman" w:hAnsi="Times New Roman"/>
          <w:b w:val="0"/>
          <w:i w:val="0"/>
          <w:sz w:val="24"/>
        </w:rPr>
        <w:t>—that the optimal trust level depends on the system's actual reliability for a given task. The very question the calibration lens asks—"Is this level of trust warranted?"—is structurally invisible within TAM/UTAUT.</w:t>
      </w:r>
    </w:p>
    <w:p>
      <w:pPr>
        <w:spacing w:before="0" w:after="0" w:line="480" w:lineRule="auto"/>
        <w:ind w:firstLine="720"/>
      </w:pPr>
      <w:r>
        <w:rPr>
          <w:rFonts w:ascii="Times New Roman" w:hAnsi="Times New Roman"/>
          <w:b w:val="0"/>
          <w:i w:val="0"/>
          <w:sz w:val="24"/>
        </w:rPr>
        <w:t xml:space="preserve">Second, these models lack an </w:t>
      </w:r>
      <w:r>
        <w:rPr>
          <w:rFonts w:ascii="Times New Roman" w:hAnsi="Times New Roman"/>
          <w:b w:val="0"/>
          <w:i/>
          <w:sz w:val="24"/>
        </w:rPr>
        <w:t>AI reliability</w:t>
      </w:r>
      <w:r>
        <w:rPr>
          <w:rFonts w:ascii="Times New Roman" w:hAnsi="Times New Roman"/>
          <w:b w:val="0"/>
          <w:i w:val="0"/>
          <w:sz w:val="24"/>
        </w:rPr>
        <w:t xml:space="preserve"> axis. They capture the learner's perceptions but not the system's actual capabilities. Without simultaneous measurement of both trust and reliability, calibration—the correspondence between the two—cannot be assessed. This is not a minor limitation; it is a structural blind spot that, following Kuhn (1962), characterizes what happens when a paradigm's assumptions render certain questions invisible. The field's reliance on technology acceptance frameworks has systematically directed attention toward the question "Do learners trust AI?" while obscuring the more consequential question "Is their trust calibrated?"</w:t>
      </w:r>
    </w:p>
    <w:p>
      <w:pPr>
        <w:spacing w:before="240" w:after="120" w:line="480" w:lineRule="auto"/>
        <w:jc w:val="center"/>
      </w:pPr>
      <w:r>
        <w:rPr>
          <w:rFonts w:ascii="Times New Roman" w:hAnsi="Times New Roman"/>
          <w:b/>
          <w:i w:val="0"/>
          <w:sz w:val="24"/>
        </w:rPr>
        <w:t>Review Approach</w:t>
      </w:r>
    </w:p>
    <w:p>
      <w:pPr>
        <w:spacing w:before="240" w:after="120" w:line="480" w:lineRule="auto"/>
      </w:pPr>
      <w:r>
        <w:rPr>
          <w:rFonts w:ascii="Times New Roman" w:hAnsi="Times New Roman"/>
          <w:b/>
          <w:i w:val="0"/>
          <w:sz w:val="24"/>
        </w:rPr>
        <w:t>Review Type and Justification</w:t>
      </w:r>
    </w:p>
    <w:p>
      <w:pPr>
        <w:spacing w:before="0" w:after="0" w:line="480" w:lineRule="auto"/>
        <w:ind w:firstLine="720"/>
      </w:pPr>
      <w:r>
        <w:rPr>
          <w:rFonts w:ascii="Times New Roman" w:hAnsi="Times New Roman"/>
          <w:b w:val="0"/>
          <w:i w:val="0"/>
          <w:sz w:val="24"/>
        </w:rPr>
        <w:t>This paper adopts a critical review approach (Grant &amp; Booth, 2009). Unlike systematic or scoping reviews that aim for exhaustive coverage, a critical review prioritizes theoretical synthesis, critical appraisal, and gap identification to motivate new conceptual contributions (Pare et al., 2015). This choice reflects the paper's dual contribution: the Research Orientation Typology requires a corpus large enough for typological analysis, while the calibration gap diagnosis and paradigm shift argument require integrative theoretical reasoning rather than exhaustive enumeration. The critical review methodology is well-suited to this combination of empirical pattern identification and conceptual development, consistent with recognized review typologies (Peters et al., 2020). The approach follows Pare et al.'s (2015) criteria for critical reviews: going beyond describing the literature to analyzing, synthesizing, and reconceptualizing the field's orientation.</w:t>
      </w:r>
    </w:p>
    <w:p>
      <w:pPr>
        <w:spacing w:before="240" w:after="120" w:line="480" w:lineRule="auto"/>
      </w:pPr>
      <w:r>
        <w:rPr>
          <w:rFonts w:ascii="Times New Roman" w:hAnsi="Times New Roman"/>
          <w:b/>
          <w:i w:val="0"/>
          <w:sz w:val="24"/>
        </w:rPr>
        <w:t>Search Strategy</w:t>
      </w:r>
    </w:p>
    <w:p>
      <w:pPr>
        <w:spacing w:before="0" w:after="0" w:line="480" w:lineRule="auto"/>
        <w:ind w:firstLine="720"/>
      </w:pPr>
      <w:r>
        <w:rPr>
          <w:rFonts w:ascii="Times New Roman" w:hAnsi="Times New Roman"/>
          <w:b w:val="0"/>
          <w:i w:val="0"/>
          <w:sz w:val="24"/>
        </w:rPr>
        <w:t>We searched Web of Science, Scopus, and PsycINFO (2015–2026) combining trust-related terms ("trust" OR "trust calibration" OR "overtrust" OR "reliance" OR "overreliance") with educational AI terms ("educational AI" OR "AI-assisted learning" OR "generative AI" OR "intelligent tutoring" OR "AI in education"). This temporal scope captures the maturation of intelligent tutoring systems and the transformative period following public LLM releases. Papers were selected based on relevance to trust dynamics in educational AI, prioritizing: (a) empirical studies measuring trust or calibration; (b) theoretical frameworks addressing trust in learning environments; and (c) studies from adjacent fields with clear educational applicability.</w:t>
      </w:r>
    </w:p>
    <w:p>
      <w:pPr>
        <w:spacing w:before="0" w:after="0" w:line="480" w:lineRule="auto"/>
        <w:ind w:firstLine="720"/>
      </w:pPr>
      <w:r>
        <w:rPr>
          <w:rFonts w:ascii="Times New Roman" w:hAnsi="Times New Roman"/>
          <w:b w:val="0"/>
          <w:i w:val="0"/>
          <w:sz w:val="24"/>
        </w:rPr>
        <w:t>Database searches were supplemented with backward and forward citation tracking from seminal works (Lee &amp; See, 2004; Mayer et al., 1995; Hoff &amp; Bashir, 2015; Bastani et al., 2025), yielding 16 additional papers from the human factors and HCI literature that directly address trust calibration measurement and intervention. We acknowledge that this supplementary search was purposively designed to capture calibration-relevant work; the resulting asymmetry between database-sourced and supplementary papers is reported transparently as evidence of the disciplinary blind spot rather than treated as a neutral sampling outcome. Through this process, 147 papers were identified for full-text analysis, comprising 81 papers from database searches and 16 from supplementary citation tracking (see Figure 1 for the PRISMA-style selection flow). Of these, 97 were coded using the 32-field coding scheme; the remaining 50 could not be coded due to full-text access limitations at the time of analysis. The coded corpus spans publication years from 2019 to 2026, with a heavy concentration in 2025 (64.9%), reflecting the rapid growth of trust-related AI scholarship following public LLM releases. Study types include reviews (50.5%), empirical studies (37.1%), theoretical papers (8.2%), and mixed methods studies (4.1%).</w:t>
      </w:r>
    </w:p>
    <w:p>
      <w:pPr>
        <w:spacing w:before="240" w:after="0" w:line="480" w:lineRule="auto"/>
      </w:pPr>
      <w:r>
        <w:rPr>
          <w:rFonts w:ascii="Times New Roman" w:hAnsi="Times New Roman"/>
          <w:b/>
          <w:i/>
          <w:sz w:val="24"/>
        </w:rPr>
        <w:t>Figure 1</w:t>
      </w:r>
    </w:p>
    <w:p>
      <w:pPr>
        <w:spacing w:before="0" w:after="120" w:line="480" w:lineRule="auto"/>
      </w:pPr>
      <w:r>
        <w:rPr>
          <w:rFonts w:ascii="Times New Roman" w:hAnsi="Times New Roman"/>
          <w:b w:val="0"/>
          <w:i w:val="0"/>
          <w:sz w:val="24"/>
        </w:rPr>
        <w:t>PRISMA-style flow diagram of the literature search and selection process.</w:t>
      </w:r>
    </w:p>
    <w:p>
      <w:pPr>
        <w:spacing w:before="0" w:after="240" w:line="240" w:lineRule="auto"/>
        <w:jc w:val="center"/>
      </w:pPr>
      <w:r>
        <w:drawing>
          <wp:inline xmlns:a="http://schemas.openxmlformats.org/drawingml/2006/main" xmlns:pic="http://schemas.openxmlformats.org/drawingml/2006/picture">
            <wp:extent cx="5486400" cy="6514669"/>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486400" cy="6514669"/>
                    </a:xfrm>
                    <a:prstGeom prst="rect"/>
                  </pic:spPr>
                </pic:pic>
              </a:graphicData>
            </a:graphic>
          </wp:inline>
        </w:drawing>
      </w:r>
    </w:p>
    <w:p>
      <w:pPr>
        <w:spacing w:before="240" w:after="120" w:line="480" w:lineRule="auto"/>
      </w:pPr>
      <w:r>
        <w:rPr>
          <w:rFonts w:ascii="Times New Roman" w:hAnsi="Times New Roman"/>
          <w:b/>
          <w:i w:val="0"/>
          <w:sz w:val="24"/>
        </w:rPr>
        <w:t>Coding and Analysis</w:t>
      </w:r>
    </w:p>
    <w:p>
      <w:pPr>
        <w:spacing w:before="0" w:after="0" w:line="480" w:lineRule="auto"/>
        <w:ind w:firstLine="720"/>
      </w:pPr>
      <w:r>
        <w:rPr>
          <w:rFonts w:ascii="Times New Roman" w:hAnsi="Times New Roman"/>
          <w:b w:val="0"/>
          <w:i w:val="0"/>
          <w:sz w:val="24"/>
        </w:rPr>
        <w:t>Each paper was coded using a 32-field scheme capturing: bibliographic information (authors, year, source, DOI); trust conceptualization (definition presence, construct type, dimensionality); theoretical framework (named frameworks, engagement depth); measurement approach (trust measurement, calibration measurement, instrument type, measurement modality); calibration engagement (calibration addressed, overtrust discussed, undertrust discussed); and design features (scaffold proposed, scaffold type, oversight design). The full coding manual is available as a supplementary document.</w:t>
      </w:r>
    </w:p>
    <w:p>
      <w:pPr>
        <w:spacing w:before="0" w:after="0" w:line="480" w:lineRule="auto"/>
        <w:ind w:firstLine="720"/>
      </w:pPr>
      <w:r>
        <w:rPr>
          <w:rFonts w:ascii="Times New Roman" w:hAnsi="Times New Roman"/>
          <w:b w:val="0"/>
          <w:i w:val="0"/>
          <w:sz w:val="24"/>
        </w:rPr>
        <w:t>Coding was conducted by the first author for all 97 papers. The second author independently coded a random subsample of approximately 20–30% to establish intercoder reliability. Cohen's kappa was computed for key categorical variables including addresses_calibration, overtrust_discussed, undertrust_discussed, scaffold_proposed, and theoretical_framework classification. Discrepancies were resolved through discussion; any remaining disagreements were adjudicated by consensus.</w:t>
      </w:r>
    </w:p>
    <w:p>
      <w:pPr>
        <w:spacing w:before="0" w:after="0" w:line="480" w:lineRule="auto"/>
        <w:ind w:firstLine="720"/>
      </w:pPr>
      <w:r>
        <w:rPr>
          <w:rFonts w:ascii="Times New Roman" w:hAnsi="Times New Roman"/>
          <w:b w:val="0"/>
          <w:i w:val="0"/>
          <w:sz w:val="24"/>
        </w:rPr>
        <w:t>Selected works were analyzed thematically across three dimensions corresponding to the research questions: trust conceptualization and theoretical framing (RQ1), calibration engagement and measurement approaches (RQ2), and the calibration gap diagnosis motivating the paradigm shift argument (RQ3). Quantitative analysis of the coded data included frequency distributions, cross-tabulations (e.g., trust measured × calibration measured; domain × theoretical framework; domain × study type), and the domain distribution analysis reported in Section 4.</w:t>
      </w:r>
    </w:p>
    <w:p>
      <w:pPr>
        <w:spacing w:before="0" w:after="0" w:line="480" w:lineRule="auto"/>
        <w:ind w:firstLine="720"/>
      </w:pPr>
      <w:r>
        <w:rPr>
          <w:rFonts w:ascii="Times New Roman" w:hAnsi="Times New Roman"/>
          <w:b w:val="0"/>
          <w:i w:val="0"/>
          <w:sz w:val="24"/>
        </w:rPr>
        <w:t>The 5-domain Research Orientation Typology was derived as a post-hoc classification using five coded variables (addresses_calibration, overtrust_discussed, undertrust_discussed, scaffold_proposed, theoretical_framework) applied through deterministic priority rules (see Section 4.1 and Appendix D). Because the typology is algorithmically derived from existing coded fields, its reliability is bounded by the reliability of its input variables. A typological approach was selected because it reveals structural patterns invisible in variable-by-variable analysis and provides the diagnostic power needed to identify the calibration gap (Bailey, 1994; Doty &amp; Glick, 1994). This approach is consistent with Doty and Glick's (1994) argument that typologies constitute a unique form of theory building, organizing complex empirical landscapes into coherent configurations that generate testable predictions.</w:t>
      </w:r>
    </w:p>
    <w:p>
      <w:pPr>
        <w:spacing w:before="240" w:after="120" w:line="480" w:lineRule="auto"/>
      </w:pPr>
      <w:r>
        <w:rPr>
          <w:rFonts w:ascii="Times New Roman" w:hAnsi="Times New Roman"/>
          <w:b/>
          <w:i w:val="0"/>
          <w:sz w:val="24"/>
        </w:rPr>
        <w:t>Methodological Limitations</w:t>
      </w:r>
    </w:p>
    <w:p>
      <w:pPr>
        <w:spacing w:before="0" w:after="0" w:line="480" w:lineRule="auto"/>
        <w:ind w:firstLine="720"/>
      </w:pPr>
      <w:r>
        <w:rPr>
          <w:rFonts w:ascii="Times New Roman" w:hAnsi="Times New Roman"/>
          <w:b w:val="0"/>
          <w:i w:val="0"/>
          <w:sz w:val="24"/>
        </w:rPr>
        <w:t>This is not a full systematic review, and the search strategy does not claim exhaustive coverage. Several design choices constrain the findings and should be considered when interpreting the results. The literature search was limited to English-language publications, potentially excluding relevant work from non-Anglophone research traditions. 50 of 147 identified papers could not be coded due to full-text access limitations at the time of analysis, representing a potential source of selection bias. The supplementary citation tracking was purposively designed to capture calibration-relevant work from adjacent disciplines, introducing intentional selection bias that we report transparently throughout the findings. The resulting 16 supplementary papers are not representative of the broader educational AI corpus; rather, they serve as evidence that calibration research exists elsewhere while remaining absent from educational AI databases. These limitations and their implications for interpreting the domain distribution are discussed further in Section 7.1.</w:t>
      </w:r>
    </w:p>
    <w:p>
      <w:pPr>
        <w:spacing w:before="240" w:after="120" w:line="480" w:lineRule="auto"/>
        <w:jc w:val="center"/>
      </w:pPr>
      <w:r>
        <w:rPr>
          <w:rFonts w:ascii="Times New Roman" w:hAnsi="Times New Roman"/>
          <w:b/>
          <w:i w:val="0"/>
          <w:sz w:val="24"/>
        </w:rPr>
        <w:t>Findings: The Research Orientation Typology</w:t>
      </w:r>
    </w:p>
    <w:p>
      <w:pPr>
        <w:spacing w:before="240" w:after="120" w:line="480" w:lineRule="auto"/>
      </w:pPr>
      <w:r>
        <w:rPr>
          <w:rFonts w:ascii="Times New Roman" w:hAnsi="Times New Roman"/>
          <w:b/>
          <w:i w:val="0"/>
          <w:sz w:val="24"/>
        </w:rPr>
        <w:t>Overview: Five Domains of Trust Research</w:t>
      </w:r>
    </w:p>
    <w:p>
      <w:pPr>
        <w:spacing w:before="0" w:after="0" w:line="480" w:lineRule="auto"/>
        <w:ind w:firstLine="720"/>
      </w:pPr>
      <w:r>
        <w:rPr>
          <w:rFonts w:ascii="Times New Roman" w:hAnsi="Times New Roman"/>
          <w:b w:val="0"/>
          <w:i w:val="0"/>
          <w:sz w:val="24"/>
        </w:rPr>
        <w:t>To move beyond variable-by-variable reporting, we classified the 97 coded papers into a Research Orientation Typology comprising five domains arranged along a trust calibration maturity spectrum (Table 1; Figure 2). Each domain represents a qualitatively distinct orientation toward trust in educational AI, from acceptance-focused research (D1) through calibration-focused research (D5).</w:t>
      </w:r>
    </w:p>
    <w:p>
      <w:pPr>
        <w:spacing w:before="240" w:after="0" w:line="480" w:lineRule="auto"/>
      </w:pPr>
      <w:r>
        <w:rPr>
          <w:rFonts w:ascii="Times New Roman" w:hAnsi="Times New Roman"/>
          <w:b/>
          <w:i/>
          <w:sz w:val="24"/>
        </w:rPr>
        <w:t>Figure 2</w:t>
      </w:r>
    </w:p>
    <w:p>
      <w:pPr>
        <w:spacing w:before="0" w:after="120" w:line="480" w:lineRule="auto"/>
      </w:pPr>
      <w:r>
        <w:rPr>
          <w:rFonts w:ascii="Times New Roman" w:hAnsi="Times New Roman"/>
          <w:b w:val="0"/>
          <w:i w:val="0"/>
          <w:sz w:val="24"/>
        </w:rPr>
        <w:t>Research Orientation Typology distribution across five domains (D1–D5). The red dashed line marks the calibration threshold; 83.5% of studies fall below it (D1–D4), while only 16.5% reach D5 (Trust Calibration).</w:t>
      </w:r>
    </w:p>
    <w:p>
      <w:pPr>
        <w:spacing w:before="0" w:after="240" w:line="240" w:lineRule="auto"/>
        <w:jc w:val="center"/>
      </w:pPr>
      <w:r>
        <w:drawing>
          <wp:inline xmlns:a="http://schemas.openxmlformats.org/drawingml/2006/main" xmlns:pic="http://schemas.openxmlformats.org/drawingml/2006/picture">
            <wp:extent cx="5486400" cy="3600514"/>
            <wp:docPr id="2" name="Picture 2"/>
            <wp:cNvGraphicFramePr>
              <a:graphicFrameLocks noChangeAspect="1"/>
            </wp:cNvGraphicFramePr>
            <a:graphic>
              <a:graphicData uri="http://schemas.openxmlformats.org/drawingml/2006/picture">
                <pic:pic>
                  <pic:nvPicPr>
                    <pic:cNvPr id="0" name="figure2_domain_typology.png"/>
                    <pic:cNvPicPr/>
                  </pic:nvPicPr>
                  <pic:blipFill>
                    <a:blip r:embed="rId10"/>
                    <a:stretch>
                      <a:fillRect/>
                    </a:stretch>
                  </pic:blipFill>
                  <pic:spPr>
                    <a:xfrm>
                      <a:off x="0" y="0"/>
                      <a:ext cx="5486400" cy="3600514"/>
                    </a:xfrm>
                    <a:prstGeom prst="rect"/>
                  </pic:spPr>
                </pic:pic>
              </a:graphicData>
            </a:graphic>
          </wp:inline>
        </w:drawing>
      </w:r>
    </w:p>
    <w:p>
      <w:pPr>
        <w:spacing w:before="0" w:after="0" w:line="480" w:lineRule="auto"/>
        <w:ind w:firstLine="720"/>
      </w:pPr>
      <w:r>
        <w:rPr>
          <w:rFonts w:ascii="Times New Roman" w:hAnsi="Times New Roman"/>
          <w:b w:val="0"/>
          <w:i w:val="0"/>
          <w:sz w:val="24"/>
        </w:rPr>
        <w:t>The classification uses five coded variables applied through deterministic priority rules (detailed in Appendix D). In order of priority: papers addressing calibration explicitly (addresses_calibration = "yes") are classified as D5; papers recognizing overtrust or undertrust with partial calibration engagement (addresses_calibration = "partially" AND at least one trust direction discussed) are classified as D4, with subcategories D4a (overtrust only), D4b (undertrust only), and D4c (both directions) based on directionality; papers proposing scaffolds without meeting D4/D5 criteria are D3; papers whose sole theoretical contribution is through TAM/UTAUT/DOI frameworks without other qualifying features are D1; and all remaining papers are D2. Priority ordering ensures that papers meeting multiple criteria are classified at their highest maturity level, preventing double-counting and ensuring mutually exclusive assignment.</w:t>
      </w:r>
    </w:p>
    <w:p>
      <w:pPr>
        <w:spacing w:before="0" w:after="0" w:line="480" w:lineRule="auto"/>
        <w:ind w:firstLine="720"/>
      </w:pPr>
      <w:r>
        <w:rPr>
          <w:rFonts w:ascii="Times New Roman" w:hAnsi="Times New Roman"/>
          <w:b w:val="0"/>
          <w:i w:val="0"/>
          <w:sz w:val="24"/>
        </w:rPr>
        <w:t>The distribution reveals a field concentrated below the calibration threshold (Table 1; Figure 2): D1 (Trust Adoption, n=5, 5.2%), D2 (Trust Conceptualization, n=11, 11.3%), D3 (Trust Design, n=24, 24.7%), D4 (Trust Awareness, n=41, 42.3%), and D5 (Trust Calibration, n=16, 16.5%). Together, 83.5% of the corpus (D1–D4) operates without explicit calibration engagement. Only 16.5% reaches D5—and of those, 13 of 16 papers were identified through supplementary citation tracking from adjacent disciplines, not from the original educational AI databases. The corpus is temporally concentrated: 64.9% of papers were published in 2025, reflecting the rapid growth of GenAI-related trust scholarship.</w:t>
      </w:r>
    </w:p>
    <w:p>
      <w:pPr>
        <w:spacing w:before="240" w:after="120" w:line="480" w:lineRule="auto"/>
      </w:pPr>
      <w:r>
        <w:rPr>
          <w:rFonts w:ascii="Times New Roman" w:hAnsi="Times New Roman"/>
          <w:b/>
          <w:i w:val="0"/>
          <w:sz w:val="24"/>
        </w:rPr>
        <w:t>D1: Trust Adoption (n=5, 5.2%)</w:t>
      </w:r>
    </w:p>
    <w:p>
      <w:pPr>
        <w:spacing w:before="0" w:after="0" w:line="480" w:lineRule="auto"/>
        <w:ind w:firstLine="720"/>
      </w:pPr>
      <w:r>
        <w:rPr>
          <w:rFonts w:ascii="Times New Roman" w:hAnsi="Times New Roman"/>
          <w:b w:val="0"/>
          <w:i w:val="0"/>
          <w:sz w:val="24"/>
        </w:rPr>
        <w:t xml:space="preserve">Domain 1 encompasses studies that employ technology acceptance frameworks (TAM, UTAUT, DOI) as their sole theoretical orientation, treating trust exclusively as a predictor of AI adoption. In these studies, the research question is whether learners will </w:t>
      </w:r>
      <w:r>
        <w:rPr>
          <w:rFonts w:ascii="Times New Roman" w:hAnsi="Times New Roman"/>
          <w:b w:val="0"/>
          <w:i/>
          <w:sz w:val="24"/>
        </w:rPr>
        <w:t>adopt</w:t>
      </w:r>
      <w:r>
        <w:rPr>
          <w:rFonts w:ascii="Times New Roman" w:hAnsi="Times New Roman"/>
          <w:b w:val="0"/>
          <w:i w:val="0"/>
          <w:sz w:val="24"/>
        </w:rPr>
        <w:t xml:space="preserve"> AI tools, with trust positioned alongside perceived usefulness, ease of use, and social influence as an antecedent of adoption intention. Representative D1 papers examine university students' intentions to use AI tools through survey instruments measuring acceptance constructs, reporting path coefficients from trust to behavioral intention.</w:t>
      </w:r>
    </w:p>
    <w:p>
      <w:pPr>
        <w:spacing w:before="0" w:after="0" w:line="480" w:lineRule="auto"/>
        <w:ind w:firstLine="720"/>
      </w:pPr>
      <w:r>
        <w:rPr>
          <w:rFonts w:ascii="Times New Roman" w:hAnsi="Times New Roman"/>
          <w:b w:val="0"/>
          <w:i w:val="0"/>
          <w:sz w:val="24"/>
        </w:rPr>
        <w:t>The D1 orientation is structurally unable to address calibration because its dependent variable—adoption—is unidirectional. Higher trust leads to greater adoption, and the framework provides no mechanism for evaluating whether that trust is warranted. A student who trusts ChatGPT completely and adopts it for all tasks would score maximally on trust and adoption scales, regardless of whether the AI is reliable for those tasks. The limitation is not empirical but architectural: the framework's structure renders calibration invisible. The D1 papers constitute a methodologically rigorous but theoretically constrained tradition that, by design, cannot ask the question this review identifies as central. While their contributions to understanding adoption antecedents are valuable, their exclusive focus on acceptance means they cannot contribute to the calibration agenda without fundamental theoretical extension.</w:t>
      </w:r>
    </w:p>
    <w:p>
      <w:pPr>
        <w:spacing w:before="240" w:after="120" w:line="480" w:lineRule="auto"/>
      </w:pPr>
      <w:r>
        <w:rPr>
          <w:rFonts w:ascii="Times New Roman" w:hAnsi="Times New Roman"/>
          <w:b/>
          <w:i w:val="0"/>
          <w:sz w:val="24"/>
        </w:rPr>
        <w:t>D2: Trust Conceptualization (n=11, 11.3%)</w:t>
      </w:r>
    </w:p>
    <w:p>
      <w:pPr>
        <w:spacing w:before="0" w:after="0" w:line="480" w:lineRule="auto"/>
        <w:ind w:firstLine="720"/>
      </w:pPr>
      <w:r>
        <w:rPr>
          <w:rFonts w:ascii="Times New Roman" w:hAnsi="Times New Roman"/>
          <w:b w:val="0"/>
          <w:i w:val="0"/>
          <w:sz w:val="24"/>
        </w:rPr>
        <w:t>Domain 2 includes studies that discuss trust in educational AI at a general conceptual level without proposing design interventions, identifying specific miscalibration problems, or employing systematic theoretical frameworks. These papers acknowledge trust as a relevant variable in educational AI but treat it as self-evident rather than requiring operationalization. D2 papers typically review existing literature, identify trust as a concern in AI-mediated learning, and call for further research without specifying what form that research should take.</w:t>
      </w:r>
    </w:p>
    <w:p>
      <w:pPr>
        <w:spacing w:before="0" w:after="0" w:line="480" w:lineRule="auto"/>
        <w:ind w:firstLine="720"/>
      </w:pPr>
      <w:r>
        <w:rPr>
          <w:rFonts w:ascii="Times New Roman" w:hAnsi="Times New Roman"/>
          <w:b w:val="0"/>
          <w:i w:val="0"/>
          <w:sz w:val="24"/>
        </w:rPr>
        <w:t>This domain reflects a broader pattern in the corpus: 84.5% of all 97 papers provided no explicit definition of trust, treating it as a concept requiring no specification. Only 9 papers (9.3%) offered an explicit operational definition, while 6 (6.2%) employed implicit definitions discernible from context. Yet trust is a documented multidimensional construct in both organizational (Mayer et al., 1995) and human factors traditions (Lee &amp; See, 2004; Hoff &amp; Bashir, 2015). The absence of definitional precision in D2 papers—and across much of the corpus—means that fundamentally different phenomena (dispositional tendencies, context-specific judgments, accumulated experiential assessments) are collapsed into a single undifferentiated variable, obscuring the kind of fine-grained analysis required for calibration research. The vast majority of the corpus—86 of 97 papers (88.7%)—conceptualized trust as "trust in AI" as a general construct, while only 6 papers (6.2%) employed the more specialized trust-in-automation framing from human factors research.</w:t>
      </w:r>
    </w:p>
    <w:p>
      <w:pPr>
        <w:spacing w:before="240" w:after="120" w:line="480" w:lineRule="auto"/>
      </w:pPr>
      <w:r>
        <w:rPr>
          <w:rFonts w:ascii="Times New Roman" w:hAnsi="Times New Roman"/>
          <w:b/>
          <w:i w:val="0"/>
          <w:sz w:val="24"/>
        </w:rPr>
        <w:t>D3: Trust Design (n=24, 24.7%)</w:t>
      </w:r>
    </w:p>
    <w:p>
      <w:pPr>
        <w:spacing w:before="0" w:after="0" w:line="480" w:lineRule="auto"/>
        <w:ind w:firstLine="720"/>
      </w:pPr>
      <w:r>
        <w:rPr>
          <w:rFonts w:ascii="Times New Roman" w:hAnsi="Times New Roman"/>
          <w:b w:val="0"/>
          <w:i w:val="0"/>
          <w:sz w:val="24"/>
        </w:rPr>
        <w:t>Domain 3 represents a substantial portion of the corpus: studies that propose scaffolds, design features, or interventions related to trust in AI-assisted learning. These papers go beyond conceptual discussion to recommend concrete design approaches. Overall, 63 papers (64.9%) across the corpus proposed some form of scaffold, with transparency mechanisms being the most common type (24 papers, 24.7%), followed by multiple scaffold combinations (24 papers, 24.7%), and other approaches (9 papers, 9.3%). The 24 D3 papers are those whose scaffold proposals are their primary contribution but which lack calibration criteria or trust direction awareness.</w:t>
      </w:r>
    </w:p>
    <w:p>
      <w:pPr>
        <w:spacing w:before="0" w:after="0" w:line="480" w:lineRule="auto"/>
        <w:ind w:firstLine="720"/>
      </w:pPr>
      <w:r>
        <w:rPr>
          <w:rFonts w:ascii="Times New Roman" w:hAnsi="Times New Roman"/>
          <w:b w:val="0"/>
          <w:i w:val="0"/>
          <w:sz w:val="24"/>
        </w:rPr>
        <w:t xml:space="preserve">The critical limitation of D3 research is the absence of calibration criteria. When a D3 paper proposes "increasing transparency to build trust," it implicitly assumes that higher trust is always desirable. But transparency can paradoxically </w:t>
      </w:r>
      <w:r>
        <w:rPr>
          <w:rFonts w:ascii="Times New Roman" w:hAnsi="Times New Roman"/>
          <w:b w:val="0"/>
          <w:i/>
          <w:sz w:val="24"/>
        </w:rPr>
        <w:t>worsen</w:t>
      </w:r>
      <w:r>
        <w:rPr>
          <w:rFonts w:ascii="Times New Roman" w:hAnsi="Times New Roman"/>
          <w:b w:val="0"/>
          <w:i w:val="0"/>
          <w:sz w:val="24"/>
        </w:rPr>
        <w:t xml:space="preserve"> calibration: if an AI system presents a confidently wrong answer with a clear, fluent explanation of its reasoning process, transparency may increase trust in an unreliable output. Consider an AI writing assistant that explains its essay structure with articulate reasoning—this transparency may lead a student to accept prose that sounds authoritative but contains factual errors. The design question should not be "How do we increase trust?" but "How do we align trust with reliability?"—a question that D3 research, by definition, does not ask.</w:t>
      </w:r>
    </w:p>
    <w:p>
      <w:pPr>
        <w:spacing w:before="0" w:after="0" w:line="480" w:lineRule="auto"/>
        <w:ind w:firstLine="720"/>
      </w:pPr>
      <w:r>
        <w:rPr>
          <w:rFonts w:ascii="Times New Roman" w:hAnsi="Times New Roman"/>
          <w:b w:val="0"/>
          <w:i w:val="0"/>
          <w:sz w:val="24"/>
        </w:rPr>
        <w:t xml:space="preserve">Notably, metacognitive scaffolds—arguably the most directly relevant to calibration—appeared in only 3 papers (3.1%) of the total corpus, compared to 24 papers proposing transparency scaffolds. This asymmetry is consequential: transparency addresses the </w:t>
      </w:r>
      <w:r>
        <w:rPr>
          <w:rFonts w:ascii="Times New Roman" w:hAnsi="Times New Roman"/>
          <w:b w:val="0"/>
          <w:i/>
          <w:sz w:val="24"/>
        </w:rPr>
        <w:t>information available</w:t>
      </w:r>
      <w:r>
        <w:rPr>
          <w:rFonts w:ascii="Times New Roman" w:hAnsi="Times New Roman"/>
          <w:b w:val="0"/>
          <w:i w:val="0"/>
          <w:sz w:val="24"/>
        </w:rPr>
        <w:t xml:space="preserve"> for trust judgments, while metacognitive scaffolds address the </w:t>
      </w:r>
      <w:r>
        <w:rPr>
          <w:rFonts w:ascii="Times New Roman" w:hAnsi="Times New Roman"/>
          <w:b w:val="0"/>
          <w:i/>
          <w:sz w:val="24"/>
        </w:rPr>
        <w:t>process</w:t>
      </w:r>
      <w:r>
        <w:rPr>
          <w:rFonts w:ascii="Times New Roman" w:hAnsi="Times New Roman"/>
          <w:b w:val="0"/>
          <w:i w:val="0"/>
          <w:sz w:val="24"/>
        </w:rPr>
        <w:t xml:space="preserve"> by which learners evaluate that information. Calibration requires both, but the field overwhelmingly emphasizes the former. The near-absence of metacognitive scaffolds suggests that the field's design thinking is oriented toward giving learners more information about AI systems rather than developing learners' capacity to evaluate that information—a distinction that maps directly onto the difference between transparency-driven and calibration-driven design.</w:t>
      </w:r>
    </w:p>
    <w:p>
      <w:pPr>
        <w:spacing w:before="240" w:after="120" w:line="480" w:lineRule="auto"/>
      </w:pPr>
      <w:r>
        <w:rPr>
          <w:rFonts w:ascii="Times New Roman" w:hAnsi="Times New Roman"/>
          <w:b/>
          <w:i w:val="0"/>
          <w:sz w:val="24"/>
        </w:rPr>
        <w:t>D4: Trust Awareness (n=41, 42.3%)</w:t>
      </w:r>
    </w:p>
    <w:p>
      <w:pPr>
        <w:spacing w:before="0" w:after="0" w:line="480" w:lineRule="auto"/>
        <w:ind w:firstLine="720"/>
      </w:pPr>
      <w:r>
        <w:rPr>
          <w:rFonts w:ascii="Times New Roman" w:hAnsi="Times New Roman"/>
          <w:b w:val="0"/>
          <w:i w:val="0"/>
          <w:sz w:val="24"/>
        </w:rPr>
        <w:t>Domain 4 is the largest in the corpus, comprising 42.3% of all coded papers. These studies recognize and discuss overtrust and/or undertrust as problems, engage partially with calibration, but stop short of explicitly measuring or systematically addressing trust calibration. D4 represents the field's growing awareness that trust can be miscalibrated—coupled with an inability to move from problem recognition to problem measurement.</w:t>
      </w:r>
    </w:p>
    <w:p>
      <w:pPr>
        <w:spacing w:before="0" w:after="0" w:line="480" w:lineRule="auto"/>
        <w:ind w:firstLine="720"/>
      </w:pPr>
      <w:r>
        <w:rPr>
          <w:rFonts w:ascii="Times New Roman" w:hAnsi="Times New Roman"/>
          <w:b w:val="0"/>
          <w:i w:val="0"/>
          <w:sz w:val="24"/>
        </w:rPr>
        <w:t>The D4 subcategories reveal the directionality of the field's trust awareness (Table 2). D4a (Overtrust Recognition, n=16, 16.5%) includes papers that discuss overreliance, uncritical acceptance, or automation complacency without addressing undertrust. These papers typically warn about students copying AI-generated content without verification or accepting AI recommendations uncritically, but they do not measure whether the observed reliance exceeds the AI's actual reliability—a measurement that would be required to confirm overtrust rather than merely infer it.</w:t>
      </w:r>
    </w:p>
    <w:p>
      <w:pPr>
        <w:spacing w:before="0" w:after="0" w:line="480" w:lineRule="auto"/>
        <w:ind w:firstLine="720"/>
      </w:pPr>
      <w:r>
        <w:rPr>
          <w:rFonts w:ascii="Times New Roman" w:hAnsi="Times New Roman"/>
          <w:b w:val="0"/>
          <w:i w:val="0"/>
          <w:sz w:val="24"/>
        </w:rPr>
        <w:t>D4b (Undertrust Recognition, n=18, 18.6%) includes papers discussing AI skepticism, rejection, or resistance without addressing overtrust. These papers often frame learner reluctance to adopt AI tools as a barrier to be overcome, reflecting the adoption-oriented framing characteristic of the broader field.</w:t>
      </w:r>
    </w:p>
    <w:p>
      <w:pPr>
        <w:spacing w:before="0" w:after="0" w:line="480" w:lineRule="auto"/>
        <w:ind w:firstLine="720"/>
      </w:pPr>
      <w:r>
        <w:rPr>
          <w:rFonts w:ascii="Times New Roman" w:hAnsi="Times New Roman"/>
          <w:b w:val="0"/>
          <w:i w:val="0"/>
          <w:sz w:val="24"/>
        </w:rPr>
        <w:t>D4c (Bidirectional Awareness, n=7, 7.2%) includes papers recognizing both directions of miscalibration. These papers are the most theoretically sophisticated within D4, acknowledging that trust can be both excessive and insufficient, but they remain below the D5 threshold because they do not measure or systematically address calibration.</w:t>
      </w:r>
    </w:p>
    <w:p>
      <w:pPr>
        <w:spacing w:before="0" w:after="0" w:line="480" w:lineRule="auto"/>
        <w:ind w:firstLine="720"/>
      </w:pPr>
      <w:r>
        <w:rPr>
          <w:rFonts w:ascii="Times New Roman" w:hAnsi="Times New Roman"/>
          <w:b w:val="0"/>
          <w:i w:val="0"/>
          <w:sz w:val="24"/>
        </w:rPr>
        <w:t xml:space="preserve">The finding that D4b slightly exceeds D4a is notable: in the educational AI discourse, concerns about learners </w:t>
      </w:r>
      <w:r>
        <w:rPr>
          <w:rFonts w:ascii="Times New Roman" w:hAnsi="Times New Roman"/>
          <w:b w:val="0"/>
          <w:i/>
          <w:sz w:val="24"/>
        </w:rPr>
        <w:t>rejecting</w:t>
      </w:r>
      <w:r>
        <w:rPr>
          <w:rFonts w:ascii="Times New Roman" w:hAnsi="Times New Roman"/>
          <w:b w:val="0"/>
          <w:i w:val="0"/>
          <w:sz w:val="24"/>
        </w:rPr>
        <w:t xml:space="preserve"> AI (undertrust) are marginally more common than concerns about learners </w:t>
      </w:r>
      <w:r>
        <w:rPr>
          <w:rFonts w:ascii="Times New Roman" w:hAnsi="Times New Roman"/>
          <w:b w:val="0"/>
          <w:i/>
          <w:sz w:val="24"/>
        </w:rPr>
        <w:t>overrelying</w:t>
      </w:r>
      <w:r>
        <w:rPr>
          <w:rFonts w:ascii="Times New Roman" w:hAnsi="Times New Roman"/>
          <w:b w:val="0"/>
          <w:i w:val="0"/>
          <w:sz w:val="24"/>
        </w:rPr>
        <w:t xml:space="preserve"> on AI (overtrust). This asymmetry may reflect the field's prevailing interest in promoting AI adoption—a framing in which resistance to AI is coded as a problem to be solved. Yet the calibration perspective suggests that whether rejection or acceptance is problematic depends entirely on the AI's actual reliability for the given task. A learner who rejects an unreliable AI recommendation is exhibiting calibrated avoidance, not a problem requiring intervention.</w:t>
      </w:r>
    </w:p>
    <w:p>
      <w:pPr>
        <w:spacing w:before="0" w:after="0" w:line="480" w:lineRule="auto"/>
        <w:ind w:firstLine="720"/>
      </w:pPr>
      <w:r>
        <w:rPr>
          <w:rFonts w:ascii="Times New Roman" w:hAnsi="Times New Roman"/>
          <w:b w:val="0"/>
          <w:i w:val="0"/>
          <w:sz w:val="24"/>
        </w:rPr>
        <w:t>The D4c papers—those recognizing both overtrust and undertrust—are theoretically closest to calibration research yet remain below the threshold because they identify the two failure modes without establishing measurement approaches for determining which mode applies in a given context. The 7 D4c papers acknowledge that trust can be both too high and too low, but none proposes methods for assessing whether a specific learner's trust is appropriate relative to the AI's actual capability.</w:t>
      </w:r>
    </w:p>
    <w:p>
      <w:pPr>
        <w:spacing w:before="0" w:after="0" w:line="480" w:lineRule="auto"/>
        <w:ind w:firstLine="720"/>
      </w:pPr>
      <w:r>
        <w:rPr>
          <w:rFonts w:ascii="Times New Roman" w:hAnsi="Times New Roman"/>
          <w:b w:val="0"/>
          <w:i w:val="0"/>
          <w:sz w:val="24"/>
        </w:rPr>
        <w:t xml:space="preserve">The central insight from D4 is that recognizing a problem is not the same as measuring it. A paper that warns about student overreliance on ChatGPT for essay writing but does not assess whether students' trust in ChatGPT's writing ability corresponds to ChatGPT's actual writing reliability has identified a </w:t>
      </w:r>
      <w:r>
        <w:rPr>
          <w:rFonts w:ascii="Times New Roman" w:hAnsi="Times New Roman"/>
          <w:b w:val="0"/>
          <w:i/>
          <w:sz w:val="24"/>
        </w:rPr>
        <w:t>potential</w:t>
      </w:r>
      <w:r>
        <w:rPr>
          <w:rFonts w:ascii="Times New Roman" w:hAnsi="Times New Roman"/>
          <w:b w:val="0"/>
          <w:i w:val="0"/>
          <w:sz w:val="24"/>
        </w:rPr>
        <w:t xml:space="preserve"> miscalibration without establishing whether one exists. This distinction—between awareness and measurement—is the threshold separating D4 from D5. The D4 cluster's dominance (42.3% of the corpus) indicates that the field is acutely aware of trust miscalibration as a problem but lacks the conceptual and measurement infrastructure to move from problem recognition to problem measurement.</w:t>
      </w:r>
    </w:p>
    <w:p>
      <w:pPr>
        <w:spacing w:before="240" w:after="120" w:line="480" w:lineRule="auto"/>
      </w:pPr>
      <w:r>
        <w:rPr>
          <w:rFonts w:ascii="Times New Roman" w:hAnsi="Times New Roman"/>
          <w:b/>
          <w:i w:val="0"/>
          <w:sz w:val="24"/>
        </w:rPr>
        <w:t>D5: Trust Calibration (n=16, 16.5%)</w:t>
      </w:r>
    </w:p>
    <w:p>
      <w:pPr>
        <w:spacing w:before="0" w:after="0" w:line="480" w:lineRule="auto"/>
        <w:ind w:firstLine="720"/>
      </w:pPr>
      <w:r>
        <w:rPr>
          <w:rFonts w:ascii="Times New Roman" w:hAnsi="Times New Roman"/>
          <w:b w:val="0"/>
          <w:i w:val="0"/>
          <w:sz w:val="24"/>
        </w:rPr>
        <w:t>Domain 5 encompasses the 16 papers that explicitly address trust calibration as a construct, measurement target, or intervention goal (Table 3). These papers engage directly with the correspondence between trust and system reliability, whether through experimental manipulation of calibration conditions, development of calibration measures, or systematic review of calibration methods.</w:t>
      </w:r>
    </w:p>
    <w:p>
      <w:pPr>
        <w:spacing w:before="0" w:after="0" w:line="480" w:lineRule="auto"/>
        <w:ind w:firstLine="720"/>
      </w:pPr>
      <w:r>
        <w:rPr>
          <w:rFonts w:ascii="Times New Roman" w:hAnsi="Times New Roman"/>
          <w:b w:val="0"/>
          <w:i w:val="0"/>
          <w:sz w:val="24"/>
        </w:rPr>
        <w:t xml:space="preserve">The disciplinary composition of D5 is the most consequential finding for the calibration gap argument. Only 3 of the 16 D5 papers (#12 Safarov et al., 2026; #13 Wang et al., 2026; #101 Carter et al., 2024) were identified through the original educational AI database searches. The remaining 13 came from supplementary citation tracking targeting the human factors, HCI, and cognitive science literatures. In percentage terms: only 3 of 81 database-sourced papers (3.7%) reached D5, compared to 13 of 16 supplementary papers (81.3%). This asymmetry is not a methodological artifact; the supplementary search was purposively designed to find calibration-relevant work. Rather, the asymmetry </w:t>
      </w:r>
      <w:r>
        <w:rPr>
          <w:rFonts w:ascii="Times New Roman" w:hAnsi="Times New Roman"/>
          <w:b w:val="0"/>
          <w:i/>
          <w:sz w:val="24"/>
        </w:rPr>
        <w:t>is</w:t>
      </w:r>
      <w:r>
        <w:rPr>
          <w:rFonts w:ascii="Times New Roman" w:hAnsi="Times New Roman"/>
          <w:b w:val="0"/>
          <w:i w:val="0"/>
          <w:sz w:val="24"/>
        </w:rPr>
        <w:t xml:space="preserve"> the finding: trust calibration is being studied productively in adjacent disciplines but has barely penetrated educational AI research.</w:t>
      </w:r>
    </w:p>
    <w:p>
      <w:pPr>
        <w:spacing w:before="0" w:after="0" w:line="480" w:lineRule="auto"/>
        <w:ind w:firstLine="720"/>
      </w:pPr>
      <w:r>
        <w:rPr>
          <w:rFonts w:ascii="Times New Roman" w:hAnsi="Times New Roman"/>
          <w:b w:val="0"/>
          <w:i w:val="0"/>
          <w:sz w:val="24"/>
        </w:rPr>
        <w:t>The three database-sourced D5 papers share an important characteristic: all three employ Lee and See's (2004) or Hoff and Bashir's (2015) trust-in-automation framework, suggesting that explicit adoption of calibration-oriented theoretical frameworks is a necessary condition for calibration-focused research in educational AI. Carter et al. (2024) applied the Human-Automation Trust Expectation Model to educational contexts; Safarov et al. (2026) and Wang et al. (2026) both drew on Lee and See's framework combined with trust-in-automation constructs. This pattern reinforces the TAM lock-in argument: the theoretical framework researchers choose determines whether calibration becomes visible as a research question.</w:t>
      </w:r>
    </w:p>
    <w:p>
      <w:pPr>
        <w:spacing w:before="0" w:after="0" w:line="480" w:lineRule="auto"/>
        <w:ind w:firstLine="720"/>
      </w:pPr>
      <w:r>
        <w:rPr>
          <w:rFonts w:ascii="Times New Roman" w:hAnsi="Times New Roman"/>
          <w:b w:val="0"/>
          <w:i w:val="0"/>
          <w:sz w:val="24"/>
        </w:rPr>
        <w:t>Key D5 exemplars illuminate what calibration research looks like (Table 3). Okamura and Yamada (2020) used behavioral dependence switching as a calibration proxy in human-AI collaboration tasks, demonstrating that adaptive calibration interventions can shift reliance patterns. Ma et al. (2024) demonstrated that self-confidence calibration prompts improve reliance behavior in AI-assisted decision making, providing direct evidence that metacognitive interventions can affect calibration. Li et al. (2024) directly manipulated AI confidence calibration levels to assess their effects on user trust, establishing a causal pathway from system-level calibration cues to user-level trust responses. Lee et al. (2025) established metacognitive sensitivity as a mechanism linking metacognition to trust calibration, providing the most direct conceptual bridge between SRL and trust calibration literatures. Vasconcelos et al. (2023) showed that explanations can reduce overreliance on AI systems during decision-making, though the effect operates through increased cognitive engagement rather than calibration per se. Wischnewski et al. (2023) surveyed 96 studies on trust calibration measurement for automated systems—a comprehensive mapping that notably identified zero studies from educational contexts. Mehrotra et al. (2024) systematically reviewed approaches to fostering appropriate trust in human-AI interaction, identifying the measurement gap as a central obstacle.</w:t>
      </w:r>
    </w:p>
    <w:p>
      <w:pPr>
        <w:spacing w:before="0" w:after="0" w:line="480" w:lineRule="auto"/>
        <w:ind w:firstLine="720"/>
      </w:pPr>
      <w:r>
        <w:rPr>
          <w:rFonts w:ascii="Times New Roman" w:hAnsi="Times New Roman"/>
          <w:b w:val="0"/>
          <w:i w:val="0"/>
          <w:sz w:val="24"/>
        </w:rPr>
        <w:t>These D5 studies demonstrate three important points. First, calibration measurement methods exist and have been productively applied in adjacent disciplines. Second, these methods have not been adopted in educational AI research—the gap is one of disciplinary disconnection, not methodological impossibility. Third, the emerging metacognition-calibration bridge (Lee et al., 2025; Lee &amp; Bosch, 2025; Steyvers &amp; Peters, 2025) suggests that educational researchers are uniquely positioned to advance calibration research by connecting established SRL traditions with the trust calibration construct.</w:t>
      </w:r>
    </w:p>
    <w:p>
      <w:pPr>
        <w:spacing w:before="240" w:after="120" w:line="480" w:lineRule="auto"/>
      </w:pPr>
      <w:r>
        <w:rPr>
          <w:rFonts w:ascii="Times New Roman" w:hAnsi="Times New Roman"/>
          <w:b/>
          <w:i w:val="0"/>
          <w:sz w:val="24"/>
        </w:rPr>
        <w:t>Cross-Cutting Observations</w:t>
      </w:r>
    </w:p>
    <w:p>
      <w:pPr>
        <w:spacing w:before="0" w:after="0" w:line="480" w:lineRule="auto"/>
        <w:ind w:firstLine="720"/>
      </w:pPr>
      <w:r>
        <w:rPr>
          <w:rFonts w:ascii="Times New Roman" w:hAnsi="Times New Roman"/>
          <w:b w:val="0"/>
          <w:i w:val="0"/>
          <w:sz w:val="24"/>
        </w:rPr>
        <w:t>Four patterns cut across all five domains and provide additional context for the calibration gap argument.</w:t>
      </w:r>
    </w:p>
    <w:p>
      <w:pPr>
        <w:spacing w:before="0" w:after="0" w:line="480" w:lineRule="auto"/>
        <w:ind w:firstLine="720"/>
      </w:pPr>
      <w:r>
        <w:rPr>
          <w:rFonts w:ascii="Times New Roman" w:hAnsi="Times New Roman"/>
          <w:b w:val="0"/>
          <w:i w:val="0"/>
          <w:sz w:val="24"/>
        </w:rPr>
        <w:t>First, the theoretical landscape is profoundly fragmented (Figure 5). Nearly half (49.5%) of papers employed no identifiable theoretical framework, proceeding directly from research questions to investigation without anchoring their inquiry in established theory. Among papers that did employ a framework, TAM/UTAUT variants constituted the largest cluster (22.7%), followed by DOI (13.4%) and AIED-specific frameworks (13.4%). Calibration-relevant frameworks—Lee and See's trust-in-automation model (7.2%) and Hoff and Bashir's three-layer model (2.1%)—appeared in a combined 9.3% of papers, less than half the prevalence of TAM/UTAUT alone. SRL frameworks, which are pedagogically most relevant to calibration given their emphasis on metacognitive monitoring, appeared in only 5 papers (5.2%). The calibration-relevant frameworks are marginalized precisely in the field where calibration matters most.</w:t>
      </w:r>
    </w:p>
    <w:p>
      <w:pPr>
        <w:spacing w:before="240" w:after="0" w:line="480" w:lineRule="auto"/>
      </w:pPr>
      <w:r>
        <w:rPr>
          <w:rFonts w:ascii="Times New Roman" w:hAnsi="Times New Roman"/>
          <w:b/>
          <w:i/>
          <w:sz w:val="24"/>
        </w:rPr>
        <w:t>Figure 5</w:t>
      </w:r>
    </w:p>
    <w:p>
      <w:pPr>
        <w:spacing w:before="0" w:after="120" w:line="480" w:lineRule="auto"/>
      </w:pPr>
      <w:r>
        <w:rPr>
          <w:rFonts w:ascii="Times New Roman" w:hAnsi="Times New Roman"/>
          <w:b w:val="0"/>
          <w:i w:val="0"/>
          <w:sz w:val="24"/>
        </w:rPr>
        <w:t>Theoretical framework landscape of the 97 coded studies. Nearly half (49.5%) employed no identifiable framework. Calibration-relevant frameworks represent only 9.3%.</w:t>
      </w:r>
    </w:p>
    <w:p>
      <w:pPr>
        <w:spacing w:before="0" w:after="240" w:line="240" w:lineRule="auto"/>
        <w:jc w:val="center"/>
      </w:pPr>
      <w:r>
        <w:drawing>
          <wp:inline xmlns:a="http://schemas.openxmlformats.org/drawingml/2006/main" xmlns:pic="http://schemas.openxmlformats.org/drawingml/2006/picture">
            <wp:extent cx="5486400" cy="3857733"/>
            <wp:docPr id="3" name="Picture 3"/>
            <wp:cNvGraphicFramePr>
              <a:graphicFrameLocks noChangeAspect="1"/>
            </wp:cNvGraphicFramePr>
            <a:graphic>
              <a:graphicData uri="http://schemas.openxmlformats.org/drawingml/2006/picture">
                <pic:pic>
                  <pic:nvPicPr>
                    <pic:cNvPr id="0" name="figure5_framework_landscape.png"/>
                    <pic:cNvPicPr/>
                  </pic:nvPicPr>
                  <pic:blipFill>
                    <a:blip r:embed="rId11"/>
                    <a:stretch>
                      <a:fillRect/>
                    </a:stretch>
                  </pic:blipFill>
                  <pic:spPr>
                    <a:xfrm>
                      <a:off x="0" y="0"/>
                      <a:ext cx="5486400" cy="3857733"/>
                    </a:xfrm>
                    <a:prstGeom prst="rect"/>
                  </pic:spPr>
                </pic:pic>
              </a:graphicData>
            </a:graphic>
          </wp:inline>
        </w:drawing>
      </w:r>
    </w:p>
    <w:p>
      <w:pPr>
        <w:spacing w:before="0" w:after="0" w:line="480" w:lineRule="auto"/>
        <w:ind w:firstLine="720"/>
      </w:pPr>
      <w:r>
        <w:rPr>
          <w:rFonts w:ascii="Times New Roman" w:hAnsi="Times New Roman"/>
          <w:b w:val="0"/>
          <w:i w:val="0"/>
          <w:sz w:val="24"/>
        </w:rPr>
        <w:t>Second, the measurement infrastructure is sparse. Only 7 papers (7.2%) measured trust empirically in any form, only 1 (1.0%) measured calibration accuracy, and none measured both simultaneously. Among measurement approaches, the prevailing strategy relies on Likert-type self-report instruments administered as cross-sectional surveys. Behavioral measures of trust—examining AI output acceptance rates, usage frequency, or task delegation patterns—remain rare. Process-level measures (time spent verifying AI outputs, modification patterns, information-seeking behaviors) are entirely absent from the corpus. Yet process measures are precisely what would be needed to assess trust calibration in real time.</w:t>
      </w:r>
    </w:p>
    <w:p>
      <w:pPr>
        <w:spacing w:before="0" w:after="0" w:line="480" w:lineRule="auto"/>
        <w:ind w:firstLine="720"/>
      </w:pPr>
      <w:r>
        <w:rPr>
          <w:rFonts w:ascii="Times New Roman" w:hAnsi="Times New Roman"/>
          <w:b w:val="0"/>
          <w:i w:val="0"/>
          <w:sz w:val="24"/>
        </w:rPr>
        <w:t>Third, the study types reveal a field heavy on synthesis and light on primary data: 50.5% of papers were reviews (narrative or systematic), 37.1% were empirical, 8.2% theoretical, and 4.1% mixed methods. D5 stands out as the most empirically active domain (56% empirical), while D2 is the most review-heavy (73%). The predominance of reviews across the corpus is not inherently problematic, but it means the field's conclusions about trust are built more on synthesis of existing knowledge than on new empirical evidence—particularly problematic when the existing knowledge base lacks calibration measurement.</w:t>
      </w:r>
    </w:p>
    <w:p>
      <w:pPr>
        <w:spacing w:before="0" w:after="0" w:line="480" w:lineRule="auto"/>
        <w:ind w:firstLine="720"/>
      </w:pPr>
      <w:r>
        <w:rPr>
          <w:rFonts w:ascii="Times New Roman" w:hAnsi="Times New Roman"/>
          <w:b w:val="0"/>
          <w:i w:val="0"/>
          <w:sz w:val="24"/>
        </w:rPr>
        <w:t>Fourth, the corpus is temporally concentrated: 64.9% of papers were published in 2025, reflecting the rapid growth of GenAI-related trust scholarship following ChatGPT's public release. This recency suggests the field is in a formative period where paradigmatic choices—including whether to adopt a calibration lens—are still being made. The window for shifting the field's orientation from trust-level to trust-calibration research may be particularly open during this formative phase.</w:t>
      </w:r>
    </w:p>
    <w:p>
      <w:pPr>
        <w:spacing w:before="240" w:after="120" w:line="480" w:lineRule="auto"/>
        <w:jc w:val="center"/>
      </w:pPr>
      <w:r>
        <w:rPr>
          <w:rFonts w:ascii="Times New Roman" w:hAnsi="Times New Roman"/>
          <w:b/>
          <w:i w:val="0"/>
          <w:sz w:val="24"/>
        </w:rPr>
        <w:t>The Calibration Gap</w:t>
      </w:r>
    </w:p>
    <w:p>
      <w:pPr>
        <w:spacing w:before="240" w:after="120" w:line="480" w:lineRule="auto"/>
      </w:pPr>
      <w:r>
        <w:rPr>
          <w:rFonts w:ascii="Times New Roman" w:hAnsi="Times New Roman"/>
          <w:b/>
          <w:i w:val="0"/>
          <w:sz w:val="24"/>
        </w:rPr>
        <w:t>Gap Diagnosis: Three Dimensions</w:t>
      </w:r>
    </w:p>
    <w:p>
      <w:pPr>
        <w:spacing w:before="0" w:after="0" w:line="480" w:lineRule="auto"/>
        <w:ind w:firstLine="720"/>
      </w:pPr>
      <w:r>
        <w:rPr>
          <w:rFonts w:ascii="Times New Roman" w:hAnsi="Times New Roman"/>
          <w:b w:val="0"/>
          <w:i w:val="0"/>
          <w:sz w:val="24"/>
        </w:rPr>
        <w:t>The findings converge on a multidimensional gap at the intersection of trust conceptualization, measurement, and disciplinary exchange.</w:t>
      </w:r>
    </w:p>
    <w:p>
      <w:pPr>
        <w:spacing w:before="0" w:after="0" w:line="480" w:lineRule="auto"/>
        <w:ind w:firstLine="720"/>
      </w:pPr>
      <w:r>
        <w:rPr>
          <w:rFonts w:ascii="Times New Roman" w:hAnsi="Times New Roman"/>
          <w:b w:val="0"/>
          <w:i w:val="0"/>
          <w:sz w:val="24"/>
        </w:rPr>
      </w:r>
      <w:r>
        <w:rPr>
          <w:rFonts w:ascii="Times New Roman" w:hAnsi="Times New Roman"/>
          <w:b/>
          <w:i w:val="0"/>
          <w:sz w:val="24"/>
        </w:rPr>
        <w:t>The definitional dimension.</w:t>
      </w:r>
      <w:r>
        <w:rPr>
          <w:rFonts w:ascii="Times New Roman" w:hAnsi="Times New Roman"/>
          <w:b w:val="0"/>
          <w:i w:val="0"/>
          <w:sz w:val="24"/>
        </w:rPr>
        <w:t xml:space="preserve"> Of 97 papers, 82 (84.5%) provided no explicit definition of trust. Without definitional precision, the field cannot distinguish between trust as an attitude (Lee &amp; See, 2004), trust as a belief about trustee characteristics (Mayer et al., 1995), and trust as behavioral intention (Davis, 1989)—constructs with different measurement requirements, antecedents, and implications for calibration. The absence of definition is not merely a scholarly oversight; it reflects a field treating trust as self-evident, which precludes the kind of construct refinement necessary for calibration research.</w:t>
      </w:r>
    </w:p>
    <w:p>
      <w:pPr>
        <w:spacing w:before="0" w:after="0" w:line="480" w:lineRule="auto"/>
        <w:ind w:firstLine="720"/>
      </w:pPr>
      <w:r>
        <w:rPr>
          <w:rFonts w:ascii="Times New Roman" w:hAnsi="Times New Roman"/>
          <w:b w:val="0"/>
          <w:i w:val="0"/>
          <w:sz w:val="24"/>
        </w:rPr>
      </w:r>
      <w:r>
        <w:rPr>
          <w:rFonts w:ascii="Times New Roman" w:hAnsi="Times New Roman"/>
          <w:b/>
          <w:i w:val="0"/>
          <w:sz w:val="24"/>
        </w:rPr>
        <w:t>The measurement dimension.</w:t>
      </w:r>
      <w:r>
        <w:rPr>
          <w:rFonts w:ascii="Times New Roman" w:hAnsi="Times New Roman"/>
          <w:b w:val="0"/>
          <w:i w:val="0"/>
          <w:sz w:val="24"/>
        </w:rPr>
        <w:t xml:space="preserve"> The progressive attrition from acknowledgment to measurement reveals the gap's empirical depth (Figure 3; Table 4). While 51 papers (52.6%) discussed overtrust or undertrust and 42 (43.3%) partially addressed calibration, only 16 (16.5%) explicitly engaged with calibration as a construct—and of those, only 3 came from educational AI databases. Most critically, only 7 papers (7.2%) measured trust empirically in any form, and only 1 measured calibration accuracy. No paper in the corpus measured both trust level and calibration simultaneously. The funnel from 97 to 0 illustrates that the gap is not merely at the periphery but at the core of the measurement enterprise.</w:t>
      </w:r>
    </w:p>
    <w:p>
      <w:pPr>
        <w:spacing w:before="240" w:after="0" w:line="480" w:lineRule="auto"/>
      </w:pPr>
      <w:r>
        <w:rPr>
          <w:rFonts w:ascii="Times New Roman" w:hAnsi="Times New Roman"/>
          <w:b/>
          <w:i/>
          <w:sz w:val="24"/>
        </w:rPr>
        <w:t>Figure 3</w:t>
      </w:r>
    </w:p>
    <w:p>
      <w:pPr>
        <w:spacing w:before="0" w:after="120" w:line="480" w:lineRule="auto"/>
      </w:pPr>
      <w:r>
        <w:rPr>
          <w:rFonts w:ascii="Times New Roman" w:hAnsi="Times New Roman"/>
          <w:b w:val="0"/>
          <w:i w:val="0"/>
          <w:sz w:val="24"/>
        </w:rPr>
        <w:t>The calibration gap: from acknowledgment to measurement. Left panel shows progressive attrition from total corpus (N=97) to empirical calibration measurement (n=1). Right panel compares calibration studies in automation (96; Wischnewski et al., 2023) versus educational AI (0).</w:t>
      </w:r>
    </w:p>
    <w:p>
      <w:pPr>
        <w:spacing w:before="0" w:after="240" w:line="240" w:lineRule="auto"/>
        <w:jc w:val="center"/>
      </w:pPr>
      <w:r>
        <w:drawing>
          <wp:inline xmlns:a="http://schemas.openxmlformats.org/drawingml/2006/main" xmlns:pic="http://schemas.openxmlformats.org/drawingml/2006/picture">
            <wp:extent cx="5486400" cy="3417483"/>
            <wp:docPr id="4" name="Picture 4"/>
            <wp:cNvGraphicFramePr>
              <a:graphicFrameLocks noChangeAspect="1"/>
            </wp:cNvGraphicFramePr>
            <a:graphic>
              <a:graphicData uri="http://schemas.openxmlformats.org/drawingml/2006/picture">
                <pic:pic>
                  <pic:nvPicPr>
                    <pic:cNvPr id="0" name="figure3_calibration_gap.png"/>
                    <pic:cNvPicPr/>
                  </pic:nvPicPr>
                  <pic:blipFill>
                    <a:blip r:embed="rId12"/>
                    <a:stretch>
                      <a:fillRect/>
                    </a:stretch>
                  </pic:blipFill>
                  <pic:spPr>
                    <a:xfrm>
                      <a:off x="0" y="0"/>
                      <a:ext cx="5486400" cy="3417483"/>
                    </a:xfrm>
                    <a:prstGeom prst="rect"/>
                  </pic:spPr>
                </pic:pic>
              </a:graphicData>
            </a:graphic>
          </wp:inline>
        </w:drawing>
      </w:r>
    </w:p>
    <w:p>
      <w:pPr>
        <w:spacing w:before="0" w:after="0" w:line="480" w:lineRule="auto"/>
        <w:ind w:firstLine="720"/>
      </w:pPr>
      <w:r>
        <w:rPr>
          <w:rFonts w:ascii="Times New Roman" w:hAnsi="Times New Roman"/>
          <w:b w:val="0"/>
          <w:i w:val="0"/>
          <w:sz w:val="24"/>
        </w:rPr>
        <w:t>This absence reflects a fundamental measurement logic problem. To determine whether a learner's trust is calibrated requires two simultaneous measurements: (a) the learner's trust level and (b) the AI system's actual reliability for the given task. Measuring only trust level—as the existing literature overwhelmingly does—is analogous to measuring a student's confidence without measuring their actual performance: one can quantify the attitude but cannot determine whether it is warranted. A learner who reports high trust in an AI system that is, in fact, highly reliable for the given task is well-calibrated. A learner who reports equally high trust in a system that is unreliable for the given task is dangerously miscalibrated. Current measurement approaches cannot distinguish between these two states because they assess trust level without reference to the reliability baseline against which trust should be evaluated.</w:t>
      </w:r>
    </w:p>
    <w:p>
      <w:pPr>
        <w:spacing w:before="0" w:after="0" w:line="480" w:lineRule="auto"/>
        <w:ind w:firstLine="720"/>
      </w:pPr>
      <w:r>
        <w:rPr>
          <w:rFonts w:ascii="Times New Roman" w:hAnsi="Times New Roman"/>
          <w:b w:val="0"/>
          <w:i w:val="0"/>
          <w:sz w:val="24"/>
        </w:rPr>
      </w:r>
      <w:r>
        <w:rPr>
          <w:rFonts w:ascii="Times New Roman" w:hAnsi="Times New Roman"/>
          <w:b/>
          <w:i w:val="0"/>
          <w:sz w:val="24"/>
        </w:rPr>
        <w:t>The disciplinary dimension.</w:t>
      </w:r>
      <w:r>
        <w:rPr>
          <w:rFonts w:ascii="Times New Roman" w:hAnsi="Times New Roman"/>
          <w:b w:val="0"/>
          <w:i w:val="0"/>
          <w:sz w:val="24"/>
        </w:rPr>
        <w:t xml:space="preserve"> The D5 source analysis reveals a striking asymmetry: 13 of 16 calibration-focused papers originated from adjacent disciplines (human factors, HCI, cognitive science), not from educational AI databases. This pattern indicates not a methodological impossibility but a disciplinary disconnection. The contrast with Wischnewski et al.'s (2023) finding is instructive: their survey identified 96 studies measuring trust calibration for automated systems, demonstrating that calibration measurement is a mature research area in human factors. Yet none of those 96 studies addressed educational contexts.</w:t>
      </w:r>
    </w:p>
    <w:p>
      <w:pPr>
        <w:spacing w:before="0" w:after="0" w:line="480" w:lineRule="auto"/>
        <w:ind w:firstLine="720"/>
      </w:pPr>
      <w:r>
        <w:rPr>
          <w:rFonts w:ascii="Times New Roman" w:hAnsi="Times New Roman"/>
          <w:b w:val="0"/>
          <w:i w:val="0"/>
          <w:sz w:val="24"/>
        </w:rPr>
        <w:t>We acknowledge that our supplementary search was designed to find calibration-relevant work, and therefore the 13:3 ratio partly reflects search strategy. However, the fact that only 3 of 81 database-sourced papers (3.7%) reached D5 is itself the evidence: the original educational AI databases, searched with broad trust-related terms, yielded almost no calibration-focused work. The gap is in the field, not in the search. This disciplinary disconnection means that educational AI researchers are, in effect, working on trust without access to the most developed body of calibration theory and measurement—a disconnection that the present review aims to make visible and actionable. The bridge-building work of Lee et al. (2025) and Lee and Bosch (2025), who explicitly connect metacognitive calibration from the SRL tradition with trust calibration from the automation tradition, demonstrates that disciplinary integration is both possible and productive. Yet these papers remain exceptional rather than representative.</w:t>
      </w:r>
    </w:p>
    <w:p>
      <w:pPr>
        <w:spacing w:before="240" w:after="120" w:line="480" w:lineRule="auto"/>
      </w:pPr>
      <w:r>
        <w:rPr>
          <w:rFonts w:ascii="Times New Roman" w:hAnsi="Times New Roman"/>
          <w:b/>
          <w:i w:val="0"/>
          <w:sz w:val="24"/>
        </w:rPr>
        <w:t>Why the Gap Persists: TAM Lock-In</w:t>
      </w:r>
    </w:p>
    <w:p>
      <w:pPr>
        <w:spacing w:before="0" w:after="0" w:line="480" w:lineRule="auto"/>
        <w:ind w:firstLine="720"/>
      </w:pPr>
      <w:r>
        <w:rPr>
          <w:rFonts w:ascii="Times New Roman" w:hAnsi="Times New Roman"/>
          <w:b w:val="0"/>
          <w:i w:val="0"/>
          <w:sz w:val="24"/>
        </w:rPr>
        <w:t>The persistence of the calibration gap is not random; it reflects a structural relationship between the field's dominant theoretical framework and the questions it can ask. TAM/UTAUT variants appeared in 22.7% of the corpus—the most common named framework family—and their structural design systematically directs attention toward adoption while rendering calibration invisible.</w:t>
      </w:r>
    </w:p>
    <w:p>
      <w:pPr>
        <w:spacing w:before="0" w:after="0" w:line="480" w:lineRule="auto"/>
        <w:ind w:firstLine="720"/>
      </w:pPr>
      <w:r>
        <w:rPr>
          <w:rFonts w:ascii="Times New Roman" w:hAnsi="Times New Roman"/>
          <w:b w:val="0"/>
          <w:i w:val="0"/>
          <w:sz w:val="24"/>
        </w:rPr>
        <w:t xml:space="preserve">In TAM, trust functions as an independent variable predicting adoption intention. This creates what we term </w:t>
      </w:r>
      <w:r>
        <w:rPr>
          <w:rFonts w:ascii="Times New Roman" w:hAnsi="Times New Roman"/>
          <w:b w:val="0"/>
          <w:i/>
          <w:sz w:val="24"/>
        </w:rPr>
        <w:t>TAM lock-in</w:t>
      </w:r>
      <w:r>
        <w:rPr>
          <w:rFonts w:ascii="Times New Roman" w:hAnsi="Times New Roman"/>
          <w:b w:val="0"/>
          <w:i w:val="0"/>
          <w:sz w:val="24"/>
        </w:rPr>
        <w:t xml:space="preserve">: a self-reinforcing cycle in which (a) researchers adopt TAM because it is established and widely published, (b) TAM structures research around adoption questions, (c) adoption-focused research produces findings about trust </w:t>
      </w:r>
      <w:r>
        <w:rPr>
          <w:rFonts w:ascii="Times New Roman" w:hAnsi="Times New Roman"/>
          <w:b w:val="0"/>
          <w:i/>
          <w:sz w:val="24"/>
        </w:rPr>
        <w:t>level</w:t>
      </w:r>
      <w:r>
        <w:rPr>
          <w:rFonts w:ascii="Times New Roman" w:hAnsi="Times New Roman"/>
          <w:b w:val="0"/>
          <w:i w:val="0"/>
          <w:sz w:val="24"/>
        </w:rPr>
        <w:t xml:space="preserve"> but not trust </w:t>
      </w:r>
      <w:r>
        <w:rPr>
          <w:rFonts w:ascii="Times New Roman" w:hAnsi="Times New Roman"/>
          <w:b w:val="0"/>
          <w:i/>
          <w:sz w:val="24"/>
        </w:rPr>
        <w:t>calibration</w:t>
      </w:r>
      <w:r>
        <w:rPr>
          <w:rFonts w:ascii="Times New Roman" w:hAnsi="Times New Roman"/>
          <w:b w:val="0"/>
          <w:i w:val="0"/>
          <w:sz w:val="24"/>
        </w:rPr>
        <w:t>, and (d) the absence of calibration findings reinforces the perception that calibration is not a productive research direction. The result is a form of what Kuhn (1962) described as "normal science" operating within a paradigm that makes certain questions invisible—not because they are unimportant, but because the paradigm's assumptions do not accommodate them.</w:t>
      </w:r>
    </w:p>
    <w:p>
      <w:pPr>
        <w:spacing w:before="0" w:after="0" w:line="480" w:lineRule="auto"/>
        <w:ind w:firstLine="720"/>
      </w:pPr>
      <w:r>
        <w:rPr>
          <w:rFonts w:ascii="Times New Roman" w:hAnsi="Times New Roman"/>
          <w:b w:val="0"/>
          <w:i w:val="0"/>
          <w:sz w:val="24"/>
        </w:rPr>
        <w:t>The domain × framework cross-tabulation supports this interpretation (Figure 5). Calibration-relevant frameworks (Lee &amp; See, Hoff &amp; Bashir) are concentrated in D5, appearing in 6 of the 7 Lee &amp; See papers that reached D5 but in zero D1, D2, or D3 papers. Conversely, TAM dominates D1 (by definition) and is prevalent in D3. The theoretical frameworks researchers choose shape which questions they can ask—and by extension, which domain of the typology their work inhabits.</w:t>
      </w:r>
    </w:p>
    <w:p>
      <w:pPr>
        <w:spacing w:before="0" w:after="0" w:line="480" w:lineRule="auto"/>
        <w:ind w:firstLine="720"/>
      </w:pPr>
      <w:r>
        <w:rPr>
          <w:rFonts w:ascii="Times New Roman" w:hAnsi="Times New Roman"/>
          <w:b w:val="0"/>
          <w:i w:val="0"/>
          <w:sz w:val="24"/>
        </w:rPr>
        <w:t>The 49.5% of papers without any theoretical framework may paradoxically represent an opportunity: atheoretical research is not locked into TAM's structural limitations and could potentially be redirected toward calibration-oriented inquiry if appropriate frameworks were available and accessible. However, the depth of framework engagement further qualifies the prospects for such redirection: among papers employing a framework, 24 (24.7%) engaged at a superficial level, 21 (21.6%) at an applied level, and only 4 (4.1%) at a foundational level contributing to framework development. The predominance of superficial engagement suggests that even where frameworks are present, they often serve a legitimating function rather than a generative one.</w:t>
      </w:r>
    </w:p>
    <w:p>
      <w:pPr>
        <w:spacing w:before="240" w:after="120" w:line="480" w:lineRule="auto"/>
      </w:pPr>
      <w:r>
        <w:rPr>
          <w:rFonts w:ascii="Times New Roman" w:hAnsi="Times New Roman"/>
          <w:b/>
          <w:i w:val="0"/>
          <w:sz w:val="24"/>
        </w:rPr>
        <w:t>The Cost of the Gap</w:t>
      </w:r>
    </w:p>
    <w:p>
      <w:pPr>
        <w:spacing w:before="0" w:after="0" w:line="480" w:lineRule="auto"/>
        <w:ind w:firstLine="720"/>
      </w:pPr>
      <w:r>
        <w:rPr>
          <w:rFonts w:ascii="Times New Roman" w:hAnsi="Times New Roman"/>
          <w:b w:val="0"/>
          <w:i w:val="0"/>
          <w:sz w:val="24"/>
        </w:rPr>
        <w:t>The calibration gap is not merely an academic oversight; it carries concrete costs for educational practice and policy.</w:t>
      </w:r>
    </w:p>
    <w:p>
      <w:pPr>
        <w:spacing w:before="0" w:after="0" w:line="480" w:lineRule="auto"/>
        <w:ind w:firstLine="720"/>
      </w:pPr>
      <w:r>
        <w:rPr>
          <w:rFonts w:ascii="Times New Roman" w:hAnsi="Times New Roman"/>
          <w:b w:val="0"/>
          <w:i w:val="0"/>
          <w:sz w:val="24"/>
        </w:rPr>
        <w:t>Bastani et al. (2025) documented one cost directly: 17% lower performance among students with unrestricted AI access, attributable to uncalibrated overtrust. Without calibration measurement infrastructure, educational institutions cannot distinguish between productive AI use (calibrated trust) and harmful AI dependence (overtrust)—and therefore cannot intervene before harm occurs. This cost is likely to scale: as AI tools become more integrated into curricula, the proportion of learner-AI interactions subject to potential miscalibration grows, yet the measurement infrastructure for detecting miscalibration remains absent.</w:t>
      </w:r>
    </w:p>
    <w:p>
      <w:pPr>
        <w:spacing w:before="0" w:after="0" w:line="480" w:lineRule="auto"/>
        <w:ind w:firstLine="720"/>
      </w:pPr>
      <w:r>
        <w:rPr>
          <w:rFonts w:ascii="Times New Roman" w:hAnsi="Times New Roman"/>
          <w:b w:val="0"/>
          <w:i w:val="0"/>
          <w:sz w:val="24"/>
        </w:rPr>
        <w:t>In medical education, the cost takes on additional urgency. Kıyak et al. (2026) demonstrated that ChatGPT warnings fail to reduce overreliance on AI-generated clinical advice in randomized controlled conditions, suggesting that surface-level interventions are insufficient to correct trust miscalibration in high-stakes domains. If future physicians develop uncalibrated trust in AI diagnostic tools during training, the consequences extend far beyond educational outcomes.</w:t>
      </w:r>
    </w:p>
    <w:p>
      <w:pPr>
        <w:spacing w:before="0" w:after="0" w:line="480" w:lineRule="auto"/>
        <w:ind w:firstLine="720"/>
      </w:pPr>
      <w:r>
        <w:rPr>
          <w:rFonts w:ascii="Times New Roman" w:hAnsi="Times New Roman"/>
          <w:b w:val="0"/>
          <w:i w:val="0"/>
          <w:sz w:val="24"/>
        </w:rPr>
        <w:t>The cost extends beyond individual learners to institutional and policy domains. The EU AI Act (European Union, 2024) classifies educational AI as high-risk (Annex III), requiring human oversight mechanisms and transparency provisions. UNESCO (2023) guidelines for generative AI in education emphasize the need for critical evaluation skills and appropriate learner-AI relationships. The UNESCO AI Competency Framework for Teachers (UNESCO, 2024) explicitly includes helping students critically evaluate AI outputs as a core competency. Yet all these frameworks implicitly require what the field currently lacks: methods to assess whether learners' trust in AI is appropriate. Policy mandates for "trustworthy AI" without calibration infrastructure risk creating compliance frameworks that cannot operationalize their stated goals.</w:t>
      </w:r>
    </w:p>
    <w:p>
      <w:pPr>
        <w:spacing w:before="0" w:after="0" w:line="480" w:lineRule="auto"/>
        <w:ind w:firstLine="720"/>
      </w:pPr>
      <w:r>
        <w:rPr>
          <w:rFonts w:ascii="Times New Roman" w:hAnsi="Times New Roman"/>
          <w:b w:val="0"/>
          <w:i w:val="0"/>
          <w:sz w:val="24"/>
        </w:rPr>
        <w:t>The emerging literature on cognitive offloading (Risko &amp; Gilbert, 2016; Sparrow et al., 2011) suggests an additional, more insidious cost: when learners delegate cognitive effort to AI systems without calibrated trust, they may experience not just performance decrements on specific tasks but broader erosion of the metacognitive skills needed for independent learning. If trust miscalibration becomes habitual, the cost is not merely a worse grade on a single assessment but a fundamentally diminished capacity for autonomous intellectual engagement. The cumulative effect of uncalibrated trust across thousands of student-AI interactions per semester—multiplied across millions of learners worldwide—represents a systemic risk to educational quality that the current research infrastructure is unequipped to monitor, measure, or mitigate.</w:t>
      </w:r>
    </w:p>
    <w:p>
      <w:pPr>
        <w:spacing w:before="240" w:after="120" w:line="480" w:lineRule="auto"/>
      </w:pPr>
      <w:r>
        <w:rPr>
          <w:rFonts w:ascii="Times New Roman" w:hAnsi="Times New Roman"/>
          <w:b/>
          <w:i w:val="0"/>
          <w:sz w:val="24"/>
        </w:rPr>
        <w:t>The Trust--AI Reliability Matrix: A Diagnostic Tool</w:t>
      </w:r>
    </w:p>
    <w:p>
      <w:pPr>
        <w:spacing w:before="0" w:after="0" w:line="480" w:lineRule="auto"/>
        <w:ind w:firstLine="720"/>
      </w:pPr>
      <w:r>
        <w:rPr>
          <w:rFonts w:ascii="Times New Roman" w:hAnsi="Times New Roman"/>
          <w:b w:val="0"/>
          <w:i w:val="0"/>
          <w:sz w:val="24"/>
        </w:rPr>
        <w:t>To operationalize the calibration concept, we propose the Trust–AI Reliability Matrix (Figure 4), a 2×2 framework mapping learner trust (high vs. low) against AI reliability (high vs. low) for a given task.</w:t>
      </w:r>
    </w:p>
    <w:p>
      <w:pPr>
        <w:spacing w:before="240" w:after="0" w:line="480" w:lineRule="auto"/>
      </w:pPr>
      <w:r>
        <w:rPr>
          <w:rFonts w:ascii="Times New Roman" w:hAnsi="Times New Roman"/>
          <w:b/>
          <w:i/>
          <w:sz w:val="24"/>
        </w:rPr>
        <w:t>Figure 4</w:t>
      </w:r>
    </w:p>
    <w:p>
      <w:pPr>
        <w:spacing w:before="0" w:after="120" w:line="480" w:lineRule="auto"/>
      </w:pPr>
      <w:r>
        <w:rPr>
          <w:rFonts w:ascii="Times New Roman" w:hAnsi="Times New Roman"/>
          <w:b w:val="0"/>
          <w:i w:val="0"/>
          <w:sz w:val="24"/>
        </w:rPr>
        <w:t>The Trust–AI Reliability Matrix. Four quadrants map learner trust (high/low) against AI system reliability (high/low). Quadrant II (Overtrust) represents the condition documented by Bastani et al. (2025).</w:t>
      </w:r>
    </w:p>
    <w:p>
      <w:pPr>
        <w:spacing w:before="0" w:after="240" w:line="240" w:lineRule="auto"/>
        <w:jc w:val="center"/>
      </w:pPr>
      <w:r>
        <w:drawing>
          <wp:inline xmlns:a="http://schemas.openxmlformats.org/drawingml/2006/main" xmlns:pic="http://schemas.openxmlformats.org/drawingml/2006/picture">
            <wp:extent cx="5486400" cy="4215264"/>
            <wp:docPr id="5" name="Picture 5"/>
            <wp:cNvGraphicFramePr>
              <a:graphicFrameLocks noChangeAspect="1"/>
            </wp:cNvGraphicFramePr>
            <a:graphic>
              <a:graphicData uri="http://schemas.openxmlformats.org/drawingml/2006/picture">
                <pic:pic>
                  <pic:nvPicPr>
                    <pic:cNvPr id="0" name="figure4_trust_reliability_matrix.png"/>
                    <pic:cNvPicPr/>
                  </pic:nvPicPr>
                  <pic:blipFill>
                    <a:blip r:embed="rId13"/>
                    <a:stretch>
                      <a:fillRect/>
                    </a:stretch>
                  </pic:blipFill>
                  <pic:spPr>
                    <a:xfrm>
                      <a:off x="0" y="0"/>
                      <a:ext cx="5486400" cy="4215264"/>
                    </a:xfrm>
                    <a:prstGeom prst="rect"/>
                  </pic:spPr>
                </pic:pic>
              </a:graphicData>
            </a:graphic>
          </wp:inline>
        </w:drawing>
      </w:r>
    </w:p>
    <w:p>
      <w:pPr>
        <w:spacing w:before="0" w:after="0" w:line="480" w:lineRule="auto"/>
        <w:ind w:firstLine="720"/>
      </w:pPr>
      <w:r>
        <w:rPr>
          <w:rFonts w:ascii="Times New Roman" w:hAnsi="Times New Roman"/>
          <w:b w:val="0"/>
          <w:i w:val="0"/>
          <w:sz w:val="24"/>
        </w:rPr>
      </w:r>
      <w:r>
        <w:rPr>
          <w:rFonts w:ascii="Times New Roman" w:hAnsi="Times New Roman"/>
          <w:b w:val="0"/>
          <w:i/>
          <w:sz w:val="24"/>
        </w:rPr>
        <w:t>Quadrant I: High Trust + High Reliability = Calibrated Appropriate Use.</w:t>
      </w:r>
      <w:r>
        <w:rPr>
          <w:rFonts w:ascii="Times New Roman" w:hAnsi="Times New Roman"/>
          <w:b w:val="0"/>
          <w:i w:val="0"/>
          <w:sz w:val="24"/>
        </w:rPr>
        <w:t xml:space="preserve"> Trust is warranted; the learner's reliance on the AI system is productive.</w:t>
      </w:r>
    </w:p>
    <w:p>
      <w:pPr>
        <w:spacing w:before="0" w:after="0" w:line="480" w:lineRule="auto"/>
        <w:ind w:firstLine="720"/>
      </w:pPr>
      <w:r>
        <w:rPr>
          <w:rFonts w:ascii="Times New Roman" w:hAnsi="Times New Roman"/>
          <w:b w:val="0"/>
          <w:i w:val="0"/>
          <w:sz w:val="24"/>
        </w:rPr>
      </w:r>
      <w:r>
        <w:rPr>
          <w:rFonts w:ascii="Times New Roman" w:hAnsi="Times New Roman"/>
          <w:b w:val="0"/>
          <w:i/>
          <w:sz w:val="24"/>
        </w:rPr>
        <w:t>Quadrant II: High Trust + Low Reliability = Overtrust ("The Bastani Trap").</w:t>
      </w:r>
      <w:r>
        <w:rPr>
          <w:rFonts w:ascii="Times New Roman" w:hAnsi="Times New Roman"/>
          <w:b w:val="0"/>
          <w:i w:val="0"/>
          <w:sz w:val="24"/>
        </w:rPr>
        <w:t xml:space="preserve"> The most dangerous miscalibration. The learner trusts unreliable AI outputs, resulting in cognitive offloading and skill atrophy—the condition documented by Bastani et al. (2025). Kıyak et al. (2026) demonstrated that even explicit "ChatGPT can make mistakes" warnings fail to correct this miscalibration in medical education contexts.</w:t>
      </w:r>
    </w:p>
    <w:p>
      <w:pPr>
        <w:spacing w:before="0" w:after="0" w:line="480" w:lineRule="auto"/>
        <w:ind w:firstLine="720"/>
      </w:pPr>
      <w:r>
        <w:rPr>
          <w:rFonts w:ascii="Times New Roman" w:hAnsi="Times New Roman"/>
          <w:b w:val="0"/>
          <w:i w:val="0"/>
          <w:sz w:val="24"/>
        </w:rPr>
      </w:r>
      <w:r>
        <w:rPr>
          <w:rFonts w:ascii="Times New Roman" w:hAnsi="Times New Roman"/>
          <w:b w:val="0"/>
          <w:i/>
          <w:sz w:val="24"/>
        </w:rPr>
        <w:t>Quadrant III: Low Trust + High Reliability = Undertrust / Missed Benefit.</w:t>
      </w:r>
      <w:r>
        <w:rPr>
          <w:rFonts w:ascii="Times New Roman" w:hAnsi="Times New Roman"/>
          <w:b w:val="0"/>
          <w:i w:val="0"/>
          <w:sz w:val="24"/>
        </w:rPr>
        <w:t xml:space="preserve"> Skepticism that is virtuous in Quadrant II is maladaptive here. The learner forgoes beneficial AI assistance.</w:t>
      </w:r>
    </w:p>
    <w:p>
      <w:pPr>
        <w:spacing w:before="0" w:after="0" w:line="480" w:lineRule="auto"/>
        <w:ind w:firstLine="720"/>
      </w:pPr>
      <w:r>
        <w:rPr>
          <w:rFonts w:ascii="Times New Roman" w:hAnsi="Times New Roman"/>
          <w:b w:val="0"/>
          <w:i w:val="0"/>
          <w:sz w:val="24"/>
        </w:rPr>
      </w:r>
      <w:r>
        <w:rPr>
          <w:rFonts w:ascii="Times New Roman" w:hAnsi="Times New Roman"/>
          <w:b w:val="0"/>
          <w:i/>
          <w:sz w:val="24"/>
        </w:rPr>
        <w:t>Quadrant IV: Low Trust + Low Reliability = Calibrated Avoidance.</w:t>
      </w:r>
      <w:r>
        <w:rPr>
          <w:rFonts w:ascii="Times New Roman" w:hAnsi="Times New Roman"/>
          <w:b w:val="0"/>
          <w:i w:val="0"/>
          <w:sz w:val="24"/>
        </w:rPr>
        <w:t xml:space="preserve"> Low trust accurately reflects low reliability. The learner's decision to avoid or critically scrutinize AI outputs is appropriate and should be reinforced rather than corrected.</w:t>
      </w:r>
    </w:p>
    <w:p>
      <w:pPr>
        <w:spacing w:before="0" w:after="0" w:line="480" w:lineRule="auto"/>
        <w:ind w:firstLine="720"/>
      </w:pPr>
      <w:r>
        <w:rPr>
          <w:rFonts w:ascii="Times New Roman" w:hAnsi="Times New Roman"/>
          <w:b w:val="0"/>
          <w:i w:val="0"/>
          <w:sz w:val="24"/>
        </w:rPr>
        <w:t xml:space="preserve">The matrix's power as a diagnostic tool lies in requiring </w:t>
      </w:r>
      <w:r>
        <w:rPr>
          <w:rFonts w:ascii="Times New Roman" w:hAnsi="Times New Roman"/>
          <w:b w:val="0"/>
          <w:i/>
          <w:sz w:val="24"/>
        </w:rPr>
        <w:t>both</w:t>
      </w:r>
      <w:r>
        <w:rPr>
          <w:rFonts w:ascii="Times New Roman" w:hAnsi="Times New Roman"/>
          <w:b w:val="0"/>
          <w:i w:val="0"/>
          <w:sz w:val="24"/>
        </w:rPr>
        <w:t xml:space="preserve"> axes. Current research overwhelmingly measures only the vertical axis (learner trust) without the horizontal axis (AI reliability for the given task). Without both measurements, the field cannot determine which quadrant a learner occupies—and therefore cannot distinguish warranted trust from dangerous overreliance.</w:t>
      </w:r>
    </w:p>
    <w:p>
      <w:pPr>
        <w:spacing w:before="240" w:after="120" w:line="480" w:lineRule="auto"/>
        <w:jc w:val="center"/>
      </w:pPr>
      <w:r>
        <w:rPr>
          <w:rFonts w:ascii="Times New Roman" w:hAnsi="Times New Roman"/>
          <w:b/>
          <w:i w:val="0"/>
          <w:sz w:val="24"/>
        </w:rPr>
        <w:t>Discussion: Toward a Paradigm Shift</w:t>
      </w:r>
    </w:p>
    <w:p>
      <w:pPr>
        <w:spacing w:before="240" w:after="120" w:line="480" w:lineRule="auto"/>
      </w:pPr>
      <w:r>
        <w:rPr>
          <w:rFonts w:ascii="Times New Roman" w:hAnsi="Times New Roman"/>
          <w:b/>
          <w:i w:val="0"/>
          <w:sz w:val="24"/>
        </w:rPr>
        <w:t>The Required Reframing</w:t>
      </w:r>
    </w:p>
    <w:p>
      <w:pPr>
        <w:spacing w:before="0" w:after="0" w:line="480" w:lineRule="auto"/>
        <w:ind w:firstLine="720"/>
      </w:pPr>
      <w:r>
        <w:rPr>
          <w:rFonts w:ascii="Times New Roman" w:hAnsi="Times New Roman"/>
          <w:b w:val="0"/>
          <w:i w:val="0"/>
          <w:sz w:val="24"/>
        </w:rPr>
        <w:t>The calibration gap documented in this review calls for a fundamental reframing of trust research in educational AI. The dominant question—"Do learners trust AI?"—must give way to "Is their trust calibrated?" This is not merely a refinement; it represents what Kuhn (1962) termed a paradigm shift: a change in the questions a field asks, the variables it measures, and the assumptions it takes for granted.</w:t>
      </w:r>
    </w:p>
    <w:p>
      <w:pPr>
        <w:spacing w:before="0" w:after="0" w:line="480" w:lineRule="auto"/>
        <w:ind w:firstLine="720"/>
      </w:pPr>
      <w:r>
        <w:rPr>
          <w:rFonts w:ascii="Times New Roman" w:hAnsi="Times New Roman"/>
          <w:b w:val="0"/>
          <w:i w:val="0"/>
          <w:sz w:val="24"/>
        </w:rPr>
        <w:t>Under the current paradigm, a finding that "students report moderate trust in ChatGPT" is treated as a complete result. Under the calibration paradigm, this finding is incomplete without a companion measurement: "ChatGPT's reliability for the assessed tasks was X%." Only with both measurements can the field determine whether moderate trust is appropriate (calibrated), insufficient (undertrust), or excessive (overtrust).</w:t>
      </w:r>
    </w:p>
    <w:p>
      <w:pPr>
        <w:spacing w:before="0" w:after="0" w:line="480" w:lineRule="auto"/>
        <w:ind w:firstLine="720"/>
      </w:pPr>
      <w:r>
        <w:rPr>
          <w:rFonts w:ascii="Times New Roman" w:hAnsi="Times New Roman"/>
          <w:b w:val="0"/>
          <w:i w:val="0"/>
          <w:sz w:val="24"/>
        </w:rPr>
        <w:t>This reframing has precedent. The trust-in-automation field underwent a similar transition when researchers shifted from asking "Do operators trust automated systems?" to "Is their trust calibrated to the system's reliability?" (Lee &amp; See, 2004; Parasuraman &amp; Riley, 1997). That transition produced a productive research program spanning measurement development, intervention design, and system engineering (Wischnewski et al., 2023; Mehrotra et al., 2024). Educational AI research stands at an analogous juncture.</w:t>
      </w:r>
    </w:p>
    <w:p>
      <w:pPr>
        <w:spacing w:before="0" w:after="0" w:line="480" w:lineRule="auto"/>
        <w:ind w:firstLine="720"/>
      </w:pPr>
      <w:r>
        <w:rPr>
          <w:rFonts w:ascii="Times New Roman" w:hAnsi="Times New Roman"/>
          <w:b w:val="0"/>
          <w:i w:val="0"/>
          <w:sz w:val="24"/>
        </w:rPr>
        <w:t>The typology developed in this review provides a roadmap for this transition. D1–D2 research establishes the terrain; D3 research proposes design solutions; D4 research recognizes the calibration problem; D5 research addresses it. The field's current center of gravity—D4, awareness without measurement—needs to shift toward D5, calibration with measurement.</w:t>
      </w:r>
    </w:p>
    <w:p>
      <w:pPr>
        <w:spacing w:before="0" w:after="0" w:line="480" w:lineRule="auto"/>
        <w:ind w:firstLine="720"/>
      </w:pPr>
      <w:r>
        <w:rPr>
          <w:rFonts w:ascii="Times New Roman" w:hAnsi="Times New Roman"/>
          <w:b w:val="0"/>
          <w:i w:val="0"/>
          <w:sz w:val="24"/>
        </w:rPr>
        <w:t xml:space="preserve">This transition does not require abandoning existing research traditions. TAM-based research has produced valuable knowledge about adoption factors; design-focused research has generated useful scaffold proposals. The calibration paradigm does not reject these contributions but recontextualizes them. Adoption research becomes the baseline from which calibration questions arise: once we know </w:t>
      </w:r>
      <w:r>
        <w:rPr>
          <w:rFonts w:ascii="Times New Roman" w:hAnsi="Times New Roman"/>
          <w:b w:val="0"/>
          <w:i/>
          <w:sz w:val="24"/>
        </w:rPr>
        <w:t>that</w:t>
      </w:r>
      <w:r>
        <w:rPr>
          <w:rFonts w:ascii="Times New Roman" w:hAnsi="Times New Roman"/>
          <w:b w:val="0"/>
          <w:i w:val="0"/>
          <w:sz w:val="24"/>
        </w:rPr>
        <w:t xml:space="preserve"> learners adopt AI, we can ask </w:t>
      </w:r>
      <w:r>
        <w:rPr>
          <w:rFonts w:ascii="Times New Roman" w:hAnsi="Times New Roman"/>
          <w:b w:val="0"/>
          <w:i/>
          <w:sz w:val="24"/>
        </w:rPr>
        <w:t>whether their trust in the adopted tool is calibrated</w:t>
      </w:r>
      <w:r>
        <w:rPr>
          <w:rFonts w:ascii="Times New Roman" w:hAnsi="Times New Roman"/>
          <w:b w:val="0"/>
          <w:i w:val="0"/>
          <w:sz w:val="24"/>
        </w:rPr>
        <w:t>. Design research becomes the intervention space: once we can measure calibration, we can test whether specific design features (transparency, metacognitive prompts, uncertainty displays) improve it. The paradigm shift enriches rather than replaces existing work.</w:t>
      </w:r>
    </w:p>
    <w:p>
      <w:pPr>
        <w:spacing w:before="240" w:after="120" w:line="480" w:lineRule="auto"/>
      </w:pPr>
      <w:r>
        <w:rPr>
          <w:rFonts w:ascii="Times New Roman" w:hAnsi="Times New Roman"/>
          <w:b/>
          <w:i w:val="0"/>
          <w:sz w:val="24"/>
        </w:rPr>
        <w:t>Research Agenda</w:t>
      </w:r>
    </w:p>
    <w:p>
      <w:pPr>
        <w:spacing w:before="0" w:after="0" w:line="480" w:lineRule="auto"/>
        <w:ind w:firstLine="720"/>
      </w:pPr>
      <w:r>
        <w:rPr>
          <w:rFonts w:ascii="Times New Roman" w:hAnsi="Times New Roman"/>
          <w:b w:val="0"/>
          <w:i w:val="0"/>
          <w:sz w:val="24"/>
        </w:rPr>
        <w:t>Five priority research directions emerge from the calibration gap:</w:t>
      </w:r>
    </w:p>
    <w:p>
      <w:pPr>
        <w:spacing w:before="0" w:after="0" w:line="480" w:lineRule="auto"/>
        <w:ind w:firstLine="720"/>
      </w:pPr>
      <w:r>
        <w:rPr>
          <w:rFonts w:ascii="Times New Roman" w:hAnsi="Times New Roman"/>
          <w:b w:val="0"/>
          <w:i w:val="0"/>
          <w:sz w:val="24"/>
        </w:rPr>
      </w:r>
      <w:r>
        <w:rPr>
          <w:rFonts w:ascii="Times New Roman" w:hAnsi="Times New Roman"/>
          <w:b/>
          <w:i w:val="0"/>
          <w:sz w:val="24"/>
        </w:rPr>
        <w:t>Priority 1: Measurement infrastructure.</w:t>
      </w:r>
      <w:r>
        <w:rPr>
          <w:rFonts w:ascii="Times New Roman" w:hAnsi="Times New Roman"/>
          <w:b w:val="0"/>
          <w:i w:val="0"/>
          <w:sz w:val="24"/>
        </w:rPr>
        <w:t xml:space="preserve"> The most urgent need is validated instruments for measuring trust calibration accuracy in educational AI contexts. The review's finding that zero papers simultaneously measured both trust level and AI reliability means the field currently has no empirical basis for calibration assessment. This requires multimethod approaches that simultaneously assess (a) learner trust in AI for specific tasks, (b) AI reliability for those tasks, and (c) the correspondence between the two. Process-level indicators—verification frequency, modification rates, information-seeking patterns—offer promising proxies for real-time calibration assessment. Existing instruments from the automation trust literature (Jian et al., 2000; Scharowski et al., 2025) may serve as starting points, but they require adaptation to educational contexts where the definition of "appropriate" trust includes pedagogical considerations absent from industrial settings.</w:t>
      </w:r>
    </w:p>
    <w:p>
      <w:pPr>
        <w:spacing w:before="0" w:after="0" w:line="480" w:lineRule="auto"/>
        <w:ind w:firstLine="720"/>
      </w:pPr>
      <w:r>
        <w:rPr>
          <w:rFonts w:ascii="Times New Roman" w:hAnsi="Times New Roman"/>
          <w:b w:val="0"/>
          <w:i w:val="0"/>
          <w:sz w:val="24"/>
        </w:rPr>
      </w:r>
      <w:r>
        <w:rPr>
          <w:rFonts w:ascii="Times New Roman" w:hAnsi="Times New Roman"/>
          <w:b/>
          <w:i w:val="0"/>
          <w:sz w:val="24"/>
        </w:rPr>
        <w:t>Priority 2: Domain-specific calibration profiles.</w:t>
      </w:r>
      <w:r>
        <w:rPr>
          <w:rFonts w:ascii="Times New Roman" w:hAnsi="Times New Roman"/>
          <w:b w:val="0"/>
          <w:i w:val="0"/>
          <w:sz w:val="24"/>
        </w:rPr>
        <w:t xml:space="preserve"> AI reliability varies dramatically across domains: ChatGPT may be highly reliable for summarizing well-documented topics, moderately reliable for essay feedback, and unreliable for mathematical proofs or clinical reasoning. Calibration research must therefore be domain-specific, mapping trust-reliability correspondences across subject areas (e.g., mathematics vs. writing vs. coding vs. science) and task types (e.g., factual retrieval vs. reasoning vs. creative generation). A learner who has developed calibrated trust in one domain cannot be assumed calibrated in another. The Trust–AI Reliability Matrix should be applied domain by domain, generating calibration profiles that capture the granularity of learner trust across the tasks they encounter.</w:t>
      </w:r>
    </w:p>
    <w:p>
      <w:pPr>
        <w:spacing w:before="0" w:after="0" w:line="480" w:lineRule="auto"/>
        <w:ind w:firstLine="720"/>
      </w:pPr>
      <w:r>
        <w:rPr>
          <w:rFonts w:ascii="Times New Roman" w:hAnsi="Times New Roman"/>
          <w:b w:val="0"/>
          <w:i w:val="0"/>
          <w:sz w:val="24"/>
        </w:rPr>
      </w:r>
      <w:r>
        <w:rPr>
          <w:rFonts w:ascii="Times New Roman" w:hAnsi="Times New Roman"/>
          <w:b/>
          <w:i w:val="0"/>
          <w:sz w:val="24"/>
        </w:rPr>
        <w:t>Priority 3: Calibration interventions.</w:t>
      </w:r>
      <w:r>
        <w:rPr>
          <w:rFonts w:ascii="Times New Roman" w:hAnsi="Times New Roman"/>
          <w:b w:val="0"/>
          <w:i w:val="0"/>
          <w:sz w:val="24"/>
        </w:rPr>
        <w:t xml:space="preserve"> Evidence from adjacent fields suggests promising intervention mechanisms—metacognitive prompting (Guo et al., 2022), productive failure (Kapur, 2008, 2016), uncertainty transparency (Lee &amp; See, 2004), and desirable difficulties (Bjork &amp; Bjork, 2011)—but these have not been tested specifically for trust calibration in educational AI. The finding that metacognitive scaffolds appear in only 3.1% of the corpus while transparency scaffolds appear in 24.7% suggests that the most calibration-relevant intervention type is the least explored. Experimental studies comparing intervention types across quadrants of the Trust–AI Reliability Matrix would advance the field from principled recommendation to evidence-based prescription. Ma et al. (2024) and Vasconcelos et al. (2023) provide methodological templates from HCI that could be adapted for educational contexts.</w:t>
      </w:r>
    </w:p>
    <w:p>
      <w:pPr>
        <w:spacing w:before="0" w:after="0" w:line="480" w:lineRule="auto"/>
        <w:ind w:firstLine="720"/>
      </w:pPr>
      <w:r>
        <w:rPr>
          <w:rFonts w:ascii="Times New Roman" w:hAnsi="Times New Roman"/>
          <w:b w:val="0"/>
          <w:i w:val="0"/>
          <w:sz w:val="24"/>
        </w:rPr>
      </w:r>
      <w:r>
        <w:rPr>
          <w:rFonts w:ascii="Times New Roman" w:hAnsi="Times New Roman"/>
          <w:b/>
          <w:i w:val="0"/>
          <w:sz w:val="24"/>
        </w:rPr>
        <w:t>Priority 4: Longitudinal calibration development.</w:t>
      </w:r>
      <w:r>
        <w:rPr>
          <w:rFonts w:ascii="Times New Roman" w:hAnsi="Times New Roman"/>
          <w:b w:val="0"/>
          <w:i w:val="0"/>
          <w:sz w:val="24"/>
        </w:rPr>
        <w:t xml:space="preserve"> How does trust calibration develop over time? Cross-sectional snapshots cannot capture the dynamic process by which learners develop (or fail to develop) calibrated trust across a semester of AI-assisted learning. Hoff and Bashir's (2015) three-layer model suggests that dispositional, situational, and learned trust evolve on different timescales; longitudinal designs are needed to trace how these layers interact in shaping calibration trajectories. Critical questions include: When do learners first develop differentiated trust across AI domains? What experiences trigger recalibration? Does calibration improve naturally with exposure, or does it require explicit intervention? Answering these questions requires tracking individual learners across extended periods of AI-assisted learning—a research design that none of the 97 coded papers employed.</w:t>
      </w:r>
    </w:p>
    <w:p>
      <w:pPr>
        <w:spacing w:before="0" w:after="0" w:line="480" w:lineRule="auto"/>
        <w:ind w:firstLine="720"/>
      </w:pPr>
      <w:r>
        <w:rPr>
          <w:rFonts w:ascii="Times New Roman" w:hAnsi="Times New Roman"/>
          <w:b w:val="0"/>
          <w:i w:val="0"/>
          <w:sz w:val="24"/>
        </w:rPr>
      </w:r>
      <w:r>
        <w:rPr>
          <w:rFonts w:ascii="Times New Roman" w:hAnsi="Times New Roman"/>
          <w:b/>
          <w:i w:val="0"/>
          <w:sz w:val="24"/>
        </w:rPr>
        <w:t>Priority 5: Cultural and contextual variation.</w:t>
      </w:r>
      <w:r>
        <w:rPr>
          <w:rFonts w:ascii="Times New Roman" w:hAnsi="Times New Roman"/>
          <w:b w:val="0"/>
          <w:i w:val="0"/>
          <w:sz w:val="24"/>
        </w:rPr>
        <w:t xml:space="preserve"> Trust dynamics operate differently across cultural contexts with varying power distance and uncertainty avoidance (Hofstede, 2001). Calibration research must investigate whether these cultural dimensions moderate calibration processes and whether interventions require culturally sensitive adaptation. The present corpus is heavily concentrated in Western educational contexts and English-language publications; calibration norms, trust formation patterns, and appropriate intervention strategies may differ substantially in East Asian, South Asian, or Sub-Saharan African educational systems where authority relationships and technology attitudes carry different cultural meanings (Table 5).</w:t>
      </w:r>
    </w:p>
    <w:p>
      <w:pPr>
        <w:spacing w:before="240" w:after="120" w:line="480" w:lineRule="auto"/>
      </w:pPr>
      <w:r>
        <w:rPr>
          <w:rFonts w:ascii="Times New Roman" w:hAnsi="Times New Roman"/>
          <w:b/>
          <w:i w:val="0"/>
          <w:sz w:val="24"/>
        </w:rPr>
        <w:t>Practical Implications</w:t>
      </w:r>
    </w:p>
    <w:p>
      <w:pPr>
        <w:spacing w:before="0" w:after="0" w:line="480" w:lineRule="auto"/>
        <w:ind w:firstLine="720"/>
      </w:pPr>
      <w:r>
        <w:rPr>
          <w:rFonts w:ascii="Times New Roman" w:hAnsi="Times New Roman"/>
          <w:b w:val="0"/>
          <w:i w:val="0"/>
          <w:sz w:val="24"/>
        </w:rPr>
      </w:r>
      <w:r>
        <w:rPr>
          <w:rFonts w:ascii="Times New Roman" w:hAnsi="Times New Roman"/>
          <w:b/>
          <w:i w:val="0"/>
          <w:sz w:val="24"/>
        </w:rPr>
        <w:t>For educators.</w:t>
      </w:r>
      <w:r>
        <w:rPr>
          <w:rFonts w:ascii="Times New Roman" w:hAnsi="Times New Roman"/>
          <w:b w:val="0"/>
          <w:i w:val="0"/>
          <w:sz w:val="24"/>
        </w:rPr>
        <w:t xml:space="preserve"> Trust calibration should be recognized as a distinct learning objective alongside content mastery—the capacity to assess AI reliability for a given task and adjust reliance accordingly is an epistemic competence requiring explicit instruction (Long &amp; Magerko, 2020; Ng et al., 2021). Educators can serve as trust calibration agents, using the Trust–AI Reliability Matrix to diagnose whether learners operate in calibrated or miscalibrated states and deploying targeted interventions: AI evaluation exercises for overtrusting learners, guided comparison tasks for undertrusting ones. Critically, AI literacy—including instruction on the probabilistic nature of LLM outputs and their domain-dependent accuracy variability—should be treated as a prerequisite for AI tool deployment, not an afterthought. The field's finding that 84.5% of papers provided no trust definition suggests that even researchers struggle with construct precision; educators will need structured support to operationalize calibration concepts in classroom practice.</w:t>
      </w:r>
    </w:p>
    <w:p>
      <w:pPr>
        <w:spacing w:before="0" w:after="0" w:line="480" w:lineRule="auto"/>
        <w:ind w:firstLine="720"/>
      </w:pPr>
      <w:r>
        <w:rPr>
          <w:rFonts w:ascii="Times New Roman" w:hAnsi="Times New Roman"/>
          <w:b w:val="0"/>
          <w:i w:val="0"/>
          <w:sz w:val="24"/>
        </w:rPr>
      </w:r>
      <w:r>
        <w:rPr>
          <w:rFonts w:ascii="Times New Roman" w:hAnsi="Times New Roman"/>
          <w:b/>
          <w:i w:val="0"/>
          <w:sz w:val="24"/>
        </w:rPr>
        <w:t>For AI system designers.</w:t>
      </w:r>
      <w:r>
        <w:rPr>
          <w:rFonts w:ascii="Times New Roman" w:hAnsi="Times New Roman"/>
          <w:b w:val="0"/>
          <w:i w:val="0"/>
          <w:sz w:val="24"/>
        </w:rPr>
        <w:t xml:space="preserve"> The central design principle this review supports is: </w:t>
      </w:r>
      <w:r>
        <w:rPr>
          <w:rFonts w:ascii="Times New Roman" w:hAnsi="Times New Roman"/>
          <w:b w:val="0"/>
          <w:i/>
          <w:sz w:val="24"/>
        </w:rPr>
        <w:t>design for calibration, not for trust</w:t>
      </w:r>
      <w:r>
        <w:rPr>
          <w:rFonts w:ascii="Times New Roman" w:hAnsi="Times New Roman"/>
          <w:b w:val="0"/>
          <w:i w:val="0"/>
          <w:sz w:val="24"/>
        </w:rPr>
        <w:t xml:space="preserve">. The dominant design logic treats higher trust as a success metric; the calibration paradigm reframes trust as a calibration target. Educational AI systems should aim not to increase trust but to align it with actual capability for specific tasks. Under conditions of low AI reliability, the design goal should be to </w:t>
      </w:r>
      <w:r>
        <w:rPr>
          <w:rFonts w:ascii="Times New Roman" w:hAnsi="Times New Roman"/>
          <w:b w:val="0"/>
          <w:i/>
          <w:sz w:val="24"/>
        </w:rPr>
        <w:t>reduce</w:t>
      </w:r>
      <w:r>
        <w:rPr>
          <w:rFonts w:ascii="Times New Roman" w:hAnsi="Times New Roman"/>
          <w:b w:val="0"/>
          <w:i w:val="0"/>
          <w:sz w:val="24"/>
        </w:rPr>
        <w:t xml:space="preserve"> trust to a level commensurate with capability. This requires embedding both axes of the Trust–AI Reliability Matrix: learner trust monitoring (e.g., behavioral indicators of reliance patterns) and AI reliability benchmarking (e.g., domain-specific accuracy metrics). Transparency mechanisms should be complemented by metacognitive scaffolds that activate the evaluative processes learners need for calibrated trust judgments—the review's finding that metacognitive scaffolds appear in only 3.1% of the corpus, versus 24.7% for transparency scaffolds, suggests a critical design gap.</w:t>
      </w:r>
    </w:p>
    <w:p>
      <w:pPr>
        <w:spacing w:before="0" w:after="0" w:line="480" w:lineRule="auto"/>
        <w:ind w:firstLine="720"/>
      </w:pPr>
      <w:r>
        <w:rPr>
          <w:rFonts w:ascii="Times New Roman" w:hAnsi="Times New Roman"/>
          <w:b w:val="0"/>
          <w:i w:val="0"/>
          <w:sz w:val="24"/>
        </w:rPr>
      </w:r>
      <w:r>
        <w:rPr>
          <w:rFonts w:ascii="Times New Roman" w:hAnsi="Times New Roman"/>
          <w:b/>
          <w:i w:val="0"/>
          <w:sz w:val="24"/>
        </w:rPr>
        <w:t>For policymakers.</w:t>
      </w:r>
      <w:r>
        <w:rPr>
          <w:rFonts w:ascii="Times New Roman" w:hAnsi="Times New Roman"/>
          <w:b w:val="0"/>
          <w:i w:val="0"/>
          <w:sz w:val="24"/>
        </w:rPr>
        <w:t xml:space="preserve"> Regulatory frameworks for educational AI (European Union, 2024; UNESCO, 2023) mandate human oversight and appropriate trust, but the field currently lacks the measurement infrastructure to assess "appropriate trust." The EU AI Act's classification of educational AI as high-risk (Annex III) implies that learner trust calibration should be an evaluable criterion, yet no validated instruments exist for this purpose. Policy should explicitly acknowledge this infrastructure gap and incentivize the development of calibration assessment tools that can operationalize the regulatory intent. Without such tools, policy goals remain aspirational rather than enforceable.</w:t>
      </w:r>
    </w:p>
    <w:p>
      <w:pPr>
        <w:spacing w:before="240" w:after="120" w:line="480" w:lineRule="auto"/>
        <w:jc w:val="center"/>
      </w:pPr>
      <w:r>
        <w:rPr>
          <w:rFonts w:ascii="Times New Roman" w:hAnsi="Times New Roman"/>
          <w:b/>
          <w:i w:val="0"/>
          <w:sz w:val="24"/>
        </w:rPr>
        <w:t>Limitations and Conclusion</w:t>
      </w:r>
    </w:p>
    <w:p>
      <w:pPr>
        <w:spacing w:before="240" w:after="120" w:line="480" w:lineRule="auto"/>
      </w:pPr>
      <w:r>
        <w:rPr>
          <w:rFonts w:ascii="Times New Roman" w:hAnsi="Times New Roman"/>
          <w:b/>
          <w:i w:val="0"/>
          <w:sz w:val="24"/>
        </w:rPr>
        <w:t>Limitations</w:t>
      </w:r>
    </w:p>
    <w:p>
      <w:pPr>
        <w:spacing w:before="0" w:after="0" w:line="480" w:lineRule="auto"/>
        <w:ind w:firstLine="720"/>
      </w:pPr>
      <w:r>
        <w:rPr>
          <w:rFonts w:ascii="Times New Roman" w:hAnsi="Times New Roman"/>
          <w:b w:val="0"/>
          <w:i w:val="0"/>
          <w:sz w:val="24"/>
        </w:rPr>
        <w:t>Several limitations warrant acknowledgment. First, this paper adopted a critical review approach (Grant &amp; Booth, 2009) rather than a full systematic review following PRISMA-ScR protocols (Peters et al., 2020). This enabled deeper theoretical synthesis and typology development but means the literature search, while systematic in its use of defined databases and search terms, was not exhaustive. Related work published outside our search terms or in non-indexed venues may have been missed.</w:t>
      </w:r>
    </w:p>
    <w:p>
      <w:pPr>
        <w:spacing w:before="0" w:after="0" w:line="480" w:lineRule="auto"/>
        <w:ind w:firstLine="720"/>
      </w:pPr>
      <w:r>
        <w:rPr>
          <w:rFonts w:ascii="Times New Roman" w:hAnsi="Times New Roman"/>
          <w:b w:val="0"/>
          <w:i w:val="0"/>
          <w:sz w:val="24"/>
        </w:rPr>
        <w:t>Second, while coding involved two researchers—the first author coding all 97 papers and the second author independently coding a random 20–30% subsample—this remains a limitation compared to full dual coding of the entire corpus. Cohen's kappa values for key categorical variables are reported; the domain classification, as a derived variable computed algorithmically from existing coded fields, inherits the reliability of its input variables.</w:t>
      </w:r>
    </w:p>
    <w:p>
      <w:pPr>
        <w:spacing w:before="0" w:after="0" w:line="480" w:lineRule="auto"/>
        <w:ind w:firstLine="720"/>
      </w:pPr>
      <w:r>
        <w:rPr>
          <w:rFonts w:ascii="Times New Roman" w:hAnsi="Times New Roman"/>
          <w:b w:val="0"/>
          <w:i w:val="0"/>
          <w:sz w:val="24"/>
        </w:rPr>
        <w:t>Third, the search was limited to English-language publications, potentially excluding relevant work from non-Anglophone research traditions where cultural dimensions such as power distance and uncertainty avoidance may shape trust dynamics differently (Hofstede, 2001).</w:t>
      </w:r>
    </w:p>
    <w:p>
      <w:pPr>
        <w:spacing w:before="0" w:after="0" w:line="480" w:lineRule="auto"/>
        <w:ind w:firstLine="720"/>
      </w:pPr>
      <w:r>
        <w:rPr>
          <w:rFonts w:ascii="Times New Roman" w:hAnsi="Times New Roman"/>
          <w:b w:val="0"/>
          <w:i w:val="0"/>
          <w:sz w:val="24"/>
        </w:rPr>
        <w:t>Fourth, 50 of 147 identified papers could not be coded due to full-text access limitations at the time of analysis, representing a potential source of selection bias. These papers may include calibration-relevant work that would alter the domain distribution.</w:t>
      </w:r>
    </w:p>
    <w:p>
      <w:pPr>
        <w:spacing w:before="0" w:after="0" w:line="480" w:lineRule="auto"/>
        <w:ind w:firstLine="720"/>
      </w:pPr>
      <w:r>
        <w:rPr>
          <w:rFonts w:ascii="Times New Roman" w:hAnsi="Times New Roman"/>
          <w:b w:val="0"/>
          <w:i w:val="0"/>
          <w:sz w:val="24"/>
        </w:rPr>
        <w:t>Fifth, 13 of 16 D5 papers came from supplementary citation tracking rather than database searches. We have argued that this asymmetry is itself evidence of the calibration gap rather than a methodological limitation, but we acknowledge that the supplementary search was designed to find calibration-relevant work. The finding that only 3 of 81 database-sourced papers (3.7%) reached D5 is the robust, design-independent evidence; the supplementary papers contextualize rather than inflate the gap. We report this transparently and encourage readers to weight the 3.7% finding as the primary evidence.</w:t>
      </w:r>
    </w:p>
    <w:p>
      <w:pPr>
        <w:spacing w:before="0" w:after="0" w:line="480" w:lineRule="auto"/>
        <w:ind w:firstLine="720"/>
      </w:pPr>
      <w:r>
        <w:rPr>
          <w:rFonts w:ascii="Times New Roman" w:hAnsi="Times New Roman"/>
          <w:b w:val="0"/>
          <w:i w:val="0"/>
          <w:sz w:val="24"/>
        </w:rPr>
        <w:t>Sixth, the 5-domain Research Orientation Typology is a post-hoc classification applied to existing coded data. While the priority rules are deterministic, reproducible, and documented in Appendix D, the domain labels and boundaries represent analytic choices. Alternative priority orderings or boundary conditions could produce different distributions. The typology should be treated as a diagnostic tool for mapping the field's orientation landscape, not as a definitive taxonomy. External validation through independent application to new corpora would strengthen its utility.</w:t>
      </w:r>
    </w:p>
    <w:p>
      <w:pPr>
        <w:spacing w:before="0" w:after="0" w:line="480" w:lineRule="auto"/>
        <w:ind w:firstLine="720"/>
      </w:pPr>
      <w:r>
        <w:rPr>
          <w:rFonts w:ascii="Times New Roman" w:hAnsi="Times New Roman"/>
          <w:b w:val="0"/>
          <w:i w:val="0"/>
          <w:sz w:val="24"/>
        </w:rPr>
        <w:t>Seventh, the paradigm shift argument from trust-level to trust-calibration research is a conceptual contribution that, while grounded in the empirical calibration gap, has not itself been empirically tested. Whether the reframing we propose actually produces better educational outcomes than trust-level research remains an open question requiring the empirical program outlined in Section 6.2.</w:t>
      </w:r>
    </w:p>
    <w:p>
      <w:pPr>
        <w:spacing w:before="240" w:after="120" w:line="480" w:lineRule="auto"/>
      </w:pPr>
      <w:r>
        <w:rPr>
          <w:rFonts w:ascii="Times New Roman" w:hAnsi="Times New Roman"/>
          <w:b/>
          <w:i w:val="0"/>
          <w:sz w:val="24"/>
        </w:rPr>
        <w:t>Conclusion</w:t>
      </w:r>
    </w:p>
    <w:p>
      <w:pPr>
        <w:spacing w:before="0" w:after="0" w:line="480" w:lineRule="auto"/>
        <w:ind w:firstLine="720"/>
      </w:pPr>
      <w:r>
        <w:rPr>
          <w:rFonts w:ascii="Times New Roman" w:hAnsi="Times New Roman"/>
          <w:b w:val="0"/>
          <w:i w:val="0"/>
          <w:sz w:val="24"/>
        </w:rPr>
        <w:t>This paper has advanced a core argument: the field of educational AI trust research is concentrated below the calibration threshold. Through a critical review of 97 studies on trust in educational AI (2015–2026), we documented a structural calibration gap manifesting across definitional, measurement, and disciplinary dimensions—a gap that existing theoretical frameworks, particularly technology acceptance models, are not designed to address.</w:t>
      </w:r>
    </w:p>
    <w:p>
      <w:pPr>
        <w:spacing w:before="0" w:after="0" w:line="480" w:lineRule="auto"/>
        <w:ind w:firstLine="720"/>
      </w:pPr>
      <w:r>
        <w:rPr>
          <w:rFonts w:ascii="Times New Roman" w:hAnsi="Times New Roman"/>
          <w:b w:val="0"/>
          <w:i w:val="0"/>
          <w:sz w:val="24"/>
        </w:rPr>
        <w:t>The paper makes two contributions. First, the 5-domain Research Orientation Typology provides a diagnostic lens for this gap, classifying the corpus along a calibration maturity spectrum and revealing that 83.5% of research operates without explicit calibration engagement. The finding that the field's center of gravity resides in D4 (Trust Awareness)—problem recognition without problem measurement—identifies the precise transition point where investment could yield the greatest returns. Second, the paradigm shift argument—from "Do learners trust AI?" to "Is their trust calibrated?"—is grounded in the empirical evidence of the gap and operationalized through the Trust–AI Reliability Matrix, a diagnostic tool requiring both learner trust and AI reliability measurement.</w:t>
      </w:r>
    </w:p>
    <w:p>
      <w:pPr>
        <w:spacing w:before="0" w:after="0" w:line="480" w:lineRule="auto"/>
        <w:ind w:firstLine="720"/>
      </w:pPr>
      <w:r>
        <w:rPr>
          <w:rFonts w:ascii="Times New Roman" w:hAnsi="Times New Roman"/>
          <w:b w:val="0"/>
          <w:i w:val="0"/>
          <w:sz w:val="24"/>
        </w:rPr>
        <w:t>As educational AI becomes increasingly embedded in learning environments worldwide, the stakes of this transition grow. Bastani et al. (2025) documented what happens when trust is uncalibrated in a controlled experimental setting; the uncontrolled deployment of AI tools across global education systems amplifies both the potential benefits of calibrated trust and the potential harms of miscalibration. The path forward requires what the field currently lacks: calibration-oriented measurement, theory, and intervention design. This review provides the diagnostic foundation; the empirical work remains to be done.</w:t>
      </w:r>
    </w:p>
    <w:p>
      <w:r>
        <w:br w:type="page"/>
      </w:r>
    </w:p>
    <w:p>
      <w:pPr>
        <w:spacing w:before="240" w:after="120" w:line="480" w:lineRule="auto"/>
        <w:jc w:val="center"/>
      </w:pPr>
      <w:r>
        <w:rPr>
          <w:rFonts w:ascii="Times New Roman" w:hAnsi="Times New Roman"/>
          <w:b/>
          <w:i w:val="0"/>
          <w:sz w:val="24"/>
        </w:rPr>
        <w:t>References</w:t>
      </w:r>
    </w:p>
    <w:p>
      <w:pPr>
        <w:spacing w:before="0" w:after="0" w:line="480" w:lineRule="auto"/>
        <w:ind w:left="720" w:hanging="720"/>
      </w:pPr>
      <w:r>
        <w:rPr>
          <w:rFonts w:ascii="Times New Roman" w:hAnsi="Times New Roman"/>
          <w:b w:val="0"/>
          <w:i w:val="0"/>
          <w:sz w:val="24"/>
        </w:rPr>
        <w:t>## References</w:t>
      </w:r>
    </w:p>
    <w:p>
      <w:pPr>
        <w:spacing w:before="0" w:after="0" w:line="480" w:lineRule="auto"/>
        <w:ind w:left="720" w:hanging="720"/>
      </w:pPr>
      <w:r>
        <w:rPr>
          <w:rFonts w:ascii="Times New Roman" w:hAnsi="Times New Roman"/>
          <w:b w:val="0"/>
          <w:i w:val="0"/>
          <w:sz w:val="24"/>
        </w:rPr>
        <w:t xml:space="preserve">Al-Adwan, A. S., Li, N., Al-Adwan, A., Abbasi, G. A., Albelbisi, N. A., &amp; Habibi, A. (2023). Extending the technology acceptance model (TAM) to predict university students' intentions to use metaverse-based learning platforms. </w:t>
      </w:r>
      <w:r>
        <w:rPr>
          <w:rFonts w:ascii="Times New Roman" w:hAnsi="Times New Roman"/>
          <w:b w:val="0"/>
          <w:i/>
          <w:sz w:val="24"/>
        </w:rPr>
        <w:t>Education and Information Technologies</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(9), 11823–11850. https://doi.org/10.1007/s10639-023-11816-3</w:t>
      </w:r>
    </w:p>
    <w:p>
      <w:pPr>
        <w:spacing w:before="0" w:after="0" w:line="480" w:lineRule="auto"/>
        <w:ind w:left="720" w:hanging="720"/>
      </w:pPr>
      <w:r>
        <w:rPr>
          <w:rFonts w:ascii="Times New Roman" w:hAnsi="Times New Roman"/>
          <w:b w:val="0"/>
          <w:i w:val="0"/>
          <w:sz w:val="24"/>
        </w:rPr>
        <w:t xml:space="preserve">Amershi, S., Weld, D., Vorvoreanu, M., Fourney, A., Nushi, B., Collisson, P., Suh, J., Iqbal, S., Bennett, P. N., Inkpen, K., Teevan, J., Kiber, R., &amp; Horvitz, E. (2019). Guidelines for human-AI interaction. </w:t>
      </w:r>
      <w:r>
        <w:rPr>
          <w:rFonts w:ascii="Times New Roman" w:hAnsi="Times New Roman"/>
          <w:b w:val="0"/>
          <w:i/>
          <w:sz w:val="24"/>
        </w:rPr>
        <w:t>Proceedings of the 2019 CHI Conference on Human Factors in Computing Systems</w:t>
      </w:r>
      <w:r>
        <w:rPr>
          <w:rFonts w:ascii="Times New Roman" w:hAnsi="Times New Roman"/>
          <w:b w:val="0"/>
          <w:i w:val="0"/>
          <w:sz w:val="24"/>
        </w:rPr>
        <w:t>, 1–13. https://doi.org/10.1145/3290605.3300233</w:t>
      </w:r>
    </w:p>
    <w:p>
      <w:pPr>
        <w:spacing w:before="0" w:after="0" w:line="480" w:lineRule="auto"/>
        <w:ind w:left="720" w:hanging="720"/>
      </w:pPr>
      <w:r>
        <w:rPr>
          <w:rFonts w:ascii="Times New Roman" w:hAnsi="Times New Roman"/>
          <w:b w:val="0"/>
          <w:i w:val="0"/>
          <w:sz w:val="24"/>
        </w:rPr>
        <w:t xml:space="preserve">Anderson, T., &amp; Shattuck, J. (2012). Design-based research: A decade of progress in education research? </w:t>
      </w:r>
      <w:r>
        <w:rPr>
          <w:rFonts w:ascii="Times New Roman" w:hAnsi="Times New Roman"/>
          <w:b w:val="0"/>
          <w:i/>
          <w:sz w:val="24"/>
        </w:rPr>
        <w:t>Educational Researcher</w:t>
      </w:r>
      <w:r>
        <w:rPr>
          <w:rFonts w:ascii="Times New Roman" w:hAnsi="Times New Roman"/>
          <w:b w:val="0"/>
          <w:i w:val="0"/>
          <w:sz w:val="24"/>
        </w:rPr>
        <w:t xml:space="preserve">, </w:t>
      </w:r>
      <w:r>
        <w:rPr>
          <w:rFonts w:ascii="Times New Roman" w:hAnsi="Times New Roman"/>
          <w:b w:val="0"/>
          <w:i/>
          <w:sz w:val="24"/>
        </w:rPr>
        <w:t>41</w:t>
      </w:r>
      <w:r>
        <w:rPr>
          <w:rFonts w:ascii="Times New Roman" w:hAnsi="Times New Roman"/>
          <w:b w:val="0"/>
          <w:i w:val="0"/>
          <w:sz w:val="24"/>
        </w:rPr>
        <w:t>(1), 16–25. https://doi.org/10.3102/0013189X11428813</w:t>
      </w:r>
    </w:p>
    <w:p>
      <w:pPr>
        <w:spacing w:before="0" w:after="0" w:line="480" w:lineRule="auto"/>
        <w:ind w:left="720" w:hanging="720"/>
      </w:pPr>
      <w:r>
        <w:rPr>
          <w:rFonts w:ascii="Times New Roman" w:hAnsi="Times New Roman"/>
          <w:b w:val="0"/>
          <w:i w:val="0"/>
          <w:sz w:val="24"/>
        </w:rPr>
        <w:t xml:space="preserve">Arrieta, A. B., Diaz-Rodriguez, N., Del Ser, J., Bennetot, A., Tabik, S., Barbado, A., Garcia, S., Gil-Lopez, S., Molina, D., Benjamins, R., Chatila, R., &amp; Herrera, F. (2020). Explainable artificial intelligence (XAI): Concepts, taxonomies, opportunities and challenges toward responsible AI. </w:t>
      </w:r>
      <w:r>
        <w:rPr>
          <w:rFonts w:ascii="Times New Roman" w:hAnsi="Times New Roman"/>
          <w:b w:val="0"/>
          <w:i/>
          <w:sz w:val="24"/>
        </w:rPr>
        <w:t>Information Fusion</w:t>
      </w:r>
      <w:r>
        <w:rPr>
          <w:rFonts w:ascii="Times New Roman" w:hAnsi="Times New Roman"/>
          <w:b w:val="0"/>
          <w:i w:val="0"/>
          <w:sz w:val="24"/>
        </w:rPr>
        <w:t xml:space="preserve">, </w:t>
      </w:r>
      <w:r>
        <w:rPr>
          <w:rFonts w:ascii="Times New Roman" w:hAnsi="Times New Roman"/>
          <w:b w:val="0"/>
          <w:i/>
          <w:sz w:val="24"/>
        </w:rPr>
        <w:t>58</w:t>
      </w:r>
      <w:r>
        <w:rPr>
          <w:rFonts w:ascii="Times New Roman" w:hAnsi="Times New Roman"/>
          <w:b w:val="0"/>
          <w:i w:val="0"/>
          <w:sz w:val="24"/>
        </w:rPr>
        <w:t>, 82–115. https://doi.org/10.1016/j.inffus.2019.12.012</w:t>
      </w:r>
    </w:p>
    <w:p>
      <w:pPr>
        <w:spacing w:before="0" w:after="0" w:line="480" w:lineRule="auto"/>
        <w:ind w:left="720" w:hanging="720"/>
      </w:pPr>
      <w:r>
        <w:rPr>
          <w:rFonts w:ascii="Times New Roman" w:hAnsi="Times New Roman"/>
          <w:b w:val="0"/>
          <w:i w:val="0"/>
          <w:sz w:val="24"/>
        </w:rPr>
        <w:t xml:space="preserve">Azevedo, R., &amp; Cromley, J. G. (2004). Does training on self-regulated learning facilitate students' learning with hypermedia? </w:t>
      </w:r>
      <w:r>
        <w:rPr>
          <w:rFonts w:ascii="Times New Roman" w:hAnsi="Times New Roman"/>
          <w:b w:val="0"/>
          <w:i/>
          <w:sz w:val="24"/>
        </w:rPr>
        <w:t>Journal of Educational Psychology</w:t>
      </w:r>
      <w:r>
        <w:rPr>
          <w:rFonts w:ascii="Times New Roman" w:hAnsi="Times New Roman"/>
          <w:b w:val="0"/>
          <w:i w:val="0"/>
          <w:sz w:val="24"/>
        </w:rPr>
        <w:t xml:space="preserve">, </w:t>
      </w:r>
      <w:r>
        <w:rPr>
          <w:rFonts w:ascii="Times New Roman" w:hAnsi="Times New Roman"/>
          <w:b w:val="0"/>
          <w:i/>
          <w:sz w:val="24"/>
        </w:rPr>
        <w:t>96</w:t>
      </w:r>
      <w:r>
        <w:rPr>
          <w:rFonts w:ascii="Times New Roman" w:hAnsi="Times New Roman"/>
          <w:b w:val="0"/>
          <w:i w:val="0"/>
          <w:sz w:val="24"/>
        </w:rPr>
        <w:t>(3), 523–535. https://doi.org/10.1037/0022-0663.96.3.523</w:t>
      </w:r>
    </w:p>
    <w:p>
      <w:pPr>
        <w:spacing w:before="0" w:after="0" w:line="480" w:lineRule="auto"/>
        <w:ind w:left="720" w:hanging="720"/>
      </w:pPr>
      <w:r>
        <w:rPr>
          <w:rFonts w:ascii="Times New Roman" w:hAnsi="Times New Roman"/>
          <w:b w:val="0"/>
          <w:i w:val="0"/>
          <w:sz w:val="24"/>
        </w:rPr>
        <w:t xml:space="preserve">Bailey, K. D. (1994). </w:t>
      </w:r>
      <w:r>
        <w:rPr>
          <w:rFonts w:ascii="Times New Roman" w:hAnsi="Times New Roman"/>
          <w:b w:val="0"/>
          <w:i/>
          <w:sz w:val="24"/>
        </w:rPr>
        <w:t>Typologies and taxonomies: An introduction to classification techniques</w:t>
      </w:r>
      <w:r>
        <w:rPr>
          <w:rFonts w:ascii="Times New Roman" w:hAnsi="Times New Roman"/>
          <w:b w:val="0"/>
          <w:i w:val="0"/>
          <w:sz w:val="24"/>
        </w:rPr>
        <w:t>. Sage Publications.</w:t>
      </w:r>
    </w:p>
    <w:p>
      <w:pPr>
        <w:spacing w:before="0" w:after="0" w:line="480" w:lineRule="auto"/>
        <w:ind w:left="720" w:hanging="720"/>
      </w:pPr>
      <w:r>
        <w:rPr>
          <w:rFonts w:ascii="Times New Roman" w:hAnsi="Times New Roman"/>
          <w:b w:val="0"/>
          <w:i w:val="0"/>
          <w:sz w:val="24"/>
        </w:rPr>
        <w:t xml:space="preserve">Baidoo-Anu, D., &amp; Ansah, L. O. (2023). Education in the era of generative artificial intelligence (AI): Understanding the potential benefits of ChatGPT in promoting teaching and learning. </w:t>
      </w:r>
      <w:r>
        <w:rPr>
          <w:rFonts w:ascii="Times New Roman" w:hAnsi="Times New Roman"/>
          <w:b w:val="0"/>
          <w:i/>
          <w:sz w:val="24"/>
        </w:rPr>
        <w:t>Journal of AI</w:t>
      </w:r>
      <w:r>
        <w:rPr>
          <w:rFonts w:ascii="Times New Roman" w:hAnsi="Times New Roman"/>
          <w:b w:val="0"/>
          <w:i w:val="0"/>
          <w:sz w:val="24"/>
        </w:rPr>
        <w:t xml:space="preserve">, </w:t>
      </w:r>
      <w:r>
        <w:rPr>
          <w:rFonts w:ascii="Times New Roman" w:hAnsi="Times New Roman"/>
          <w:b w:val="0"/>
          <w:i/>
          <w:sz w:val="24"/>
        </w:rPr>
        <w:t>7</w:t>
      </w:r>
      <w:r>
        <w:rPr>
          <w:rFonts w:ascii="Times New Roman" w:hAnsi="Times New Roman"/>
          <w:b w:val="0"/>
          <w:i w:val="0"/>
          <w:sz w:val="24"/>
        </w:rPr>
        <w:t>(1), 52–62. https://doi.org/10.61969/jai.1337500</w:t>
      </w:r>
    </w:p>
    <w:p>
      <w:pPr>
        <w:spacing w:before="0" w:after="0" w:line="480" w:lineRule="auto"/>
        <w:ind w:left="720" w:hanging="720"/>
      </w:pPr>
      <w:r>
        <w:rPr>
          <w:rFonts w:ascii="Times New Roman" w:hAnsi="Times New Roman"/>
          <w:b w:val="0"/>
          <w:i w:val="0"/>
          <w:sz w:val="24"/>
        </w:rPr>
        <w:t xml:space="preserve">Bandura, A. (1997). </w:t>
      </w:r>
      <w:r>
        <w:rPr>
          <w:rFonts w:ascii="Times New Roman" w:hAnsi="Times New Roman"/>
          <w:b w:val="0"/>
          <w:i/>
          <w:sz w:val="24"/>
        </w:rPr>
        <w:t>Self-efficacy: The exercise of control</w:t>
      </w:r>
      <w:r>
        <w:rPr>
          <w:rFonts w:ascii="Times New Roman" w:hAnsi="Times New Roman"/>
          <w:b w:val="0"/>
          <w:i w:val="0"/>
          <w:sz w:val="24"/>
        </w:rPr>
        <w:t>. W. H. Freeman.</w:t>
      </w:r>
    </w:p>
    <w:p>
      <w:pPr>
        <w:spacing w:before="0" w:after="0" w:line="480" w:lineRule="auto"/>
        <w:ind w:left="720" w:hanging="720"/>
      </w:pPr>
      <w:r>
        <w:rPr>
          <w:rFonts w:ascii="Times New Roman" w:hAnsi="Times New Roman"/>
          <w:b w:val="0"/>
          <w:i w:val="0"/>
          <w:sz w:val="24"/>
        </w:rPr>
        <w:t xml:space="preserve">Bannert, M., Reimann, P., &amp; Sonnenberg, C. (2009). Process mining techniques for analysing patterns and strategies in students' self-regulated learning. </w:t>
      </w:r>
      <w:r>
        <w:rPr>
          <w:rFonts w:ascii="Times New Roman" w:hAnsi="Times New Roman"/>
          <w:b w:val="0"/>
          <w:i/>
          <w:sz w:val="24"/>
        </w:rPr>
        <w:t>Metacognition and Learning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(2), 131–161. https://doi.org/10.1007/s11409-009-9040-2</w:t>
      </w:r>
    </w:p>
    <w:p>
      <w:pPr>
        <w:spacing w:before="0" w:after="0" w:line="480" w:lineRule="auto"/>
        <w:ind w:left="720" w:hanging="720"/>
      </w:pPr>
      <w:r>
        <w:rPr>
          <w:rFonts w:ascii="Times New Roman" w:hAnsi="Times New Roman"/>
          <w:b w:val="0"/>
          <w:i w:val="0"/>
          <w:sz w:val="24"/>
        </w:rPr>
        <w:t xml:space="preserve">Bannert, M., Sonnenberg, C., Mengelkamp, C., &amp; Pieger, E. (2015). Short- and long-term effects of students' self-directed metacognitive prompts on mathematical problem-solving. </w:t>
      </w:r>
      <w:r>
        <w:rPr>
          <w:rFonts w:ascii="Times New Roman" w:hAnsi="Times New Roman"/>
          <w:b w:val="0"/>
          <w:i/>
          <w:sz w:val="24"/>
        </w:rPr>
        <w:t>Computers in Human Behavior</w:t>
      </w:r>
      <w:r>
        <w:rPr>
          <w:rFonts w:ascii="Times New Roman" w:hAnsi="Times New Roman"/>
          <w:b w:val="0"/>
          <w:i w:val="0"/>
          <w:sz w:val="24"/>
        </w:rPr>
        <w:t xml:space="preserve">, </w:t>
      </w:r>
      <w:r>
        <w:rPr>
          <w:rFonts w:ascii="Times New Roman" w:hAnsi="Times New Roman"/>
          <w:b w:val="0"/>
          <w:i/>
          <w:sz w:val="24"/>
        </w:rPr>
        <w:t>52</w:t>
      </w:r>
      <w:r>
        <w:rPr>
          <w:rFonts w:ascii="Times New Roman" w:hAnsi="Times New Roman"/>
          <w:b w:val="0"/>
          <w:i w:val="0"/>
          <w:sz w:val="24"/>
        </w:rPr>
        <w:t>, 293–306. https://doi.org/10.1016/j.chb.2015.05.038</w:t>
      </w:r>
    </w:p>
    <w:p>
      <w:pPr>
        <w:spacing w:before="0" w:after="0" w:line="480" w:lineRule="auto"/>
        <w:ind w:left="720" w:hanging="720"/>
      </w:pPr>
      <w:r>
        <w:rPr>
          <w:rFonts w:ascii="Times New Roman" w:hAnsi="Times New Roman"/>
          <w:b w:val="0"/>
          <w:i w:val="0"/>
          <w:sz w:val="24"/>
        </w:rPr>
        <w:t xml:space="preserve">Bastani, H., Bastani, O., Sungu, A., Ge, H., Kabakcı, O., &amp; Mariman, R. (2025). Generative AI can harm learning.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122</w:t>
      </w:r>
      <w:r>
        <w:rPr>
          <w:rFonts w:ascii="Times New Roman" w:hAnsi="Times New Roman"/>
          <w:b w:val="0"/>
          <w:i w:val="0"/>
          <w:sz w:val="24"/>
        </w:rPr>
        <w:t>(2), e2412617122. https://doi.org/10.1073/pnas.2412617122</w:t>
      </w:r>
    </w:p>
    <w:p>
      <w:pPr>
        <w:spacing w:before="0" w:after="0" w:line="480" w:lineRule="auto"/>
        <w:ind w:left="720" w:hanging="720"/>
      </w:pPr>
      <w:r>
        <w:rPr>
          <w:rFonts w:ascii="Times New Roman" w:hAnsi="Times New Roman"/>
          <w:b w:val="0"/>
          <w:i w:val="0"/>
          <w:sz w:val="24"/>
        </w:rPr>
        <w:t xml:space="preserve">Belland, B. R. (2014). Scaffolding: Definition, current debates, and future directions. In J. M. Spector, M. D. Merrill, J. Elen, &amp; M. J. Bishop (Eds.), </w:t>
      </w:r>
      <w:r>
        <w:rPr>
          <w:rFonts w:ascii="Times New Roman" w:hAnsi="Times New Roman"/>
          <w:b w:val="0"/>
          <w:i/>
          <w:sz w:val="24"/>
        </w:rPr>
        <w:t>Handbook of research on educational communications and technology</w:t>
      </w:r>
      <w:r>
        <w:rPr>
          <w:rFonts w:ascii="Times New Roman" w:hAnsi="Times New Roman"/>
          <w:b w:val="0"/>
          <w:i w:val="0"/>
          <w:sz w:val="24"/>
        </w:rPr>
        <w:t xml:space="preserve"> (4th ed., pp. 505–518). Springer. https://doi.org/10.1007/978-1-4614-3185-5_39</w:t>
      </w:r>
    </w:p>
    <w:p>
      <w:pPr>
        <w:spacing w:before="0" w:after="0" w:line="480" w:lineRule="auto"/>
        <w:ind w:left="720" w:hanging="720"/>
      </w:pPr>
      <w:r>
        <w:rPr>
          <w:rFonts w:ascii="Times New Roman" w:hAnsi="Times New Roman"/>
          <w:b w:val="0"/>
          <w:i w:val="0"/>
          <w:sz w:val="24"/>
        </w:rPr>
        <w:t xml:space="preserve">Bjork, R. A., &amp; Bjork, E. L. (2011). Making things hard on yourself, but in a good way: Creating desirable difficulties to enhance learning. In M. A. Gernsbacher, R. W. Pew, L. M. Hough, &amp; J. R. Pomerantz (Eds.), </w:t>
      </w:r>
      <w:r>
        <w:rPr>
          <w:rFonts w:ascii="Times New Roman" w:hAnsi="Times New Roman"/>
          <w:b w:val="0"/>
          <w:i/>
          <w:sz w:val="24"/>
        </w:rPr>
        <w:t>Psychology and the real world: Essays illustrating fundamental contributions to society</w:t>
      </w:r>
      <w:r>
        <w:rPr>
          <w:rFonts w:ascii="Times New Roman" w:hAnsi="Times New Roman"/>
          <w:b w:val="0"/>
          <w:i w:val="0"/>
          <w:sz w:val="24"/>
        </w:rPr>
        <w:t xml:space="preserve"> (pp. 56–64). Worth Publishers.</w:t>
      </w:r>
    </w:p>
    <w:p>
      <w:pPr>
        <w:spacing w:before="0" w:after="0" w:line="480" w:lineRule="auto"/>
        <w:ind w:left="720" w:hanging="720"/>
      </w:pPr>
      <w:r>
        <w:rPr>
          <w:rFonts w:ascii="Times New Roman" w:hAnsi="Times New Roman"/>
          <w:b w:val="0"/>
          <w:i w:val="0"/>
          <w:sz w:val="24"/>
        </w:rPr>
        <w:t xml:space="preserve">Black, P., &amp; Wiliam, D. (1998). Assessment and classroom learning. </w:t>
      </w:r>
      <w:r>
        <w:rPr>
          <w:rFonts w:ascii="Times New Roman" w:hAnsi="Times New Roman"/>
          <w:b w:val="0"/>
          <w:i/>
          <w:sz w:val="24"/>
        </w:rPr>
        <w:t>Assessment in Education: Principles, Policy &amp; Practice</w:t>
      </w:r>
      <w:r>
        <w:rPr>
          <w:rFonts w:ascii="Times New Roman" w:hAnsi="Times New Roman"/>
          <w:b w:val="0"/>
          <w:i w:val="0"/>
          <w:sz w:val="24"/>
        </w:rPr>
        <w:t xml:space="preserve">, </w:t>
      </w:r>
      <w:r>
        <w:rPr>
          <w:rFonts w:ascii="Times New Roman" w:hAnsi="Times New Roman"/>
          <w:b w:val="0"/>
          <w:i/>
          <w:sz w:val="24"/>
        </w:rPr>
        <w:t>5</w:t>
      </w:r>
      <w:r>
        <w:rPr>
          <w:rFonts w:ascii="Times New Roman" w:hAnsi="Times New Roman"/>
          <w:b w:val="0"/>
          <w:i w:val="0"/>
          <w:sz w:val="24"/>
        </w:rPr>
        <w:t>(1), 7–74. https://doi.org/10.1080/0969595980050102</w:t>
      </w:r>
    </w:p>
    <w:p>
      <w:pPr>
        <w:spacing w:before="0" w:after="0" w:line="480" w:lineRule="auto"/>
        <w:ind w:left="720" w:hanging="720"/>
      </w:pPr>
      <w:r>
        <w:rPr>
          <w:rFonts w:ascii="Times New Roman" w:hAnsi="Times New Roman"/>
          <w:b w:val="0"/>
          <w:i w:val="0"/>
          <w:sz w:val="24"/>
        </w:rPr>
        <w:t xml:space="preserve">Carter, O. B. J., Loft, S., &amp; Visser, T. A. W. (2024). Meaningful communication but not superficial anthropomorphism facilitates human-automation trust calibration: The Human-Automation Trust Expectation Model (HATEM).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66</w:t>
      </w:r>
      <w:r>
        <w:rPr>
          <w:rFonts w:ascii="Times New Roman" w:hAnsi="Times New Roman"/>
          <w:b w:val="0"/>
          <w:i w:val="0"/>
          <w:sz w:val="24"/>
        </w:rPr>
        <w:t>(11), 2485–2502. https://doi.org/10.1177/00187208231218156</w:t>
      </w:r>
    </w:p>
    <w:p>
      <w:pPr>
        <w:spacing w:before="0" w:after="0" w:line="480" w:lineRule="auto"/>
        <w:ind w:left="720" w:hanging="720"/>
      </w:pPr>
      <w:r>
        <w:rPr>
          <w:rFonts w:ascii="Times New Roman" w:hAnsi="Times New Roman"/>
          <w:b w:val="0"/>
          <w:i w:val="0"/>
          <w:sz w:val="24"/>
        </w:rPr>
        <w:t xml:space="preserve">Chen, X., Zou, D., Xie, H., Cheng, G., &amp; Liu, C. (2022). Two decades of artificial intelligence in education: Contributors, collaborations, research topics, challenges, and future directions. </w:t>
      </w:r>
      <w:r>
        <w:rPr>
          <w:rFonts w:ascii="Times New Roman" w:hAnsi="Times New Roman"/>
          <w:b w:val="0"/>
          <w:i/>
          <w:sz w:val="24"/>
        </w:rPr>
        <w:t>Educational Technology &amp; Society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(1), 28–47.</w:t>
      </w:r>
    </w:p>
    <w:p>
      <w:pPr>
        <w:spacing w:before="0" w:after="0" w:line="480" w:lineRule="auto"/>
        <w:ind w:left="720" w:hanging="720"/>
      </w:pPr>
      <w:r>
        <w:rPr>
          <w:rFonts w:ascii="Times New Roman" w:hAnsi="Times New Roman"/>
          <w:b w:val="0"/>
          <w:i w:val="0"/>
          <w:sz w:val="24"/>
        </w:rPr>
        <w:t xml:space="preserve">Cotton, D. R. E., Cotton, P. A., &amp; Shipway, J. R. (2024). Chatting and cheating: Ensuring academic integrity in the era of ChatGPT. </w:t>
      </w:r>
      <w:r>
        <w:rPr>
          <w:rFonts w:ascii="Times New Roman" w:hAnsi="Times New Roman"/>
          <w:b w:val="0"/>
          <w:i/>
          <w:sz w:val="24"/>
        </w:rPr>
        <w:t>Innovations in Education and Teaching International</w:t>
      </w:r>
      <w:r>
        <w:rPr>
          <w:rFonts w:ascii="Times New Roman" w:hAnsi="Times New Roman"/>
          <w:b w:val="0"/>
          <w:i w:val="0"/>
          <w:sz w:val="24"/>
        </w:rPr>
        <w:t xml:space="preserve">, </w:t>
      </w:r>
      <w:r>
        <w:rPr>
          <w:rFonts w:ascii="Times New Roman" w:hAnsi="Times New Roman"/>
          <w:b w:val="0"/>
          <w:i/>
          <w:sz w:val="24"/>
        </w:rPr>
        <w:t>61</w:t>
      </w:r>
      <w:r>
        <w:rPr>
          <w:rFonts w:ascii="Times New Roman" w:hAnsi="Times New Roman"/>
          <w:b w:val="0"/>
          <w:i w:val="0"/>
          <w:sz w:val="24"/>
        </w:rPr>
        <w:t>(2), 228–239. https://doi.org/10.1080/14703297.2023.2190148</w:t>
      </w:r>
    </w:p>
    <w:p>
      <w:pPr>
        <w:spacing w:before="0" w:after="0" w:line="480" w:lineRule="auto"/>
        <w:ind w:left="720" w:hanging="720"/>
      </w:pPr>
      <w:r>
        <w:rPr>
          <w:rFonts w:ascii="Times New Roman" w:hAnsi="Times New Roman"/>
          <w:b w:val="0"/>
          <w:i w:val="0"/>
          <w:sz w:val="24"/>
        </w:rPr>
        <w:t xml:space="preserve">Darvishi, A., Khosravi, H., Sadiq, S., Gasevic, D., &amp; Siemens, G. (2024). Impact of AI assistance on student agency. </w:t>
      </w:r>
      <w:r>
        <w:rPr>
          <w:rFonts w:ascii="Times New Roman" w:hAnsi="Times New Roman"/>
          <w:b w:val="0"/>
          <w:i/>
          <w:sz w:val="24"/>
        </w:rPr>
        <w:t>Computers &amp; Education</w:t>
      </w:r>
      <w:r>
        <w:rPr>
          <w:rFonts w:ascii="Times New Roman" w:hAnsi="Times New Roman"/>
          <w:b w:val="0"/>
          <w:i w:val="0"/>
          <w:sz w:val="24"/>
        </w:rPr>
        <w:t xml:space="preserve">, </w:t>
      </w:r>
      <w:r>
        <w:rPr>
          <w:rFonts w:ascii="Times New Roman" w:hAnsi="Times New Roman"/>
          <w:b w:val="0"/>
          <w:i/>
          <w:sz w:val="24"/>
        </w:rPr>
        <w:t>210</w:t>
      </w:r>
      <w:r>
        <w:rPr>
          <w:rFonts w:ascii="Times New Roman" w:hAnsi="Times New Roman"/>
          <w:b w:val="0"/>
          <w:i w:val="0"/>
          <w:sz w:val="24"/>
        </w:rPr>
        <w:t>, 104967. https://doi.org/10.1016/j.compedu.2023.104967</w:t>
      </w:r>
    </w:p>
    <w:p>
      <w:pPr>
        <w:spacing w:before="0" w:after="0" w:line="480" w:lineRule="auto"/>
        <w:ind w:left="720" w:hanging="720"/>
      </w:pPr>
      <w:r>
        <w:rPr>
          <w:rFonts w:ascii="Times New Roman" w:hAnsi="Times New Roman"/>
          <w:b w:val="0"/>
          <w:i w:val="0"/>
          <w:sz w:val="24"/>
        </w:rPr>
        <w:t xml:space="preserve">Davis, F. D. (1989). Perceived usefulness, perceived ease of use, and user acceptance of information technology. </w:t>
      </w:r>
      <w:r>
        <w:rPr>
          <w:rFonts w:ascii="Times New Roman" w:hAnsi="Times New Roman"/>
          <w:b w:val="0"/>
          <w:i/>
          <w:sz w:val="24"/>
        </w:rPr>
        <w:t>MIS Quarterly</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(3), 319–340. https://doi.org/10.2307/249008</w:t>
      </w:r>
    </w:p>
    <w:p>
      <w:pPr>
        <w:spacing w:before="0" w:after="0" w:line="480" w:lineRule="auto"/>
        <w:ind w:left="720" w:hanging="720"/>
      </w:pPr>
      <w:r>
        <w:rPr>
          <w:rFonts w:ascii="Times New Roman" w:hAnsi="Times New Roman"/>
          <w:b w:val="0"/>
          <w:i w:val="0"/>
          <w:sz w:val="24"/>
        </w:rPr>
        <w:t xml:space="preserve">de Visser, E. J., Peeters, M. M. M., Jung, M. F., Kohn, S., Shaw, T. H., Pak, R., &amp; Neerincx, M. A. (2020). Towards a theory of longitudinal trust calibration in human–robot teams. </w:t>
      </w:r>
      <w:r>
        <w:rPr>
          <w:rFonts w:ascii="Times New Roman" w:hAnsi="Times New Roman"/>
          <w:b w:val="0"/>
          <w:i/>
          <w:sz w:val="24"/>
        </w:rPr>
        <w:t>International Journal of Social Robotics</w:t>
      </w:r>
      <w:r>
        <w:rPr>
          <w:rFonts w:ascii="Times New Roman" w:hAnsi="Times New Roman"/>
          <w:b w:val="0"/>
          <w:i w:val="0"/>
          <w:sz w:val="24"/>
        </w:rPr>
        <w:t xml:space="preserve">, </w:t>
      </w:r>
      <w:r>
        <w:rPr>
          <w:rFonts w:ascii="Times New Roman" w:hAnsi="Times New Roman"/>
          <w:b w:val="0"/>
          <w:i/>
          <w:sz w:val="24"/>
        </w:rPr>
        <w:t>12</w:t>
      </w:r>
      <w:r>
        <w:rPr>
          <w:rFonts w:ascii="Times New Roman" w:hAnsi="Times New Roman"/>
          <w:b w:val="0"/>
          <w:i w:val="0"/>
          <w:sz w:val="24"/>
        </w:rPr>
        <w:t>(2), 459–478. https://doi.org/10.1007/s12369-019-00596-x</w:t>
      </w:r>
    </w:p>
    <w:p>
      <w:pPr>
        <w:spacing w:before="0" w:after="0" w:line="480" w:lineRule="auto"/>
        <w:ind w:left="720" w:hanging="720"/>
      </w:pPr>
      <w:r>
        <w:rPr>
          <w:rFonts w:ascii="Times New Roman" w:hAnsi="Times New Roman"/>
          <w:b w:val="0"/>
          <w:i w:val="0"/>
          <w:sz w:val="24"/>
        </w:rPr>
        <w:t xml:space="preserve">Doty, D. H., &amp; Glick, W. H. (1994). Typologies as a unique form of theory building: Toward improved understanding and modeling. </w:t>
      </w:r>
      <w:r>
        <w:rPr>
          <w:rFonts w:ascii="Times New Roman" w:hAnsi="Times New Roman"/>
          <w:b w:val="0"/>
          <w:i/>
          <w:sz w:val="24"/>
        </w:rPr>
        <w:t>Academy of Management Review</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230–251. https://doi.org/10.5465/amr.1994.9410210748</w:t>
      </w:r>
    </w:p>
    <w:p>
      <w:pPr>
        <w:spacing w:before="0" w:after="0" w:line="480" w:lineRule="auto"/>
        <w:ind w:left="720" w:hanging="720"/>
      </w:pPr>
      <w:r>
        <w:rPr>
          <w:rFonts w:ascii="Times New Roman" w:hAnsi="Times New Roman"/>
          <w:b w:val="0"/>
          <w:i w:val="0"/>
          <w:sz w:val="24"/>
        </w:rPr>
        <w:t xml:space="preserve">Dunlosky, J., &amp; Rawson, K. A. (2012). Overconfidence produces underachievement: Inaccurate self evaluations undermine students' learning and retention of material. </w:t>
      </w:r>
      <w:r>
        <w:rPr>
          <w:rFonts w:ascii="Times New Roman" w:hAnsi="Times New Roman"/>
          <w:b w:val="0"/>
          <w:i/>
          <w:sz w:val="24"/>
        </w:rPr>
        <w:t>Learning and Instruction</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(4), 271–280. https://doi.org/10.1016/j.learninstruc.2011.08.003</w:t>
      </w:r>
    </w:p>
    <w:p>
      <w:pPr>
        <w:spacing w:before="0" w:after="0" w:line="480" w:lineRule="auto"/>
        <w:ind w:left="720" w:hanging="720"/>
      </w:pPr>
      <w:r>
        <w:rPr>
          <w:rFonts w:ascii="Times New Roman" w:hAnsi="Times New Roman"/>
          <w:b w:val="0"/>
          <w:i w:val="0"/>
          <w:sz w:val="24"/>
        </w:rPr>
        <w:t xml:space="preserve">Dzindolet, M. T., Peterson, S. A., Pomranky, R. A., Pierce, L. G., &amp; Beck, H. P. (2003). The role of trust in automation reliance. </w:t>
      </w:r>
      <w:r>
        <w:rPr>
          <w:rFonts w:ascii="Times New Roman" w:hAnsi="Times New Roman"/>
          <w:b w:val="0"/>
          <w:i/>
          <w:sz w:val="24"/>
        </w:rPr>
        <w:t>International Journal of Human-Computer Studies</w:t>
      </w:r>
      <w:r>
        <w:rPr>
          <w:rFonts w:ascii="Times New Roman" w:hAnsi="Times New Roman"/>
          <w:b w:val="0"/>
          <w:i w:val="0"/>
          <w:sz w:val="24"/>
        </w:rPr>
        <w:t xml:space="preserve">, </w:t>
      </w:r>
      <w:r>
        <w:rPr>
          <w:rFonts w:ascii="Times New Roman" w:hAnsi="Times New Roman"/>
          <w:b w:val="0"/>
          <w:i/>
          <w:sz w:val="24"/>
        </w:rPr>
        <w:t>58</w:t>
      </w:r>
      <w:r>
        <w:rPr>
          <w:rFonts w:ascii="Times New Roman" w:hAnsi="Times New Roman"/>
          <w:b w:val="0"/>
          <w:i w:val="0"/>
          <w:sz w:val="24"/>
        </w:rPr>
        <w:t>(6), 697–718. https://doi.org/10.1016/S1071-5819(03)00038-7</w:t>
      </w:r>
    </w:p>
    <w:p>
      <w:pPr>
        <w:spacing w:before="0" w:after="0" w:line="480" w:lineRule="auto"/>
        <w:ind w:left="720" w:hanging="720"/>
      </w:pPr>
      <w:r>
        <w:rPr>
          <w:rFonts w:ascii="Times New Roman" w:hAnsi="Times New Roman"/>
          <w:b w:val="0"/>
          <w:i w:val="0"/>
          <w:sz w:val="24"/>
        </w:rPr>
        <w:t xml:space="preserve">European Union. (2024). </w:t>
      </w:r>
      <w:r>
        <w:rPr>
          <w:rFonts w:ascii="Times New Roman" w:hAnsi="Times New Roman"/>
          <w:b w:val="0"/>
          <w:i/>
          <w:sz w:val="24"/>
        </w:rPr>
        <w:t>Regulation (EU) 2024/1689 of the European Parliament and of the Council laying down harmonised rules on artificial intelligence (Artificial Intelligence Act)</w:t>
      </w:r>
      <w:r>
        <w:rPr>
          <w:rFonts w:ascii="Times New Roman" w:hAnsi="Times New Roman"/>
          <w:b w:val="0"/>
          <w:i w:val="0"/>
          <w:sz w:val="24"/>
        </w:rPr>
        <w:t>. Official Journal of the European Union. https://eur-lex.europa.eu/eli/reg/2024/1689</w:t>
      </w:r>
    </w:p>
    <w:p>
      <w:pPr>
        <w:spacing w:before="0" w:after="0" w:line="480" w:lineRule="auto"/>
        <w:ind w:left="720" w:hanging="720"/>
      </w:pPr>
      <w:r>
        <w:rPr>
          <w:rFonts w:ascii="Times New Roman" w:hAnsi="Times New Roman"/>
          <w:b w:val="0"/>
          <w:i w:val="0"/>
          <w:sz w:val="24"/>
        </w:rPr>
        <w:t xml:space="preserve">Flavell, J. H. (1979). Metacognition and cognitive monitoring: A new area of cognitive-developmental inquiry. </w:t>
      </w:r>
      <w:r>
        <w:rPr>
          <w:rFonts w:ascii="Times New Roman" w:hAnsi="Times New Roman"/>
          <w:b w:val="0"/>
          <w:i/>
          <w:sz w:val="24"/>
        </w:rPr>
        <w:t>American Psychologist</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(10), 906–911. https://doi.org/10.1037/0003-066X.34.10.906</w:t>
      </w:r>
    </w:p>
    <w:p>
      <w:pPr>
        <w:spacing w:before="0" w:after="0" w:line="480" w:lineRule="auto"/>
        <w:ind w:left="720" w:hanging="720"/>
      </w:pPr>
      <w:r>
        <w:rPr>
          <w:rFonts w:ascii="Times New Roman" w:hAnsi="Times New Roman"/>
          <w:b w:val="0"/>
          <w:i w:val="0"/>
          <w:sz w:val="24"/>
        </w:rPr>
        <w:t xml:space="preserve">Grant, M. J., &amp; Booth, A. (2009). A typology of reviews: An analysis of 14 review types and associated methodologies. </w:t>
      </w:r>
      <w:r>
        <w:rPr>
          <w:rFonts w:ascii="Times New Roman" w:hAnsi="Times New Roman"/>
          <w:b w:val="0"/>
          <w:i/>
          <w:sz w:val="24"/>
        </w:rPr>
        <w:t>Health Information &amp; Libraries Journal</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91–108. https://doi.org/10.1111/j.1471-1842.2009.00848.x</w:t>
      </w:r>
    </w:p>
    <w:p>
      <w:pPr>
        <w:spacing w:before="0" w:after="0" w:line="480" w:lineRule="auto"/>
        <w:ind w:left="720" w:hanging="720"/>
      </w:pPr>
      <w:r>
        <w:rPr>
          <w:rFonts w:ascii="Times New Roman" w:hAnsi="Times New Roman"/>
          <w:b w:val="0"/>
          <w:i w:val="0"/>
          <w:sz w:val="24"/>
        </w:rPr>
        <w:t xml:space="preserve">Greene, J. A., &amp; Azevedo, R. (2007). A theoretical review of Winne and Hadwin's model of self-regulated learning: New perspectives and directions. </w:t>
      </w:r>
      <w:r>
        <w:rPr>
          <w:rFonts w:ascii="Times New Roman" w:hAnsi="Times New Roman"/>
          <w:b w:val="0"/>
          <w:i/>
          <w:sz w:val="24"/>
        </w:rPr>
        <w:t>Review of Educational Research</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(3), 334–372. https://doi.org/10.3102/003465430303953</w:t>
      </w:r>
    </w:p>
    <w:p>
      <w:pPr>
        <w:spacing w:before="0" w:after="0" w:line="480" w:lineRule="auto"/>
        <w:ind w:left="720" w:hanging="720"/>
      </w:pPr>
      <w:r>
        <w:rPr>
          <w:rFonts w:ascii="Times New Roman" w:hAnsi="Times New Roman"/>
          <w:b w:val="0"/>
          <w:i w:val="0"/>
          <w:sz w:val="24"/>
        </w:rPr>
        <w:t xml:space="preserve">Gunning, D., Stefik, M., Choi, J., Miller, T., Stumpf, S., &amp; Yang, G.-Z. (2019). XAI — Explainable artificial intelligence. </w:t>
      </w:r>
      <w:r>
        <w:rPr>
          <w:rFonts w:ascii="Times New Roman" w:hAnsi="Times New Roman"/>
          <w:b w:val="0"/>
          <w:i/>
          <w:sz w:val="24"/>
        </w:rPr>
        <w:t>Science Robotics</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(37), eaay7120. https://doi.org/10.1126/scirobotics.aay7120</w:t>
      </w:r>
    </w:p>
    <w:p>
      <w:pPr>
        <w:spacing w:before="0" w:after="0" w:line="480" w:lineRule="auto"/>
        <w:ind w:left="720" w:hanging="720"/>
      </w:pPr>
      <w:r>
        <w:rPr>
          <w:rFonts w:ascii="Times New Roman" w:hAnsi="Times New Roman"/>
          <w:b w:val="0"/>
          <w:i w:val="0"/>
          <w:sz w:val="24"/>
        </w:rPr>
        <w:t xml:space="preserve">Guo, L., Wang, W., Liao, J., &amp; Cheng, S. (2022). Effects of metacognitive prompts on self-regulated learning: A meta-analysis. </w:t>
      </w:r>
      <w:r>
        <w:rPr>
          <w:rFonts w:ascii="Times New Roman" w:hAnsi="Times New Roman"/>
          <w:b w:val="0"/>
          <w:i/>
          <w:sz w:val="24"/>
        </w:rPr>
        <w:t>Frontiers in Psychology</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 1001498. https://doi.org/10.3389/fpsyg.2022.1001498</w:t>
      </w:r>
    </w:p>
    <w:p>
      <w:pPr>
        <w:spacing w:before="0" w:after="0" w:line="480" w:lineRule="auto"/>
        <w:ind w:left="720" w:hanging="720"/>
      </w:pPr>
      <w:r>
        <w:rPr>
          <w:rFonts w:ascii="Times New Roman" w:hAnsi="Times New Roman"/>
          <w:b w:val="0"/>
          <w:i w:val="0"/>
          <w:sz w:val="24"/>
        </w:rPr>
        <w:t xml:space="preserve">Hancock, P. A., Billings, D. R., Schaefer, K. E., Chen, J. Y. C., de Visser, E. J., &amp; Parasuraman, R. (2011). A meta-analysis of factors affecting trust in human-robot interaction.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(5), 517–527. https://doi.org/10.1177/0018720811417254</w:t>
      </w:r>
    </w:p>
    <w:p>
      <w:pPr>
        <w:spacing w:before="0" w:after="0" w:line="480" w:lineRule="auto"/>
        <w:ind w:left="720" w:hanging="720"/>
      </w:pPr>
      <w:r>
        <w:rPr>
          <w:rFonts w:ascii="Times New Roman" w:hAnsi="Times New Roman"/>
          <w:b w:val="0"/>
          <w:i w:val="0"/>
          <w:sz w:val="24"/>
        </w:rPr>
        <w:t xml:space="preserve">Hannafin, M., Land, S., &amp; Oliver, K. (1999). Open learning environments: Foundations, methods, and models. In C. M. Reigeluth (Ed.), </w:t>
      </w:r>
      <w:r>
        <w:rPr>
          <w:rFonts w:ascii="Times New Roman" w:hAnsi="Times New Roman"/>
          <w:b w:val="0"/>
          <w:i/>
          <w:sz w:val="24"/>
        </w:rPr>
        <w:t>Instructional-design theories and models: A new paradigm of instructional theory</w:t>
      </w:r>
      <w:r>
        <w:rPr>
          <w:rFonts w:ascii="Times New Roman" w:hAnsi="Times New Roman"/>
          <w:b w:val="0"/>
          <w:i w:val="0"/>
          <w:sz w:val="24"/>
        </w:rPr>
        <w:t xml:space="preserve"> (Vol. 2, pp. 115–140). Lawrence Erlbaum.</w:t>
      </w:r>
    </w:p>
    <w:p>
      <w:pPr>
        <w:spacing w:before="0" w:after="0" w:line="480" w:lineRule="auto"/>
        <w:ind w:left="720" w:hanging="720"/>
      </w:pPr>
      <w:r>
        <w:rPr>
          <w:rFonts w:ascii="Times New Roman" w:hAnsi="Times New Roman"/>
          <w:b w:val="0"/>
          <w:i w:val="0"/>
          <w:sz w:val="24"/>
        </w:rPr>
        <w:t xml:space="preserve">Hattie, J. (2009). </w:t>
      </w:r>
      <w:r>
        <w:rPr>
          <w:rFonts w:ascii="Times New Roman" w:hAnsi="Times New Roman"/>
          <w:b w:val="0"/>
          <w:i/>
          <w:sz w:val="24"/>
        </w:rPr>
        <w:t>Visible learning: A synthesis of over 800 meta-analyses relating to achievement</w:t>
      </w:r>
      <w:r>
        <w:rPr>
          <w:rFonts w:ascii="Times New Roman" w:hAnsi="Times New Roman"/>
          <w:b w:val="0"/>
          <w:i w:val="0"/>
          <w:sz w:val="24"/>
        </w:rPr>
        <w:t>. Routledge.</w:t>
      </w:r>
    </w:p>
    <w:p>
      <w:pPr>
        <w:spacing w:before="0" w:after="0" w:line="480" w:lineRule="auto"/>
        <w:ind w:left="720" w:hanging="720"/>
      </w:pPr>
      <w:r>
        <w:rPr>
          <w:rFonts w:ascii="Times New Roman" w:hAnsi="Times New Roman"/>
          <w:b w:val="0"/>
          <w:i w:val="0"/>
          <w:sz w:val="24"/>
        </w:rPr>
        <w:t xml:space="preserve">Hoff, K. A., &amp; Bashir, M. (2015). Trust in automation: Integrating empirical evidence on factors that influence trust.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57</w:t>
      </w:r>
      <w:r>
        <w:rPr>
          <w:rFonts w:ascii="Times New Roman" w:hAnsi="Times New Roman"/>
          <w:b w:val="0"/>
          <w:i w:val="0"/>
          <w:sz w:val="24"/>
        </w:rPr>
        <w:t>(3), 407–434. https://doi.org/10.1177/0018720814547570</w:t>
      </w:r>
    </w:p>
    <w:p>
      <w:pPr>
        <w:spacing w:before="0" w:after="0" w:line="480" w:lineRule="auto"/>
        <w:ind w:left="720" w:hanging="720"/>
      </w:pPr>
      <w:r>
        <w:rPr>
          <w:rFonts w:ascii="Times New Roman" w:hAnsi="Times New Roman"/>
          <w:b w:val="0"/>
          <w:i w:val="0"/>
          <w:sz w:val="24"/>
        </w:rPr>
        <w:t xml:space="preserve">Hofstede, G. (2001). </w:t>
      </w:r>
      <w:r>
        <w:rPr>
          <w:rFonts w:ascii="Times New Roman" w:hAnsi="Times New Roman"/>
          <w:b w:val="0"/>
          <w:i/>
          <w:sz w:val="24"/>
        </w:rPr>
        <w:t>Culture's consequences: Comparing values, behaviors, institutions, and organizations across nations</w:t>
      </w:r>
      <w:r>
        <w:rPr>
          <w:rFonts w:ascii="Times New Roman" w:hAnsi="Times New Roman"/>
          <w:b w:val="0"/>
          <w:i w:val="0"/>
          <w:sz w:val="24"/>
        </w:rPr>
        <w:t xml:space="preserve"> (2nd ed.). Sage.</w:t>
      </w:r>
    </w:p>
    <w:p>
      <w:pPr>
        <w:spacing w:before="0" w:after="0" w:line="480" w:lineRule="auto"/>
        <w:ind w:left="720" w:hanging="720"/>
      </w:pPr>
      <w:r>
        <w:rPr>
          <w:rFonts w:ascii="Times New Roman" w:hAnsi="Times New Roman"/>
          <w:b w:val="0"/>
          <w:i w:val="0"/>
          <w:sz w:val="24"/>
        </w:rPr>
        <w:t xml:space="preserve">Holmes, W., Bialik, M., &amp; Fadel, C. (2019). </w:t>
      </w:r>
      <w:r>
        <w:rPr>
          <w:rFonts w:ascii="Times New Roman" w:hAnsi="Times New Roman"/>
          <w:b w:val="0"/>
          <w:i/>
          <w:sz w:val="24"/>
        </w:rPr>
        <w:t>Artificial intelligence in education: Promises and implications for teaching and learning</w:t>
      </w:r>
      <w:r>
        <w:rPr>
          <w:rFonts w:ascii="Times New Roman" w:hAnsi="Times New Roman"/>
          <w:b w:val="0"/>
          <w:i w:val="0"/>
          <w:sz w:val="24"/>
        </w:rPr>
        <w:t>. Center for Curriculum Redesign.</w:t>
      </w:r>
    </w:p>
    <w:p>
      <w:pPr>
        <w:spacing w:before="0" w:after="0" w:line="480" w:lineRule="auto"/>
        <w:ind w:left="720" w:hanging="720"/>
      </w:pPr>
      <w:r>
        <w:rPr>
          <w:rFonts w:ascii="Times New Roman" w:hAnsi="Times New Roman"/>
          <w:b w:val="0"/>
          <w:i w:val="0"/>
          <w:sz w:val="24"/>
        </w:rPr>
        <w:t xml:space="preserve">Ji, Z., Lee, N., Frieske, R., Yu, T., Su, D., Xu, Y., Ishii, E., Bang, Y. J., Madotto, A., &amp; Fung, P. (2023). Survey of hallucination in natural language generation. </w:t>
      </w:r>
      <w:r>
        <w:rPr>
          <w:rFonts w:ascii="Times New Roman" w:hAnsi="Times New Roman"/>
          <w:b w:val="0"/>
          <w:i/>
          <w:sz w:val="24"/>
        </w:rPr>
        <w:t>ACM Computing Surveys</w:t>
      </w:r>
      <w:r>
        <w:rPr>
          <w:rFonts w:ascii="Times New Roman" w:hAnsi="Times New Roman"/>
          <w:b w:val="0"/>
          <w:i w:val="0"/>
          <w:sz w:val="24"/>
        </w:rPr>
        <w:t xml:space="preserve">, </w:t>
      </w:r>
      <w:r>
        <w:rPr>
          <w:rFonts w:ascii="Times New Roman" w:hAnsi="Times New Roman"/>
          <w:b w:val="0"/>
          <w:i/>
          <w:sz w:val="24"/>
        </w:rPr>
        <w:t>55</w:t>
      </w:r>
      <w:r>
        <w:rPr>
          <w:rFonts w:ascii="Times New Roman" w:hAnsi="Times New Roman"/>
          <w:b w:val="0"/>
          <w:i w:val="0"/>
          <w:sz w:val="24"/>
        </w:rPr>
        <w:t>(12), 1–38. https://doi.org/10.1145/3571730</w:t>
      </w:r>
    </w:p>
    <w:p>
      <w:pPr>
        <w:spacing w:before="0" w:after="0" w:line="480" w:lineRule="auto"/>
        <w:ind w:left="720" w:hanging="720"/>
      </w:pPr>
      <w:r>
        <w:rPr>
          <w:rFonts w:ascii="Times New Roman" w:hAnsi="Times New Roman"/>
          <w:b w:val="0"/>
          <w:i w:val="0"/>
          <w:sz w:val="24"/>
        </w:rPr>
        <w:t xml:space="preserve">Jian, J.-Y., Bisantz, A. M., &amp; Drury, C. G. (2000). Foundations for an empirically determined scale of trust in automated systems. </w:t>
      </w:r>
      <w:r>
        <w:rPr>
          <w:rFonts w:ascii="Times New Roman" w:hAnsi="Times New Roman"/>
          <w:b w:val="0"/>
          <w:i/>
          <w:sz w:val="24"/>
        </w:rPr>
        <w:t>International Journal of Cognitive Ergonomics</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 53–71. https://doi.org/10.1207/S15327566IJCE0401_04</w:t>
      </w:r>
    </w:p>
    <w:p>
      <w:pPr>
        <w:spacing w:before="0" w:after="0" w:line="480" w:lineRule="auto"/>
        <w:ind w:left="720" w:hanging="720"/>
      </w:pPr>
      <w:r>
        <w:rPr>
          <w:rFonts w:ascii="Times New Roman" w:hAnsi="Times New Roman"/>
          <w:b w:val="0"/>
          <w:i w:val="0"/>
          <w:sz w:val="24"/>
        </w:rPr>
        <w:t xml:space="preserve">Kapur, M. (2008). Productive failure. </w:t>
      </w:r>
      <w:r>
        <w:rPr>
          <w:rFonts w:ascii="Times New Roman" w:hAnsi="Times New Roman"/>
          <w:b w:val="0"/>
          <w:i/>
          <w:sz w:val="24"/>
        </w:rPr>
        <w:t>Cognition and Instruction</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(3), 379–424. https://doi.org/10.1080/07370000802212669</w:t>
      </w:r>
    </w:p>
    <w:p>
      <w:pPr>
        <w:spacing w:before="0" w:after="0" w:line="480" w:lineRule="auto"/>
        <w:ind w:left="720" w:hanging="720"/>
      </w:pPr>
      <w:r>
        <w:rPr>
          <w:rFonts w:ascii="Times New Roman" w:hAnsi="Times New Roman"/>
          <w:b w:val="0"/>
          <w:i w:val="0"/>
          <w:sz w:val="24"/>
        </w:rPr>
        <w:t xml:space="preserve">Kapur, M. (2016). Examining productive failure, productive success, and constructive failure as a framework for reconceptualizing how failure can be productive. </w:t>
      </w:r>
      <w:r>
        <w:rPr>
          <w:rFonts w:ascii="Times New Roman" w:hAnsi="Times New Roman"/>
          <w:b w:val="0"/>
          <w:i/>
          <w:sz w:val="24"/>
        </w:rPr>
        <w:t>Instructional Science</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(4), 321–338. https://doi.org/10.1007/s11251-016-9379-0</w:t>
      </w:r>
    </w:p>
    <w:p>
      <w:pPr>
        <w:spacing w:before="0" w:after="0" w:line="480" w:lineRule="auto"/>
        <w:ind w:left="720" w:hanging="720"/>
      </w:pPr>
      <w:r>
        <w:rPr>
          <w:rFonts w:ascii="Times New Roman" w:hAnsi="Times New Roman"/>
          <w:b w:val="0"/>
          <w:i w:val="0"/>
          <w:sz w:val="24"/>
        </w:rPr>
        <w:t xml:space="preserve">Kasneci, E., Sessler, K., Kuchemann, S., Bannert, M., Dementieva, D., Fischer, F., Gasser, U., Groh, G., Gunnemann, S., Hullermeier, E., Kruber, S., Kuber, G., Sachs, S., Seidel, T., Stadler, M., Wachter, B., Weidlich, J., &amp; Kasneci, G. (2023). ChatGPT for good? On opportunities and challenges of large language models for education. </w:t>
      </w:r>
      <w:r>
        <w:rPr>
          <w:rFonts w:ascii="Times New Roman" w:hAnsi="Times New Roman"/>
          <w:b w:val="0"/>
          <w:i/>
          <w:sz w:val="24"/>
        </w:rPr>
        <w:t>Learning and Individual Differences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 102274. https://doi.org/10.1016/j.lindif.2023.102274</w:t>
      </w:r>
    </w:p>
    <w:p>
      <w:pPr>
        <w:spacing w:before="0" w:after="0" w:line="480" w:lineRule="auto"/>
        <w:ind w:left="720" w:hanging="720"/>
      </w:pPr>
      <w:r>
        <w:rPr>
          <w:rFonts w:ascii="Times New Roman" w:hAnsi="Times New Roman"/>
          <w:b w:val="0"/>
          <w:i w:val="0"/>
          <w:sz w:val="24"/>
        </w:rPr>
        <w:t xml:space="preserve">Kıyak, Y. S., Coşkun, Ö., &amp; Budakoğlu, I. I. (2026). 'ChatGPT can make mistakes' warnings fail: A randomized controlled trial. </w:t>
      </w:r>
      <w:r>
        <w:rPr>
          <w:rFonts w:ascii="Times New Roman" w:hAnsi="Times New Roman"/>
          <w:b w:val="0"/>
          <w:i/>
          <w:sz w:val="24"/>
        </w:rPr>
        <w:t>Medical Education</w:t>
      </w:r>
      <w:r>
        <w:rPr>
          <w:rFonts w:ascii="Times New Roman" w:hAnsi="Times New Roman"/>
          <w:b w:val="0"/>
          <w:i w:val="0"/>
          <w:sz w:val="24"/>
        </w:rPr>
        <w:t xml:space="preserve">, </w:t>
      </w:r>
      <w:r>
        <w:rPr>
          <w:rFonts w:ascii="Times New Roman" w:hAnsi="Times New Roman"/>
          <w:b w:val="0"/>
          <w:i/>
          <w:sz w:val="24"/>
        </w:rPr>
        <w:t>60</w:t>
      </w:r>
      <w:r>
        <w:rPr>
          <w:rFonts w:ascii="Times New Roman" w:hAnsi="Times New Roman"/>
          <w:b w:val="0"/>
          <w:i w:val="0"/>
          <w:sz w:val="24"/>
        </w:rPr>
        <w:t>(2), 138–142. https://doi.org/10.1111/medu.70056</w:t>
      </w:r>
    </w:p>
    <w:p>
      <w:pPr>
        <w:spacing w:before="0" w:after="0" w:line="480" w:lineRule="auto"/>
        <w:ind w:left="720" w:hanging="720"/>
      </w:pPr>
      <w:r>
        <w:rPr>
          <w:rFonts w:ascii="Times New Roman" w:hAnsi="Times New Roman"/>
          <w:b w:val="0"/>
          <w:i w:val="0"/>
          <w:sz w:val="24"/>
        </w:rPr>
        <w:t xml:space="preserve">Kuhn, T. S. (1962). </w:t>
      </w:r>
      <w:r>
        <w:rPr>
          <w:rFonts w:ascii="Times New Roman" w:hAnsi="Times New Roman"/>
          <w:b w:val="0"/>
          <w:i/>
          <w:sz w:val="24"/>
        </w:rPr>
        <w:t>The structure of scientific revolutions</w:t>
      </w:r>
      <w:r>
        <w:rPr>
          <w:rFonts w:ascii="Times New Roman" w:hAnsi="Times New Roman"/>
          <w:b w:val="0"/>
          <w:i w:val="0"/>
          <w:sz w:val="24"/>
        </w:rPr>
        <w:t>. University of Chicago Press.</w:t>
      </w:r>
    </w:p>
    <w:p>
      <w:pPr>
        <w:spacing w:before="0" w:after="0" w:line="480" w:lineRule="auto"/>
        <w:ind w:left="720" w:hanging="720"/>
      </w:pPr>
      <w:r>
        <w:rPr>
          <w:rFonts w:ascii="Times New Roman" w:hAnsi="Times New Roman"/>
          <w:b w:val="0"/>
          <w:i w:val="0"/>
          <w:sz w:val="24"/>
        </w:rPr>
        <w:t xml:space="preserve">Lankton, N. K., McKnight, D. H., &amp; Tripp, J. (2015). Technology, humanness, and trust: Rethinking trust in technology. </w:t>
      </w:r>
      <w:r>
        <w:rPr>
          <w:rFonts w:ascii="Times New Roman" w:hAnsi="Times New Roman"/>
          <w:b w:val="0"/>
          <w:i/>
          <w:sz w:val="24"/>
        </w:rPr>
        <w:t>Journal of the Association for Information Systems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(10), 880–918. https://doi.org/10.17705/1jais.00411</w:t>
      </w:r>
    </w:p>
    <w:p>
      <w:pPr>
        <w:spacing w:before="0" w:after="0" w:line="480" w:lineRule="auto"/>
        <w:ind w:left="720" w:hanging="720"/>
      </w:pPr>
      <w:r>
        <w:rPr>
          <w:rFonts w:ascii="Times New Roman" w:hAnsi="Times New Roman"/>
          <w:b w:val="0"/>
          <w:i w:val="0"/>
          <w:sz w:val="24"/>
        </w:rPr>
        <w:t xml:space="preserve">Lee, J. D., &amp; See, K. A. (2004). Trust in automation: Designing for appropriate reliance.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46</w:t>
      </w:r>
      <w:r>
        <w:rPr>
          <w:rFonts w:ascii="Times New Roman" w:hAnsi="Times New Roman"/>
          <w:b w:val="0"/>
          <w:i w:val="0"/>
          <w:sz w:val="24"/>
        </w:rPr>
        <w:t>(1), 50–80. https://doi.org/10.1518/hfes.46.1.50.30392</w:t>
      </w:r>
    </w:p>
    <w:p>
      <w:pPr>
        <w:spacing w:before="0" w:after="0" w:line="480" w:lineRule="auto"/>
        <w:ind w:left="720" w:hanging="720"/>
      </w:pPr>
      <w:r>
        <w:rPr>
          <w:rFonts w:ascii="Times New Roman" w:hAnsi="Times New Roman"/>
          <w:b w:val="0"/>
          <w:i w:val="0"/>
          <w:sz w:val="24"/>
        </w:rPr>
        <w:t xml:space="preserve">Li, X., Hess, T. J., &amp; Valacich, J. S. (2008). Why do we trust new technology? A study of initial trust formation with organizational information systems. </w:t>
      </w:r>
      <w:r>
        <w:rPr>
          <w:rFonts w:ascii="Times New Roman" w:hAnsi="Times New Roman"/>
          <w:b w:val="0"/>
          <w:i/>
          <w:sz w:val="24"/>
        </w:rPr>
        <w:t>The Journal of Strategic Information Systems</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(1), 39–71. https://doi.org/10.1016/j.jsis.2008.01.001</w:t>
      </w:r>
    </w:p>
    <w:p>
      <w:pPr>
        <w:spacing w:before="0" w:after="0" w:line="480" w:lineRule="auto"/>
        <w:ind w:left="720" w:hanging="720"/>
      </w:pPr>
      <w:r>
        <w:rPr>
          <w:rFonts w:ascii="Times New Roman" w:hAnsi="Times New Roman"/>
          <w:b w:val="0"/>
          <w:i w:val="0"/>
          <w:sz w:val="24"/>
        </w:rPr>
        <w:t xml:space="preserve">Lo, C. K. (2023). What is the impact of ChatGPT on education? A rapid review of the literature. </w:t>
      </w:r>
      <w:r>
        <w:rPr>
          <w:rFonts w:ascii="Times New Roman" w:hAnsi="Times New Roman"/>
          <w:b w:val="0"/>
          <w:i/>
          <w:sz w:val="24"/>
        </w:rPr>
        <w:t>Education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(4), 410. https://doi.org/10.3390/educsci13040410</w:t>
      </w:r>
    </w:p>
    <w:p>
      <w:pPr>
        <w:spacing w:before="0" w:after="0" w:line="480" w:lineRule="auto"/>
        <w:ind w:left="720" w:hanging="720"/>
      </w:pPr>
      <w:r>
        <w:rPr>
          <w:rFonts w:ascii="Times New Roman" w:hAnsi="Times New Roman"/>
          <w:b w:val="0"/>
          <w:i w:val="0"/>
          <w:sz w:val="24"/>
        </w:rPr>
        <w:t xml:space="preserve">Loibl, K., Roll, I., &amp; Rummel, N. (2017). Towards a theory of when and how problem solving followed by instruction works: A meta-analysis. </w:t>
      </w:r>
      <w:r>
        <w:rPr>
          <w:rFonts w:ascii="Times New Roman" w:hAnsi="Times New Roman"/>
          <w:b w:val="0"/>
          <w:i/>
          <w:sz w:val="24"/>
        </w:rPr>
        <w:t>Educational Psychology Review</w:t>
      </w:r>
      <w:r>
        <w:rPr>
          <w:rFonts w:ascii="Times New Roman" w:hAnsi="Times New Roman"/>
          <w:b w:val="0"/>
          <w:i w:val="0"/>
          <w:sz w:val="24"/>
        </w:rPr>
        <w:t xml:space="preserve">, </w:t>
      </w:r>
      <w:r>
        <w:rPr>
          <w:rFonts w:ascii="Times New Roman" w:hAnsi="Times New Roman"/>
          <w:b w:val="0"/>
          <w:i/>
          <w:sz w:val="24"/>
        </w:rPr>
        <w:t>29</w:t>
      </w:r>
      <w:r>
        <w:rPr>
          <w:rFonts w:ascii="Times New Roman" w:hAnsi="Times New Roman"/>
          <w:b w:val="0"/>
          <w:i w:val="0"/>
          <w:sz w:val="24"/>
        </w:rPr>
        <w:t>(4), 693–715. https://doi.org/10.1007/s10648-016-9379-x</w:t>
      </w:r>
    </w:p>
    <w:p>
      <w:pPr>
        <w:spacing w:before="0" w:after="0" w:line="480" w:lineRule="auto"/>
        <w:ind w:left="720" w:hanging="720"/>
      </w:pPr>
      <w:r>
        <w:rPr>
          <w:rFonts w:ascii="Times New Roman" w:hAnsi="Times New Roman"/>
          <w:b w:val="0"/>
          <w:i w:val="0"/>
          <w:sz w:val="24"/>
        </w:rPr>
        <w:t xml:space="preserve">Logg, J. M., Minson, J. A., &amp; Moore, D. A. (2019). Algorithm appreciation: People prefer algorithmic to human judgment. </w:t>
      </w:r>
      <w:r>
        <w:rPr>
          <w:rFonts w:ascii="Times New Roman" w:hAnsi="Times New Roman"/>
          <w:b w:val="0"/>
          <w:i/>
          <w:sz w:val="24"/>
        </w:rPr>
        <w:t>Organizational Behavior and Human Decision Processes</w:t>
      </w:r>
      <w:r>
        <w:rPr>
          <w:rFonts w:ascii="Times New Roman" w:hAnsi="Times New Roman"/>
          <w:b w:val="0"/>
          <w:i w:val="0"/>
          <w:sz w:val="24"/>
        </w:rPr>
        <w:t xml:space="preserve">, </w:t>
      </w:r>
      <w:r>
        <w:rPr>
          <w:rFonts w:ascii="Times New Roman" w:hAnsi="Times New Roman"/>
          <w:b w:val="0"/>
          <w:i/>
          <w:sz w:val="24"/>
        </w:rPr>
        <w:t>151</w:t>
      </w:r>
      <w:r>
        <w:rPr>
          <w:rFonts w:ascii="Times New Roman" w:hAnsi="Times New Roman"/>
          <w:b w:val="0"/>
          <w:i w:val="0"/>
          <w:sz w:val="24"/>
        </w:rPr>
        <w:t>, 90–103. https://doi.org/10.1016/j.obhdp.2018.12.005</w:t>
      </w:r>
    </w:p>
    <w:p>
      <w:pPr>
        <w:spacing w:before="0" w:after="0" w:line="480" w:lineRule="auto"/>
        <w:ind w:left="720" w:hanging="720"/>
      </w:pPr>
      <w:r>
        <w:rPr>
          <w:rFonts w:ascii="Times New Roman" w:hAnsi="Times New Roman"/>
          <w:b w:val="0"/>
          <w:i w:val="0"/>
          <w:sz w:val="24"/>
        </w:rPr>
        <w:t xml:space="preserve">Long, D., &amp; Magerko, B. (2020). What is AI literacy? Competencies and design considerations. </w:t>
      </w:r>
      <w:r>
        <w:rPr>
          <w:rFonts w:ascii="Times New Roman" w:hAnsi="Times New Roman"/>
          <w:b w:val="0"/>
          <w:i/>
          <w:sz w:val="24"/>
        </w:rPr>
        <w:t>Proceedings of the 2020 CHI Conference on Human Factors in Computing Systems</w:t>
      </w:r>
      <w:r>
        <w:rPr>
          <w:rFonts w:ascii="Times New Roman" w:hAnsi="Times New Roman"/>
          <w:b w:val="0"/>
          <w:i w:val="0"/>
          <w:sz w:val="24"/>
        </w:rPr>
        <w:t>, 1–16. https://doi.org/10.1145/3313831.3376727</w:t>
      </w:r>
    </w:p>
    <w:p>
      <w:pPr>
        <w:spacing w:before="0" w:after="0" w:line="480" w:lineRule="auto"/>
        <w:ind w:left="720" w:hanging="720"/>
      </w:pPr>
      <w:r>
        <w:rPr>
          <w:rFonts w:ascii="Times New Roman" w:hAnsi="Times New Roman"/>
          <w:b w:val="0"/>
          <w:i w:val="0"/>
          <w:sz w:val="24"/>
        </w:rPr>
        <w:t xml:space="preserve">Mayer, R. C., Davis, J. H., &amp; Schoorman, F. D. (1995). An integrative model of organizational trust. </w:t>
      </w:r>
      <w:r>
        <w:rPr>
          <w:rFonts w:ascii="Times New Roman" w:hAnsi="Times New Roman"/>
          <w:b w:val="0"/>
          <w:i/>
          <w:sz w:val="24"/>
        </w:rPr>
        <w:t>Academy of Management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(3), 709–734. https://doi.org/10.5465/amr.1995.9508080335</w:t>
      </w:r>
    </w:p>
    <w:p>
      <w:pPr>
        <w:spacing w:before="0" w:after="0" w:line="480" w:lineRule="auto"/>
        <w:ind w:left="720" w:hanging="720"/>
      </w:pPr>
      <w:r>
        <w:rPr>
          <w:rFonts w:ascii="Times New Roman" w:hAnsi="Times New Roman"/>
          <w:b w:val="0"/>
          <w:i w:val="0"/>
          <w:sz w:val="24"/>
        </w:rPr>
        <w:t xml:space="preserve">McKenney, S., &amp; Reeves, T. C. (2019). </w:t>
      </w:r>
      <w:r>
        <w:rPr>
          <w:rFonts w:ascii="Times New Roman" w:hAnsi="Times New Roman"/>
          <w:b w:val="0"/>
          <w:i/>
          <w:sz w:val="24"/>
        </w:rPr>
        <w:t>Conducting educational design research</w:t>
      </w:r>
      <w:r>
        <w:rPr>
          <w:rFonts w:ascii="Times New Roman" w:hAnsi="Times New Roman"/>
          <w:b w:val="0"/>
          <w:i w:val="0"/>
          <w:sz w:val="24"/>
        </w:rPr>
        <w:t xml:space="preserve"> (2nd ed.). Routledge. https://doi.org/10.4324/9781315105642</w:t>
      </w:r>
    </w:p>
    <w:p>
      <w:pPr>
        <w:spacing w:before="0" w:after="0" w:line="480" w:lineRule="auto"/>
        <w:ind w:left="720" w:hanging="720"/>
      </w:pPr>
      <w:r>
        <w:rPr>
          <w:rFonts w:ascii="Times New Roman" w:hAnsi="Times New Roman"/>
          <w:b w:val="0"/>
          <w:i w:val="0"/>
          <w:sz w:val="24"/>
        </w:rPr>
        <w:t xml:space="preserve">Mollick, E. R., &amp; Mollick, L. (2023). Using AI to implement effective teaching strategies in classrooms: Five strategies, including prompts. </w:t>
      </w:r>
      <w:r>
        <w:rPr>
          <w:rFonts w:ascii="Times New Roman" w:hAnsi="Times New Roman"/>
          <w:b w:val="0"/>
          <w:i/>
          <w:sz w:val="24"/>
        </w:rPr>
        <w:t>The Wharton School Research Paper</w:t>
      </w:r>
      <w:r>
        <w:rPr>
          <w:rFonts w:ascii="Times New Roman" w:hAnsi="Times New Roman"/>
          <w:b w:val="0"/>
          <w:i w:val="0"/>
          <w:sz w:val="24"/>
        </w:rPr>
        <w:t>. https://doi.org/10.2139/ssrn.4391243</w:t>
      </w:r>
    </w:p>
    <w:p>
      <w:pPr>
        <w:spacing w:before="0" w:after="0" w:line="480" w:lineRule="auto"/>
        <w:ind w:left="720" w:hanging="720"/>
      </w:pPr>
      <w:r>
        <w:rPr>
          <w:rFonts w:ascii="Times New Roman" w:hAnsi="Times New Roman"/>
          <w:b w:val="0"/>
          <w:i w:val="0"/>
          <w:sz w:val="24"/>
        </w:rPr>
        <w:t xml:space="preserve">Ng, D. T. K., Leung, J. K. L., Chu, S. K. W., &amp; Qiao, M. S. (2021). Conceptualizing AI literacy: An exploratory review. </w:t>
      </w:r>
      <w:r>
        <w:rPr>
          <w:rFonts w:ascii="Times New Roman" w:hAnsi="Times New Roman"/>
          <w:b w:val="0"/>
          <w:i/>
          <w:sz w:val="24"/>
        </w:rPr>
        <w:t>Computers and Education: Artificial Intelligence</w:t>
      </w:r>
      <w:r>
        <w:rPr>
          <w:rFonts w:ascii="Times New Roman" w:hAnsi="Times New Roman"/>
          <w:b w:val="0"/>
          <w:i w:val="0"/>
          <w:sz w:val="24"/>
        </w:rPr>
        <w:t xml:space="preserve">, </w:t>
      </w:r>
      <w:r>
        <w:rPr>
          <w:rFonts w:ascii="Times New Roman" w:hAnsi="Times New Roman"/>
          <w:b w:val="0"/>
          <w:i/>
          <w:sz w:val="24"/>
        </w:rPr>
        <w:t>2</w:t>
      </w:r>
      <w:r>
        <w:rPr>
          <w:rFonts w:ascii="Times New Roman" w:hAnsi="Times New Roman"/>
          <w:b w:val="0"/>
          <w:i w:val="0"/>
          <w:sz w:val="24"/>
        </w:rPr>
        <w:t>, 100041. https://doi.org/10.1016/j.caeai.2021.100041</w:t>
      </w:r>
    </w:p>
    <w:p>
      <w:pPr>
        <w:spacing w:before="0" w:after="0" w:line="480" w:lineRule="auto"/>
        <w:ind w:left="720" w:hanging="720"/>
      </w:pPr>
      <w:r>
        <w:rPr>
          <w:rFonts w:ascii="Times New Roman" w:hAnsi="Times New Roman"/>
          <w:b w:val="0"/>
          <w:i w:val="0"/>
          <w:sz w:val="24"/>
        </w:rPr>
        <w:t xml:space="preserve">OECD. (2024). </w:t>
      </w:r>
      <w:r>
        <w:rPr>
          <w:rFonts w:ascii="Times New Roman" w:hAnsi="Times New Roman"/>
          <w:b w:val="0"/>
          <w:i/>
          <w:sz w:val="24"/>
        </w:rPr>
        <w:t>AI, data and trust: How AI can support trustworthy data governance in education</w:t>
      </w:r>
      <w:r>
        <w:rPr>
          <w:rFonts w:ascii="Times New Roman" w:hAnsi="Times New Roman"/>
          <w:b w:val="0"/>
          <w:i w:val="0"/>
          <w:sz w:val="24"/>
        </w:rPr>
        <w:t>. OECD Publishing.</w:t>
      </w:r>
    </w:p>
    <w:p>
      <w:pPr>
        <w:spacing w:before="0" w:after="0" w:line="480" w:lineRule="auto"/>
        <w:ind w:left="720" w:hanging="720"/>
      </w:pPr>
      <w:r>
        <w:rPr>
          <w:rFonts w:ascii="Times New Roman" w:hAnsi="Times New Roman"/>
          <w:b w:val="0"/>
          <w:i w:val="0"/>
          <w:sz w:val="24"/>
        </w:rPr>
        <w:t xml:space="preserve">Panadero, E. (2017). A review of self-regulated learning: Six models and four directions for research. </w:t>
      </w:r>
      <w:r>
        <w:rPr>
          <w:rFonts w:ascii="Times New Roman" w:hAnsi="Times New Roman"/>
          <w:b w:val="0"/>
          <w:i/>
          <w:sz w:val="24"/>
        </w:rPr>
        <w:t>Frontiers in Psychology</w:t>
      </w:r>
      <w:r>
        <w:rPr>
          <w:rFonts w:ascii="Times New Roman" w:hAnsi="Times New Roman"/>
          <w:b w:val="0"/>
          <w:i w:val="0"/>
          <w:sz w:val="24"/>
        </w:rPr>
        <w:t xml:space="preserve">, </w:t>
      </w:r>
      <w:r>
        <w:rPr>
          <w:rFonts w:ascii="Times New Roman" w:hAnsi="Times New Roman"/>
          <w:b w:val="0"/>
          <w:i/>
          <w:sz w:val="24"/>
        </w:rPr>
        <w:t>8</w:t>
      </w:r>
      <w:r>
        <w:rPr>
          <w:rFonts w:ascii="Times New Roman" w:hAnsi="Times New Roman"/>
          <w:b w:val="0"/>
          <w:i w:val="0"/>
          <w:sz w:val="24"/>
        </w:rPr>
        <w:t>, 422. https://doi.org/10.3389/fpsyg.2017.00422</w:t>
      </w:r>
    </w:p>
    <w:p>
      <w:pPr>
        <w:spacing w:before="0" w:after="0" w:line="480" w:lineRule="auto"/>
        <w:ind w:left="720" w:hanging="720"/>
      </w:pPr>
      <w:r>
        <w:rPr>
          <w:rFonts w:ascii="Times New Roman" w:hAnsi="Times New Roman"/>
          <w:b w:val="0"/>
          <w:i w:val="0"/>
          <w:sz w:val="24"/>
        </w:rPr>
        <w:t xml:space="preserve">Parasuraman, R., &amp; Riley, V. (1997). Humans and automation: Use, misuse, disuse, abuse.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39</w:t>
      </w:r>
      <w:r>
        <w:rPr>
          <w:rFonts w:ascii="Times New Roman" w:hAnsi="Times New Roman"/>
          <w:b w:val="0"/>
          <w:i w:val="0"/>
          <w:sz w:val="24"/>
        </w:rPr>
        <w:t>(2), 230–253. https://doi.org/10.1518/001872097778543886</w:t>
      </w:r>
    </w:p>
    <w:p>
      <w:pPr>
        <w:spacing w:before="0" w:after="0" w:line="480" w:lineRule="auto"/>
        <w:ind w:left="720" w:hanging="720"/>
      </w:pPr>
      <w:r>
        <w:rPr>
          <w:rFonts w:ascii="Times New Roman" w:hAnsi="Times New Roman"/>
          <w:b w:val="0"/>
          <w:i w:val="0"/>
          <w:sz w:val="24"/>
        </w:rPr>
        <w:t xml:space="preserve">Pea, R. D. (2004). The social and technological dimensions of scaffolding and related theoretical concepts for learning, education, and human activity. </w:t>
      </w:r>
      <w:r>
        <w:rPr>
          <w:rFonts w:ascii="Times New Roman" w:hAnsi="Times New Roman"/>
          <w:b w:val="0"/>
          <w:i/>
          <w:sz w:val="24"/>
        </w:rPr>
        <w:t>The Journal of the Learning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(3), 423–451. https://doi.org/10.1207/s15327809jls1303_6</w:t>
      </w:r>
    </w:p>
    <w:p>
      <w:pPr>
        <w:spacing w:before="0" w:after="0" w:line="480" w:lineRule="auto"/>
        <w:ind w:left="720" w:hanging="720"/>
      </w:pPr>
      <w:r>
        <w:rPr>
          <w:rFonts w:ascii="Times New Roman" w:hAnsi="Times New Roman"/>
          <w:b w:val="0"/>
          <w:i w:val="0"/>
          <w:sz w:val="24"/>
        </w:rPr>
        <w:t xml:space="preserve">Peters, M. D. J., Marnie, C., Tricco, A. C., Pollock, D., Munn, Z., Alexander, L., McInerney, P., Godfrey, C. M., &amp; Khalil, H. (2020). Updated methodological guidance for the conduct of scoping reviews. </w:t>
      </w:r>
      <w:r>
        <w:rPr>
          <w:rFonts w:ascii="Times New Roman" w:hAnsi="Times New Roman"/>
          <w:b w:val="0"/>
          <w:i/>
          <w:sz w:val="24"/>
        </w:rPr>
        <w:t>JBI Evidence Synthesis</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(10), 2119–2126. https://doi.org/10.11124/JBIES-20-00167</w:t>
      </w:r>
    </w:p>
    <w:p>
      <w:pPr>
        <w:spacing w:before="0" w:after="0" w:line="480" w:lineRule="auto"/>
        <w:ind w:left="720" w:hanging="720"/>
      </w:pPr>
      <w:r>
        <w:rPr>
          <w:rFonts w:ascii="Times New Roman" w:hAnsi="Times New Roman"/>
          <w:b w:val="0"/>
          <w:i w:val="0"/>
          <w:sz w:val="24"/>
        </w:rPr>
        <w:t xml:space="preserve">Piaget, J. (1971). </w:t>
      </w:r>
      <w:r>
        <w:rPr>
          <w:rFonts w:ascii="Times New Roman" w:hAnsi="Times New Roman"/>
          <w:b w:val="0"/>
          <w:i/>
          <w:sz w:val="24"/>
        </w:rPr>
        <w:t>Biology and knowledge: An essay on the relations between organic regulations and cognitive processes</w:t>
      </w:r>
      <w:r>
        <w:rPr>
          <w:rFonts w:ascii="Times New Roman" w:hAnsi="Times New Roman"/>
          <w:b w:val="0"/>
          <w:i w:val="0"/>
          <w:sz w:val="24"/>
        </w:rPr>
        <w:t>. University of Chicago Press.</w:t>
      </w:r>
    </w:p>
    <w:p>
      <w:pPr>
        <w:spacing w:before="0" w:after="0" w:line="480" w:lineRule="auto"/>
        <w:ind w:left="720" w:hanging="720"/>
      </w:pPr>
      <w:r>
        <w:rPr>
          <w:rFonts w:ascii="Times New Roman" w:hAnsi="Times New Roman"/>
          <w:b w:val="0"/>
          <w:i w:val="0"/>
          <w:sz w:val="24"/>
        </w:rPr>
        <w:t xml:space="preserve">Pieschl, S. (2009). Metacognitive calibration — an extended conceptualization and potential applications. </w:t>
      </w:r>
      <w:r>
        <w:rPr>
          <w:rFonts w:ascii="Times New Roman" w:hAnsi="Times New Roman"/>
          <w:b w:val="0"/>
          <w:i/>
          <w:sz w:val="24"/>
        </w:rPr>
        <w:t>Metacognition and Learning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 3–31. https://doi.org/10.1007/s11409-008-9030-4</w:t>
      </w:r>
    </w:p>
    <w:p>
      <w:pPr>
        <w:spacing w:before="0" w:after="0" w:line="480" w:lineRule="auto"/>
        <w:ind w:left="720" w:hanging="720"/>
      </w:pPr>
      <w:r>
        <w:rPr>
          <w:rFonts w:ascii="Times New Roman" w:hAnsi="Times New Roman"/>
          <w:b w:val="0"/>
          <w:i w:val="0"/>
          <w:sz w:val="24"/>
        </w:rPr>
        <w:t xml:space="preserve">Pintrich, P. R. (2000). The role of goal orientation in self-regulated learning. In M. Boekaerts, P. R. Pintrich, &amp; M. Zeidner (Eds.), </w:t>
      </w:r>
      <w:r>
        <w:rPr>
          <w:rFonts w:ascii="Times New Roman" w:hAnsi="Times New Roman"/>
          <w:b w:val="0"/>
          <w:i/>
          <w:sz w:val="24"/>
        </w:rPr>
        <w:t>Handbook of self-regulation</w:t>
      </w:r>
      <w:r>
        <w:rPr>
          <w:rFonts w:ascii="Times New Roman" w:hAnsi="Times New Roman"/>
          <w:b w:val="0"/>
          <w:i w:val="0"/>
          <w:sz w:val="24"/>
        </w:rPr>
        <w:t xml:space="preserve"> (pp. 451–502). Academic Press. https://doi.org/10.1016/B978-012109890-2/50043-3</w:t>
      </w:r>
    </w:p>
    <w:p>
      <w:pPr>
        <w:spacing w:before="0" w:after="0" w:line="480" w:lineRule="auto"/>
        <w:ind w:left="720" w:hanging="720"/>
      </w:pPr>
      <w:r>
        <w:rPr>
          <w:rFonts w:ascii="Times New Roman" w:hAnsi="Times New Roman"/>
          <w:b w:val="0"/>
          <w:i w:val="0"/>
          <w:sz w:val="24"/>
        </w:rPr>
        <w:t xml:space="preserve">Puntambekar, S., &amp; Hubscher, R. (2005). Tools for scaffolding students in a complex learning environment: What have we gained and what have we missed? </w:t>
      </w:r>
      <w:r>
        <w:rPr>
          <w:rFonts w:ascii="Times New Roman" w:hAnsi="Times New Roman"/>
          <w:b w:val="0"/>
          <w:i/>
          <w:sz w:val="24"/>
        </w:rPr>
        <w:t>Educational Psychologist</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(1), 1–12. https://doi.org/10.1207/s15326985ep4001_1</w:t>
      </w:r>
    </w:p>
    <w:p>
      <w:pPr>
        <w:spacing w:before="0" w:after="0" w:line="480" w:lineRule="auto"/>
        <w:ind w:left="720" w:hanging="720"/>
      </w:pPr>
      <w:r>
        <w:rPr>
          <w:rFonts w:ascii="Times New Roman" w:hAnsi="Times New Roman"/>
          <w:b w:val="0"/>
          <w:i w:val="0"/>
          <w:sz w:val="24"/>
        </w:rPr>
        <w:t xml:space="preserve">Reiser, B. J. (2004). Scaffolding complex learning: The mechanisms of structuring and problematizing student work. </w:t>
      </w:r>
      <w:r>
        <w:rPr>
          <w:rFonts w:ascii="Times New Roman" w:hAnsi="Times New Roman"/>
          <w:b w:val="0"/>
          <w:i/>
          <w:sz w:val="24"/>
        </w:rPr>
        <w:t>The Journal of the Learning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(3), 273–304. https://doi.org/10.1207/s15327809jls1303_2</w:t>
      </w:r>
    </w:p>
    <w:p>
      <w:pPr>
        <w:spacing w:before="0" w:after="0" w:line="480" w:lineRule="auto"/>
        <w:ind w:left="720" w:hanging="720"/>
      </w:pPr>
      <w:r>
        <w:rPr>
          <w:rFonts w:ascii="Times New Roman" w:hAnsi="Times New Roman"/>
          <w:b w:val="0"/>
          <w:i w:val="0"/>
          <w:sz w:val="24"/>
        </w:rPr>
        <w:t xml:space="preserve">Ryan, R. M., &amp; Deci, E. L. (2000). Self-determination theory and the facilitation of intrinsic motivation, social development, and well-being. </w:t>
      </w:r>
      <w:r>
        <w:rPr>
          <w:rFonts w:ascii="Times New Roman" w:hAnsi="Times New Roman"/>
          <w:b w:val="0"/>
          <w:i/>
          <w:sz w:val="24"/>
        </w:rPr>
        <w:t>American Psychologist</w:t>
      </w:r>
      <w:r>
        <w:rPr>
          <w:rFonts w:ascii="Times New Roman" w:hAnsi="Times New Roman"/>
          <w:b w:val="0"/>
          <w:i w:val="0"/>
          <w:sz w:val="24"/>
        </w:rPr>
        <w:t xml:space="preserve">, </w:t>
      </w:r>
      <w:r>
        <w:rPr>
          <w:rFonts w:ascii="Times New Roman" w:hAnsi="Times New Roman"/>
          <w:b w:val="0"/>
          <w:i/>
          <w:sz w:val="24"/>
        </w:rPr>
        <w:t>55</w:t>
      </w:r>
      <w:r>
        <w:rPr>
          <w:rFonts w:ascii="Times New Roman" w:hAnsi="Times New Roman"/>
          <w:b w:val="0"/>
          <w:i w:val="0"/>
          <w:sz w:val="24"/>
        </w:rPr>
        <w:t>(1), 68–78. https://doi.org/10.1037/0003-066X.55.1.68</w:t>
      </w:r>
    </w:p>
    <w:p>
      <w:pPr>
        <w:spacing w:before="0" w:after="0" w:line="480" w:lineRule="auto"/>
        <w:ind w:left="720" w:hanging="720"/>
      </w:pPr>
      <w:r>
        <w:rPr>
          <w:rFonts w:ascii="Times New Roman" w:hAnsi="Times New Roman"/>
          <w:b w:val="0"/>
          <w:i w:val="0"/>
          <w:sz w:val="24"/>
        </w:rPr>
        <w:t xml:space="preserve">Ryan, R. M., &amp; Deci, E. L. (2017). </w:t>
      </w:r>
      <w:r>
        <w:rPr>
          <w:rFonts w:ascii="Times New Roman" w:hAnsi="Times New Roman"/>
          <w:b w:val="0"/>
          <w:i/>
          <w:sz w:val="24"/>
        </w:rPr>
        <w:t>Self-determination theory: Basic psychological needs in motivation, development, and wellness</w:t>
      </w:r>
      <w:r>
        <w:rPr>
          <w:rFonts w:ascii="Times New Roman" w:hAnsi="Times New Roman"/>
          <w:b w:val="0"/>
          <w:i w:val="0"/>
          <w:sz w:val="24"/>
        </w:rPr>
        <w:t>. Guilford Press. https://doi.org/10.1521/978.14625/28806</w:t>
      </w:r>
    </w:p>
    <w:p>
      <w:pPr>
        <w:spacing w:before="0" w:after="0" w:line="480" w:lineRule="auto"/>
        <w:ind w:left="720" w:hanging="720"/>
      </w:pPr>
      <w:r>
        <w:rPr>
          <w:rFonts w:ascii="Times New Roman" w:hAnsi="Times New Roman"/>
          <w:b w:val="0"/>
          <w:i w:val="0"/>
          <w:sz w:val="24"/>
        </w:rPr>
        <w:t xml:space="preserve">Schaefer, K. E., Chen, J. Y. C., Szalma, J. L., &amp; Hancock, P. A. (2016). A meta-analysis of factors influencing the development of trust in automation: Implications for understanding autonomy in future systems.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58</w:t>
      </w:r>
      <w:r>
        <w:rPr>
          <w:rFonts w:ascii="Times New Roman" w:hAnsi="Times New Roman"/>
          <w:b w:val="0"/>
          <w:i w:val="0"/>
          <w:sz w:val="24"/>
        </w:rPr>
        <w:t>(3), 377–400. https://doi.org/10.1177/0018720816634228</w:t>
      </w:r>
    </w:p>
    <w:p>
      <w:pPr>
        <w:spacing w:before="0" w:after="0" w:line="480" w:lineRule="auto"/>
        <w:ind w:left="720" w:hanging="720"/>
      </w:pPr>
      <w:r>
        <w:rPr>
          <w:rFonts w:ascii="Times New Roman" w:hAnsi="Times New Roman"/>
          <w:b w:val="0"/>
          <w:i w:val="0"/>
          <w:sz w:val="24"/>
        </w:rPr>
        <w:t xml:space="preserve">Schraw, G. (1998). Promoting general metacognitive awareness. </w:t>
      </w:r>
      <w:r>
        <w:rPr>
          <w:rFonts w:ascii="Times New Roman" w:hAnsi="Times New Roman"/>
          <w:b w:val="0"/>
          <w:i/>
          <w:sz w:val="24"/>
        </w:rPr>
        <w:t>Instructional Science</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(1–2), 113–125. https://doi.org/10.1023/A:1003044231033</w:t>
      </w:r>
    </w:p>
    <w:p>
      <w:pPr>
        <w:spacing w:before="0" w:after="0" w:line="480" w:lineRule="auto"/>
        <w:ind w:left="720" w:hanging="720"/>
      </w:pPr>
      <w:r>
        <w:rPr>
          <w:rFonts w:ascii="Times New Roman" w:hAnsi="Times New Roman"/>
          <w:b w:val="0"/>
          <w:i w:val="0"/>
          <w:sz w:val="24"/>
        </w:rPr>
        <w:t xml:space="preserve">Schraw, G., &amp; Dennison, R. S. (1994). Assessing metacognitive awareness. </w:t>
      </w:r>
      <w:r>
        <w:rPr>
          <w:rFonts w:ascii="Times New Roman" w:hAnsi="Times New Roman"/>
          <w:b w:val="0"/>
          <w:i/>
          <w:sz w:val="24"/>
        </w:rPr>
        <w:t>Contemporary Educational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(4), 460–475. https://doi.org/10.1006/ceps.1994.1033</w:t>
      </w:r>
    </w:p>
    <w:p>
      <w:pPr>
        <w:spacing w:before="0" w:after="0" w:line="480" w:lineRule="auto"/>
        <w:ind w:left="720" w:hanging="720"/>
      </w:pPr>
      <w:r>
        <w:rPr>
          <w:rFonts w:ascii="Times New Roman" w:hAnsi="Times New Roman"/>
          <w:b w:val="0"/>
          <w:i w:val="0"/>
          <w:sz w:val="24"/>
        </w:rPr>
        <w:t xml:space="preserve">Shneiderman, B. (2020). Human-centered artificial intelligence: Reliable, safe &amp; trustworthy. </w:t>
      </w:r>
      <w:r>
        <w:rPr>
          <w:rFonts w:ascii="Times New Roman" w:hAnsi="Times New Roman"/>
          <w:b w:val="0"/>
          <w:i/>
          <w:sz w:val="24"/>
        </w:rPr>
        <w:t>International Journal of Human-Computer Interaction</w:t>
      </w:r>
      <w:r>
        <w:rPr>
          <w:rFonts w:ascii="Times New Roman" w:hAnsi="Times New Roman"/>
          <w:b w:val="0"/>
          <w:i w:val="0"/>
          <w:sz w:val="24"/>
        </w:rPr>
        <w:t xml:space="preserve">, </w:t>
      </w:r>
      <w:r>
        <w:rPr>
          <w:rFonts w:ascii="Times New Roman" w:hAnsi="Times New Roman"/>
          <w:b w:val="0"/>
          <w:i/>
          <w:sz w:val="24"/>
        </w:rPr>
        <w:t>36</w:t>
      </w:r>
      <w:r>
        <w:rPr>
          <w:rFonts w:ascii="Times New Roman" w:hAnsi="Times New Roman"/>
          <w:b w:val="0"/>
          <w:i w:val="0"/>
          <w:sz w:val="24"/>
        </w:rPr>
        <w:t>(6), 495–504. https://doi.org/10.1080/10447318.2020.1741118</w:t>
      </w:r>
    </w:p>
    <w:p>
      <w:pPr>
        <w:spacing w:before="0" w:after="0" w:line="480" w:lineRule="auto"/>
        <w:ind w:left="720" w:hanging="720"/>
      </w:pPr>
      <w:r>
        <w:rPr>
          <w:rFonts w:ascii="Times New Roman" w:hAnsi="Times New Roman"/>
          <w:b w:val="0"/>
          <w:i w:val="0"/>
          <w:sz w:val="24"/>
        </w:rPr>
        <w:t xml:space="preserve">Sparrow, B., Liu, J., &amp; Wegner, D. M. (2011). Google effects on memory: Cognitive consequences of having information at our fingertips.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333</w:t>
      </w:r>
      <w:r>
        <w:rPr>
          <w:rFonts w:ascii="Times New Roman" w:hAnsi="Times New Roman"/>
          <w:b w:val="0"/>
          <w:i w:val="0"/>
          <w:sz w:val="24"/>
        </w:rPr>
        <w:t>(6043), 776–778. https://doi.org/10.1126/science.1207745</w:t>
      </w:r>
    </w:p>
    <w:p>
      <w:pPr>
        <w:spacing w:before="0" w:after="0" w:line="480" w:lineRule="auto"/>
        <w:ind w:left="720" w:hanging="720"/>
      </w:pPr>
      <w:r>
        <w:rPr>
          <w:rFonts w:ascii="Times New Roman" w:hAnsi="Times New Roman"/>
          <w:b w:val="0"/>
          <w:i w:val="0"/>
          <w:sz w:val="24"/>
        </w:rPr>
        <w:t xml:space="preserve">Strzelecki, A. (2023). To use or not to use ChatGPT in higher education? A study of students' acceptance and use of technology. </w:t>
      </w:r>
      <w:r>
        <w:rPr>
          <w:rFonts w:ascii="Times New Roman" w:hAnsi="Times New Roman"/>
          <w:b w:val="0"/>
          <w:i/>
          <w:sz w:val="24"/>
        </w:rPr>
        <w:t>Interactive Learning Environments</w:t>
      </w:r>
      <w:r>
        <w:rPr>
          <w:rFonts w:ascii="Times New Roman" w:hAnsi="Times New Roman"/>
          <w:b w:val="0"/>
          <w:i w:val="0"/>
          <w:sz w:val="24"/>
        </w:rPr>
        <w:t xml:space="preserve">, </w:t>
      </w:r>
      <w:r>
        <w:rPr>
          <w:rFonts w:ascii="Times New Roman" w:hAnsi="Times New Roman"/>
          <w:b w:val="0"/>
          <w:i/>
          <w:sz w:val="24"/>
        </w:rPr>
        <w:t>32</w:t>
      </w:r>
      <w:r>
        <w:rPr>
          <w:rFonts w:ascii="Times New Roman" w:hAnsi="Times New Roman"/>
          <w:b w:val="0"/>
          <w:i w:val="0"/>
          <w:sz w:val="24"/>
        </w:rPr>
        <w:t>(10), 5142–5155. https://doi.org/10.1080/10494820.2023.2209881</w:t>
      </w:r>
    </w:p>
    <w:p>
      <w:pPr>
        <w:spacing w:before="0" w:after="0" w:line="480" w:lineRule="auto"/>
        <w:ind w:left="720" w:hanging="720"/>
      </w:pPr>
      <w:r>
        <w:rPr>
          <w:rFonts w:ascii="Times New Roman" w:hAnsi="Times New Roman"/>
          <w:b w:val="0"/>
          <w:i w:val="0"/>
          <w:sz w:val="24"/>
        </w:rPr>
        <w:t xml:space="preserve">Sweller, J. (2011). Cognitive load theory. In J. Mestre &amp; B. Ross (Eds.), </w:t>
      </w:r>
      <w:r>
        <w:rPr>
          <w:rFonts w:ascii="Times New Roman" w:hAnsi="Times New Roman"/>
          <w:b w:val="0"/>
          <w:i/>
          <w:sz w:val="24"/>
        </w:rPr>
        <w:t>The psychology of learning and motivation</w:t>
      </w:r>
      <w:r>
        <w:rPr>
          <w:rFonts w:ascii="Times New Roman" w:hAnsi="Times New Roman"/>
          <w:b w:val="0"/>
          <w:i w:val="0"/>
          <w:sz w:val="24"/>
        </w:rPr>
        <w:t xml:space="preserve"> (Vol. 55, pp. 37–76). Academic Press. https://doi.org/10.1016/B978-0-12-387691-1.00002-8</w:t>
      </w:r>
    </w:p>
    <w:p>
      <w:pPr>
        <w:spacing w:before="0" w:after="0" w:line="480" w:lineRule="auto"/>
        <w:ind w:left="720" w:hanging="720"/>
      </w:pPr>
      <w:r>
        <w:rPr>
          <w:rFonts w:ascii="Times New Roman" w:hAnsi="Times New Roman"/>
          <w:b w:val="0"/>
          <w:i w:val="0"/>
          <w:sz w:val="24"/>
        </w:rPr>
        <w:t xml:space="preserve">UNESCO. (2023). </w:t>
      </w:r>
      <w:r>
        <w:rPr>
          <w:rFonts w:ascii="Times New Roman" w:hAnsi="Times New Roman"/>
          <w:b w:val="0"/>
          <w:i/>
          <w:sz w:val="24"/>
        </w:rPr>
        <w:t>Guidance for generative AI in education and research</w:t>
      </w:r>
      <w:r>
        <w:rPr>
          <w:rFonts w:ascii="Times New Roman" w:hAnsi="Times New Roman"/>
          <w:b w:val="0"/>
          <w:i w:val="0"/>
          <w:sz w:val="24"/>
        </w:rPr>
        <w:t>. UNESCO Publishing. https://doi.org/10.54675/EWZQ9535</w:t>
      </w:r>
    </w:p>
    <w:p>
      <w:pPr>
        <w:spacing w:before="0" w:after="0" w:line="480" w:lineRule="auto"/>
        <w:ind w:left="720" w:hanging="720"/>
      </w:pPr>
      <w:r>
        <w:rPr>
          <w:rFonts w:ascii="Times New Roman" w:hAnsi="Times New Roman"/>
          <w:b w:val="0"/>
          <w:i w:val="0"/>
          <w:sz w:val="24"/>
        </w:rPr>
        <w:t xml:space="preserve">UNESCO. (2024). </w:t>
      </w:r>
      <w:r>
        <w:rPr>
          <w:rFonts w:ascii="Times New Roman" w:hAnsi="Times New Roman"/>
          <w:b w:val="0"/>
          <w:i/>
          <w:sz w:val="24"/>
        </w:rPr>
        <w:t>AI competency framework for teachers</w:t>
      </w:r>
      <w:r>
        <w:rPr>
          <w:rFonts w:ascii="Times New Roman" w:hAnsi="Times New Roman"/>
          <w:b w:val="0"/>
          <w:i w:val="0"/>
          <w:sz w:val="24"/>
        </w:rPr>
        <w:t>. UNESCO Publishing. https://doi.org/10.54675/CCBF6077</w:t>
      </w:r>
    </w:p>
    <w:p>
      <w:pPr>
        <w:spacing w:before="0" w:after="0" w:line="480" w:lineRule="auto"/>
        <w:ind w:left="720" w:hanging="720"/>
      </w:pPr>
      <w:r>
        <w:rPr>
          <w:rFonts w:ascii="Times New Roman" w:hAnsi="Times New Roman"/>
          <w:b w:val="0"/>
          <w:i w:val="0"/>
          <w:sz w:val="24"/>
        </w:rPr>
        <w:t xml:space="preserve">van de Pol, J., Volman, M., &amp; Beishuizen, J. (2010). Scaffolding in teacher–student interaction: A decade of research. </w:t>
      </w:r>
      <w:r>
        <w:rPr>
          <w:rFonts w:ascii="Times New Roman" w:hAnsi="Times New Roman"/>
          <w:b w:val="0"/>
          <w:i/>
          <w:sz w:val="24"/>
        </w:rPr>
        <w:t>Educational Psychology Review</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(3), 271–296. https://doi.org/10.1007/s10648-010-9127-6</w:t>
      </w:r>
    </w:p>
    <w:p>
      <w:pPr>
        <w:spacing w:before="0" w:after="0" w:line="480" w:lineRule="auto"/>
        <w:ind w:left="720" w:hanging="720"/>
      </w:pPr>
      <w:r>
        <w:rPr>
          <w:rFonts w:ascii="Times New Roman" w:hAnsi="Times New Roman"/>
          <w:b w:val="0"/>
          <w:i w:val="0"/>
          <w:sz w:val="24"/>
        </w:rPr>
        <w:t xml:space="preserve">Venkatesh, V., Morris, M. G., Davis, G. B., &amp; Davis, F. D. (2003). User acceptance of information technology: Toward a unified view. </w:t>
      </w:r>
      <w:r>
        <w:rPr>
          <w:rFonts w:ascii="Times New Roman" w:hAnsi="Times New Roman"/>
          <w:b w:val="0"/>
          <w:i/>
          <w:sz w:val="24"/>
        </w:rPr>
        <w:t>MIS Quarterly</w:t>
      </w:r>
      <w:r>
        <w:rPr>
          <w:rFonts w:ascii="Times New Roman" w:hAnsi="Times New Roman"/>
          <w:b w:val="0"/>
          <w:i w:val="0"/>
          <w:sz w:val="24"/>
        </w:rPr>
        <w:t xml:space="preserve">, </w:t>
      </w:r>
      <w:r>
        <w:rPr>
          <w:rFonts w:ascii="Times New Roman" w:hAnsi="Times New Roman"/>
          <w:b w:val="0"/>
          <w:i/>
          <w:sz w:val="24"/>
        </w:rPr>
        <w:t>27</w:t>
      </w:r>
      <w:r>
        <w:rPr>
          <w:rFonts w:ascii="Times New Roman" w:hAnsi="Times New Roman"/>
          <w:b w:val="0"/>
          <w:i w:val="0"/>
          <w:sz w:val="24"/>
        </w:rPr>
        <w:t>(3), 425–478. https://doi.org/10.2307/30036540</w:t>
      </w:r>
    </w:p>
    <w:p>
      <w:pPr>
        <w:spacing w:before="0" w:after="0" w:line="480" w:lineRule="auto"/>
        <w:ind w:left="720" w:hanging="720"/>
      </w:pPr>
      <w:r>
        <w:rPr>
          <w:rFonts w:ascii="Times New Roman" w:hAnsi="Times New Roman"/>
          <w:b w:val="0"/>
          <w:i w:val="0"/>
          <w:sz w:val="24"/>
        </w:rPr>
        <w:t xml:space="preserve">Vygotsky, L. S. (1978). </w:t>
      </w:r>
      <w:r>
        <w:rPr>
          <w:rFonts w:ascii="Times New Roman" w:hAnsi="Times New Roman"/>
          <w:b w:val="0"/>
          <w:i/>
          <w:sz w:val="24"/>
        </w:rPr>
        <w:t>Mind in society: The development of higher psychological processes</w:t>
      </w:r>
      <w:r>
        <w:rPr>
          <w:rFonts w:ascii="Times New Roman" w:hAnsi="Times New Roman"/>
          <w:b w:val="0"/>
          <w:i w:val="0"/>
          <w:sz w:val="24"/>
        </w:rPr>
        <w:t xml:space="preserve"> (M. Cole, V. John-Steiner, S. Scribner, &amp; E. Souberman, Eds.). Harvard University Press.</w:t>
      </w:r>
    </w:p>
    <w:p>
      <w:pPr>
        <w:spacing w:before="0" w:after="0" w:line="480" w:lineRule="auto"/>
        <w:ind w:left="720" w:hanging="720"/>
      </w:pPr>
      <w:r>
        <w:rPr>
          <w:rFonts w:ascii="Times New Roman" w:hAnsi="Times New Roman"/>
          <w:b w:val="0"/>
          <w:i w:val="0"/>
          <w:sz w:val="24"/>
        </w:rPr>
        <w:t xml:space="preserve">Wang, M., &amp; Zhang, J. (2026). AI-supported higher-order thinking and EFL writing quality: A mechanism-focused study. </w:t>
      </w:r>
      <w:r>
        <w:rPr>
          <w:rFonts w:ascii="Times New Roman" w:hAnsi="Times New Roman"/>
          <w:b w:val="0"/>
          <w:i/>
          <w:sz w:val="24"/>
        </w:rPr>
        <w:t>Acta Psychologica</w:t>
      </w:r>
      <w:r>
        <w:rPr>
          <w:rFonts w:ascii="Times New Roman" w:hAnsi="Times New Roman"/>
          <w:b w:val="0"/>
          <w:i w:val="0"/>
          <w:sz w:val="24"/>
        </w:rPr>
        <w:t xml:space="preserve">, </w:t>
      </w:r>
      <w:r>
        <w:rPr>
          <w:rFonts w:ascii="Times New Roman" w:hAnsi="Times New Roman"/>
          <w:b w:val="0"/>
          <w:i/>
          <w:sz w:val="24"/>
        </w:rPr>
        <w:t>263</w:t>
      </w:r>
      <w:r>
        <w:rPr>
          <w:rFonts w:ascii="Times New Roman" w:hAnsi="Times New Roman"/>
          <w:b w:val="0"/>
          <w:i w:val="0"/>
          <w:sz w:val="24"/>
        </w:rPr>
        <w:t>, 106239. https://doi.org/10.1016/j.actpsy.2026.106239</w:t>
      </w:r>
    </w:p>
    <w:p>
      <w:pPr>
        <w:spacing w:before="0" w:after="0" w:line="480" w:lineRule="auto"/>
        <w:ind w:left="720" w:hanging="720"/>
      </w:pPr>
      <w:r>
        <w:rPr>
          <w:rFonts w:ascii="Times New Roman" w:hAnsi="Times New Roman"/>
          <w:b w:val="0"/>
          <w:i w:val="0"/>
          <w:sz w:val="24"/>
        </w:rPr>
        <w:t xml:space="preserve">Wiliam, D. (2011). </w:t>
      </w:r>
      <w:r>
        <w:rPr>
          <w:rFonts w:ascii="Times New Roman" w:hAnsi="Times New Roman"/>
          <w:b w:val="0"/>
          <w:i/>
          <w:sz w:val="24"/>
        </w:rPr>
        <w:t>Embedded formative assessment</w:t>
      </w:r>
      <w:r>
        <w:rPr>
          <w:rFonts w:ascii="Times New Roman" w:hAnsi="Times New Roman"/>
          <w:b w:val="0"/>
          <w:i w:val="0"/>
          <w:sz w:val="24"/>
        </w:rPr>
        <w:t>. Solution Tree Press.</w:t>
      </w:r>
    </w:p>
    <w:p>
      <w:pPr>
        <w:spacing w:before="0" w:after="0" w:line="480" w:lineRule="auto"/>
        <w:ind w:left="720" w:hanging="720"/>
      </w:pPr>
      <w:r>
        <w:rPr>
          <w:rFonts w:ascii="Times New Roman" w:hAnsi="Times New Roman"/>
          <w:b w:val="0"/>
          <w:i w:val="0"/>
          <w:sz w:val="24"/>
        </w:rPr>
        <w:t xml:space="preserve">Williams, R. (2025). Navigating the AI-enhanced learning landscape: A framework for integrating generative AI as a cognitive and metacognitive tool. </w:t>
      </w:r>
      <w:r>
        <w:rPr>
          <w:rFonts w:ascii="Times New Roman" w:hAnsi="Times New Roman"/>
          <w:b w:val="0"/>
          <w:i/>
          <w:sz w:val="24"/>
        </w:rPr>
        <w:t>Information</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(1), 28. https://doi.org/10.3390/info16010028</w:t>
      </w:r>
    </w:p>
    <w:p>
      <w:pPr>
        <w:spacing w:before="0" w:after="0" w:line="480" w:lineRule="auto"/>
        <w:ind w:left="720" w:hanging="720"/>
      </w:pPr>
      <w:r>
        <w:rPr>
          <w:rFonts w:ascii="Times New Roman" w:hAnsi="Times New Roman"/>
          <w:b w:val="0"/>
          <w:i w:val="0"/>
          <w:sz w:val="24"/>
        </w:rPr>
        <w:t xml:space="preserve">Winne, P. H., &amp; Hadwin, A. F. (1998). Studying as self-regulated learning. In D. J. Hacker, J. Dunlosky, &amp; A. C. Graesner (Eds.), </w:t>
      </w:r>
      <w:r>
        <w:rPr>
          <w:rFonts w:ascii="Times New Roman" w:hAnsi="Times New Roman"/>
          <w:b w:val="0"/>
          <w:i/>
          <w:sz w:val="24"/>
        </w:rPr>
        <w:t>Metacognition in educational theory and practice</w:t>
      </w:r>
      <w:r>
        <w:rPr>
          <w:rFonts w:ascii="Times New Roman" w:hAnsi="Times New Roman"/>
          <w:b w:val="0"/>
          <w:i w:val="0"/>
          <w:sz w:val="24"/>
        </w:rPr>
        <w:t xml:space="preserve"> (pp. 277–304). Lawrence Erlbaum.</w:t>
      </w:r>
    </w:p>
    <w:p>
      <w:pPr>
        <w:spacing w:before="0" w:after="0" w:line="480" w:lineRule="auto"/>
        <w:ind w:left="720" w:hanging="720"/>
      </w:pPr>
      <w:r>
        <w:rPr>
          <w:rFonts w:ascii="Times New Roman" w:hAnsi="Times New Roman"/>
          <w:b w:val="0"/>
          <w:i w:val="0"/>
          <w:sz w:val="24"/>
        </w:rPr>
        <w:t xml:space="preserve">Wood, D., Bruner, J. S., &amp; Ross, G. (1976). The role of tutoring in problem solving.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(2), 89–100. https://doi.org/10.1111/j.1469-7610.1976.tb00381.x</w:t>
      </w:r>
    </w:p>
    <w:p>
      <w:pPr>
        <w:spacing w:before="0" w:after="0" w:line="480" w:lineRule="auto"/>
        <w:ind w:left="720" w:hanging="720"/>
      </w:pPr>
      <w:r>
        <w:rPr>
          <w:rFonts w:ascii="Times New Roman" w:hAnsi="Times New Roman"/>
          <w:b w:val="0"/>
          <w:i w:val="0"/>
          <w:sz w:val="24"/>
        </w:rPr>
        <w:t xml:space="preserve">Woodworth, R. S. (1929). </w:t>
      </w:r>
      <w:r>
        <w:rPr>
          <w:rFonts w:ascii="Times New Roman" w:hAnsi="Times New Roman"/>
          <w:b w:val="0"/>
          <w:i/>
          <w:sz w:val="24"/>
        </w:rPr>
        <w:t>Psychology</w:t>
      </w:r>
      <w:r>
        <w:rPr>
          <w:rFonts w:ascii="Times New Roman" w:hAnsi="Times New Roman"/>
          <w:b w:val="0"/>
          <w:i w:val="0"/>
          <w:sz w:val="24"/>
        </w:rPr>
        <w:t xml:space="preserve"> (Rev. ed.). Henry Holt.</w:t>
      </w:r>
    </w:p>
    <w:p>
      <w:pPr>
        <w:spacing w:before="0" w:after="0" w:line="480" w:lineRule="auto"/>
        <w:ind w:left="720" w:hanging="720"/>
      </w:pPr>
      <w:r>
        <w:rPr>
          <w:rFonts w:ascii="Times New Roman" w:hAnsi="Times New Roman"/>
          <w:b w:val="0"/>
          <w:i w:val="0"/>
          <w:sz w:val="24"/>
        </w:rPr>
        <w:t xml:space="preserve">Zawacki-Richter, O., Marin, V. I., Bond, M., &amp; Gouverneur, F. (2019). Systematic review of research on artificial intelligence applications in higher education – Where are the educators? </w:t>
      </w:r>
      <w:r>
        <w:rPr>
          <w:rFonts w:ascii="Times New Roman" w:hAnsi="Times New Roman"/>
          <w:b w:val="0"/>
          <w:i/>
          <w:sz w:val="24"/>
        </w:rPr>
        <w:t>International Journal of Educational Technology in Higher Education</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(1), 39. https://doi.org/10.1186/s41239-019-0171-0</w:t>
      </w:r>
    </w:p>
    <w:p>
      <w:pPr>
        <w:spacing w:before="0" w:after="0" w:line="480" w:lineRule="auto"/>
        <w:ind w:left="720" w:hanging="720"/>
      </w:pPr>
      <w:r>
        <w:rPr>
          <w:rFonts w:ascii="Times New Roman" w:hAnsi="Times New Roman"/>
          <w:b w:val="0"/>
          <w:i w:val="0"/>
          <w:sz w:val="24"/>
        </w:rPr>
        <w:t xml:space="preserve">Zimmerman, B. J. (2000). Attaining self-regulation: A social cognitive perspective. In M. Boekaerts, P. R. Pintrich, &amp; M. Zeidner (Eds.), </w:t>
      </w:r>
      <w:r>
        <w:rPr>
          <w:rFonts w:ascii="Times New Roman" w:hAnsi="Times New Roman"/>
          <w:b w:val="0"/>
          <w:i/>
          <w:sz w:val="24"/>
        </w:rPr>
        <w:t>Handbook of self-regulation</w:t>
      </w:r>
      <w:r>
        <w:rPr>
          <w:rFonts w:ascii="Times New Roman" w:hAnsi="Times New Roman"/>
          <w:b w:val="0"/>
          <w:i w:val="0"/>
          <w:sz w:val="24"/>
        </w:rPr>
        <w:t xml:space="preserve"> (pp. 13–39). Academic Press. https://doi.org/10.1016/B978-012109890-2/50031-7</w:t>
      </w:r>
    </w:p>
    <w:p>
      <w:pPr>
        <w:spacing w:before="0" w:after="0" w:line="480" w:lineRule="auto"/>
        <w:ind w:left="720" w:hanging="720"/>
      </w:pPr>
      <w:r>
        <w:rPr>
          <w:rFonts w:ascii="Times New Roman" w:hAnsi="Times New Roman"/>
          <w:b w:val="0"/>
          <w:i w:val="0"/>
          <w:sz w:val="24"/>
        </w:rPr>
        <w:t xml:space="preserve">Zimmerman, B. J. (2002). Becoming a self-regulated learner: An overview. </w:t>
      </w:r>
      <w:r>
        <w:rPr>
          <w:rFonts w:ascii="Times New Roman" w:hAnsi="Times New Roman"/>
          <w:b w:val="0"/>
          <w:i/>
          <w:sz w:val="24"/>
        </w:rPr>
        <w:t>Theory Into Practice</w:t>
      </w:r>
      <w:r>
        <w:rPr>
          <w:rFonts w:ascii="Times New Roman" w:hAnsi="Times New Roman"/>
          <w:b w:val="0"/>
          <w:i w:val="0"/>
          <w:sz w:val="24"/>
        </w:rPr>
        <w:t xml:space="preserve">, </w:t>
      </w:r>
      <w:r>
        <w:rPr>
          <w:rFonts w:ascii="Times New Roman" w:hAnsi="Times New Roman"/>
          <w:b w:val="0"/>
          <w:i/>
          <w:sz w:val="24"/>
        </w:rPr>
        <w:t>41</w:t>
      </w:r>
      <w:r>
        <w:rPr>
          <w:rFonts w:ascii="Times New Roman" w:hAnsi="Times New Roman"/>
          <w:b w:val="0"/>
          <w:i w:val="0"/>
          <w:sz w:val="24"/>
        </w:rPr>
        <w:t>(2), 64–70. https://doi.org/10.1207/s15430421tip4102_2</w:t>
      </w:r>
    </w:p>
    <w:p>
      <w:pPr>
        <w:spacing w:before="0" w:after="0" w:line="480" w:lineRule="auto"/>
        <w:ind w:left="720" w:hanging="720"/>
      </w:pPr>
      <w:r>
        <w:rPr>
          <w:rFonts w:ascii="Times New Roman" w:hAnsi="Times New Roman"/>
          <w:b w:val="0"/>
          <w:i w:val="0"/>
          <w:sz w:val="24"/>
        </w:rPr>
        <w:t>—</w:t>
      </w:r>
    </w:p>
    <w:p>
      <w:pPr>
        <w:spacing w:before="0" w:after="0" w:line="480" w:lineRule="auto"/>
        <w:ind w:left="720" w:hanging="720"/>
      </w:pPr>
      <w:r>
        <w:rPr>
          <w:rFonts w:ascii="Times New Roman" w:hAnsi="Times New Roman"/>
          <w:b w:val="0"/>
          <w:i w:val="0"/>
          <w:sz w:val="24"/>
        </w:rPr>
        <w:t>## Additional References (Priority A–D Papers)</w:t>
      </w:r>
    </w:p>
    <w:p>
      <w:pPr>
        <w:spacing w:before="0" w:after="0" w:line="480" w:lineRule="auto"/>
        <w:ind w:left="720" w:hanging="720"/>
      </w:pPr>
      <w:r>
        <w:rPr>
          <w:rFonts w:ascii="Times New Roman" w:hAnsi="Times New Roman"/>
          <w:b w:val="0"/>
          <w:i w:val="0"/>
          <w:sz w:val="24"/>
        </w:rPr>
        <w:t xml:space="preserve">Chi, M. T. H., Siler, S. A., Jeong, H., Yamauchi, T., &amp; Hausmann, R. G. (2001). Learning from human tutoring. </w:t>
      </w:r>
      <w:r>
        <w:rPr>
          <w:rFonts w:ascii="Times New Roman" w:hAnsi="Times New Roman"/>
          <w:b w:val="0"/>
          <w:i/>
          <w:sz w:val="24"/>
        </w:rPr>
        <w:t>Cognitive Science</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(4), 471–533. https://doi.org/10.1207/s15516709cog2504_1</w:t>
      </w:r>
    </w:p>
    <w:p>
      <w:pPr>
        <w:spacing w:before="0" w:after="0" w:line="480" w:lineRule="auto"/>
        <w:ind w:left="720" w:hanging="720"/>
      </w:pPr>
      <w:r>
        <w:rPr>
          <w:rFonts w:ascii="Times New Roman" w:hAnsi="Times New Roman"/>
          <w:b w:val="0"/>
          <w:i w:val="0"/>
          <w:sz w:val="24"/>
        </w:rPr>
        <w:t xml:space="preserve">Sakamoto, T., Hasan, R., Lennon, M., Cody, J., Krumholz, H. M., &amp; Schulz, W. L. (2024). Facilitating trust calibration in artificial intelligence–driven diagnostic decision support systems. </w:t>
      </w:r>
      <w:r>
        <w:rPr>
          <w:rFonts w:ascii="Times New Roman" w:hAnsi="Times New Roman"/>
          <w:b w:val="0"/>
          <w:i/>
          <w:sz w:val="24"/>
        </w:rPr>
        <w:t>Journal of Medical Internet Research</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 e58666. https://doi.org/10.2196/58666</w:t>
      </w:r>
    </w:p>
    <w:p>
      <w:pPr>
        <w:spacing w:before="0" w:after="0" w:line="480" w:lineRule="auto"/>
        <w:ind w:left="720" w:hanging="720"/>
      </w:pPr>
      <w:r>
        <w:rPr>
          <w:rFonts w:ascii="Times New Roman" w:hAnsi="Times New Roman"/>
          <w:b w:val="0"/>
          <w:i w:val="0"/>
          <w:sz w:val="24"/>
        </w:rPr>
        <w:t xml:space="preserve">Ma, S., Kimani, E., Rowan, K., Feuerriegel, S., &amp; Perer, A. (2024). Are you really sure? Understanding the effects of human self-confidence calibration prompts on trust, reliance, and task performance in AI-assisted decision making. </w:t>
      </w:r>
      <w:r>
        <w:rPr>
          <w:rFonts w:ascii="Times New Roman" w:hAnsi="Times New Roman"/>
          <w:b w:val="0"/>
          <w:i/>
          <w:sz w:val="24"/>
        </w:rPr>
        <w:t>Proceedings of the 2024 CHI Conference on Human Factors in Computing Systems</w:t>
      </w:r>
      <w:r>
        <w:rPr>
          <w:rFonts w:ascii="Times New Roman" w:hAnsi="Times New Roman"/>
          <w:b w:val="0"/>
          <w:i w:val="0"/>
          <w:sz w:val="24"/>
        </w:rPr>
        <w:t>, Article 671. https://doi.org/10.1145/3613904.3642671</w:t>
      </w:r>
    </w:p>
    <w:p>
      <w:pPr>
        <w:spacing w:before="0" w:after="0" w:line="480" w:lineRule="auto"/>
        <w:ind w:left="720" w:hanging="720"/>
      </w:pPr>
      <w:r>
        <w:rPr>
          <w:rFonts w:ascii="Times New Roman" w:hAnsi="Times New Roman"/>
          <w:b w:val="0"/>
          <w:i w:val="0"/>
          <w:sz w:val="24"/>
        </w:rPr>
        <w:t xml:space="preserve">Lee, J., Lee, S., &amp; Steyvers, M. (2025). Metacognitive sensitivity: Key to calibrating trust with AI. </w:t>
      </w:r>
      <w:r>
        <w:rPr>
          <w:rFonts w:ascii="Times New Roman" w:hAnsi="Times New Roman"/>
          <w:b w:val="0"/>
          <w:i/>
          <w:sz w:val="24"/>
        </w:rPr>
        <w:t>PNAS Nexus</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(3), pgaf133. https://doi.org/10.1093/pnasnexus/pgaf133</w:t>
      </w:r>
    </w:p>
    <w:p>
      <w:pPr>
        <w:spacing w:before="0" w:after="0" w:line="480" w:lineRule="auto"/>
        <w:ind w:left="720" w:hanging="720"/>
      </w:pPr>
      <w:r>
        <w:rPr>
          <w:rFonts w:ascii="Times New Roman" w:hAnsi="Times New Roman"/>
          <w:b w:val="0"/>
          <w:i w:val="0"/>
          <w:sz w:val="24"/>
        </w:rPr>
        <w:t xml:space="preserve">Lee, S., &amp; Bosch, N. (2025). Calibration discrepancy predicts students' subsequent metacognitive strategy use in AI-supported learning. </w:t>
      </w:r>
      <w:r>
        <w:rPr>
          <w:rFonts w:ascii="Times New Roman" w:hAnsi="Times New Roman"/>
          <w:b w:val="0"/>
          <w:i/>
          <w:sz w:val="24"/>
        </w:rPr>
        <w:t>International Journal of Artificial Intelligence in Education</w:t>
      </w:r>
      <w:r>
        <w:rPr>
          <w:rFonts w:ascii="Times New Roman" w:hAnsi="Times New Roman"/>
          <w:b w:val="0"/>
          <w:i w:val="0"/>
          <w:sz w:val="24"/>
        </w:rPr>
        <w:t>. https://doi.org/10.1007/s40593-025-00514-5</w:t>
      </w:r>
    </w:p>
    <w:p>
      <w:pPr>
        <w:spacing w:before="0" w:after="0" w:line="480" w:lineRule="auto"/>
        <w:ind w:left="720" w:hanging="720"/>
      </w:pPr>
      <w:r>
        <w:rPr>
          <w:rFonts w:ascii="Times New Roman" w:hAnsi="Times New Roman"/>
          <w:b w:val="0"/>
          <w:i w:val="0"/>
          <w:sz w:val="24"/>
        </w:rPr>
        <w:t xml:space="preserve">Lee, S., Lee, S., &amp; Bosch, N. (2025). Learning behaviors mediate the effects of metacognitive calibration in AI-supported learning. </w:t>
      </w:r>
      <w:r>
        <w:rPr>
          <w:rFonts w:ascii="Times New Roman" w:hAnsi="Times New Roman"/>
          <w:b w:val="0"/>
          <w:i/>
          <w:sz w:val="24"/>
        </w:rPr>
        <w:t>Proceedings of the 15th International Learning Analytics and Knowledge Conference (LAK '25)</w:t>
      </w:r>
      <w:r>
        <w:rPr>
          <w:rFonts w:ascii="Times New Roman" w:hAnsi="Times New Roman"/>
          <w:b w:val="0"/>
          <w:i w:val="0"/>
          <w:sz w:val="24"/>
        </w:rPr>
        <w:t>. https://doi.org/10.1145/3706468.3706513</w:t>
      </w:r>
    </w:p>
    <w:p>
      <w:pPr>
        <w:spacing w:before="0" w:after="0" w:line="480" w:lineRule="auto"/>
        <w:ind w:left="720" w:hanging="720"/>
      </w:pPr>
      <w:r>
        <w:rPr>
          <w:rFonts w:ascii="Times New Roman" w:hAnsi="Times New Roman"/>
          <w:b w:val="0"/>
          <w:i w:val="0"/>
          <w:sz w:val="24"/>
        </w:rPr>
        <w:t xml:space="preserve">Li, Y., Chen, M., &amp; Liao, Q. V. (2024). Understanding the effects of miscalibrated AI confidence on user trust. </w:t>
      </w:r>
      <w:r>
        <w:rPr>
          <w:rFonts w:ascii="Times New Roman" w:hAnsi="Times New Roman"/>
          <w:b w:val="0"/>
          <w:i/>
          <w:sz w:val="24"/>
        </w:rPr>
        <w:t>Proceedings of the 2024 CHI Conference on Human Factors in Computing Systems</w:t>
      </w:r>
      <w:r>
        <w:rPr>
          <w:rFonts w:ascii="Times New Roman" w:hAnsi="Times New Roman"/>
          <w:b w:val="0"/>
          <w:i w:val="0"/>
          <w:sz w:val="24"/>
        </w:rPr>
        <w:t>. https://doi.org/10.48550/arXiv.2402.07632</w:t>
      </w:r>
    </w:p>
    <w:p>
      <w:pPr>
        <w:spacing w:before="0" w:after="0" w:line="480" w:lineRule="auto"/>
        <w:ind w:left="720" w:hanging="720"/>
      </w:pPr>
      <w:r>
        <w:rPr>
          <w:rFonts w:ascii="Times New Roman" w:hAnsi="Times New Roman"/>
          <w:b w:val="0"/>
          <w:i w:val="0"/>
          <w:sz w:val="24"/>
        </w:rPr>
        <w:t xml:space="preserve">Wischnewski, M., Krämer, N., &amp; Müller, E. (2023). Measuring and understanding trust calibrations for automated systems: A survey of the state-of-the-art and future directions. </w:t>
      </w:r>
      <w:r>
        <w:rPr>
          <w:rFonts w:ascii="Times New Roman" w:hAnsi="Times New Roman"/>
          <w:b w:val="0"/>
          <w:i/>
          <w:sz w:val="24"/>
        </w:rPr>
        <w:t>Proceedings of the 2023 CHI Conference on Human Factors in Computing Systems</w:t>
      </w:r>
      <w:r>
        <w:rPr>
          <w:rFonts w:ascii="Times New Roman" w:hAnsi="Times New Roman"/>
          <w:b w:val="0"/>
          <w:i w:val="0"/>
          <w:sz w:val="24"/>
        </w:rPr>
        <w:t>, Article 197. https://doi.org/10.1145/3544548.3581197</w:t>
      </w:r>
    </w:p>
    <w:p>
      <w:pPr>
        <w:spacing w:before="0" w:after="0" w:line="480" w:lineRule="auto"/>
        <w:ind w:left="720" w:hanging="720"/>
      </w:pPr>
      <w:r>
        <w:rPr>
          <w:rFonts w:ascii="Times New Roman" w:hAnsi="Times New Roman"/>
          <w:b w:val="0"/>
          <w:i w:val="0"/>
          <w:sz w:val="24"/>
        </w:rPr>
        <w:t xml:space="preserve">Mehrotra, S., Jonker, C. M., &amp; Tielman, M. L. (2024). A systematic review of the research on fostering appropriate trust in human-AI interaction. </w:t>
      </w:r>
      <w:r>
        <w:rPr>
          <w:rFonts w:ascii="Times New Roman" w:hAnsi="Times New Roman"/>
          <w:b w:val="0"/>
          <w:i/>
          <w:sz w:val="24"/>
        </w:rPr>
        <w:t>ACM Computing Surveys</w:t>
      </w:r>
      <w:r>
        <w:rPr>
          <w:rFonts w:ascii="Times New Roman" w:hAnsi="Times New Roman"/>
          <w:b w:val="0"/>
          <w:i w:val="0"/>
          <w:sz w:val="24"/>
        </w:rPr>
        <w:t xml:space="preserve">, </w:t>
      </w:r>
      <w:r>
        <w:rPr>
          <w:rFonts w:ascii="Times New Roman" w:hAnsi="Times New Roman"/>
          <w:b w:val="0"/>
          <w:i/>
          <w:sz w:val="24"/>
        </w:rPr>
        <w:t>56</w:t>
      </w:r>
      <w:r>
        <w:rPr>
          <w:rFonts w:ascii="Times New Roman" w:hAnsi="Times New Roman"/>
          <w:b w:val="0"/>
          <w:i w:val="0"/>
          <w:sz w:val="24"/>
        </w:rPr>
        <w:t>(12), 1–40. https://doi.org/10.1145/3696449</w:t>
      </w:r>
    </w:p>
    <w:p>
      <w:pPr>
        <w:spacing w:before="0" w:after="0" w:line="480" w:lineRule="auto"/>
        <w:ind w:left="720" w:hanging="720"/>
      </w:pPr>
      <w:r>
        <w:rPr>
          <w:rFonts w:ascii="Times New Roman" w:hAnsi="Times New Roman"/>
          <w:b w:val="0"/>
          <w:i w:val="0"/>
          <w:sz w:val="24"/>
        </w:rPr>
        <w:t xml:space="preserve">Nelson, T. O., &amp; Narens, L. (1990). Metamemory: A theoretical framework and new findings. In G. H. Bower (Ed.), </w:t>
      </w:r>
      <w:r>
        <w:rPr>
          <w:rFonts w:ascii="Times New Roman" w:hAnsi="Times New Roman"/>
          <w:b w:val="0"/>
          <w:i/>
          <w:sz w:val="24"/>
        </w:rPr>
        <w:t>The psychology of learning and motivation</w:t>
      </w:r>
      <w:r>
        <w:rPr>
          <w:rFonts w:ascii="Times New Roman" w:hAnsi="Times New Roman"/>
          <w:b w:val="0"/>
          <w:i w:val="0"/>
          <w:sz w:val="24"/>
        </w:rPr>
        <w:t xml:space="preserve"> (Vol. 26, pp. 125–173). Academic Press.</w:t>
      </w:r>
    </w:p>
    <w:p>
      <w:pPr>
        <w:spacing w:before="0" w:after="0" w:line="480" w:lineRule="auto"/>
        <w:ind w:left="720" w:hanging="720"/>
      </w:pPr>
      <w:r>
        <w:rPr>
          <w:rFonts w:ascii="Times New Roman" w:hAnsi="Times New Roman"/>
          <w:b w:val="0"/>
          <w:i w:val="0"/>
          <w:sz w:val="24"/>
        </w:rPr>
        <w:t xml:space="preserve">Okamura, K., &amp; Yamada, S. (2020). Adaptive trust calibration for human-AI collaboration. </w:t>
      </w:r>
      <w:r>
        <w:rPr>
          <w:rFonts w:ascii="Times New Roman" w:hAnsi="Times New Roman"/>
          <w:b w:val="0"/>
          <w:i/>
          <w:sz w:val="24"/>
        </w:rPr>
        <w:t>PLOS ONE</w:t>
      </w:r>
      <w:r>
        <w:rPr>
          <w:rFonts w:ascii="Times New Roman" w:hAnsi="Times New Roman"/>
          <w:b w:val="0"/>
          <w:i w:val="0"/>
          <w:sz w:val="24"/>
        </w:rPr>
        <w:t xml:space="preserve">, </w:t>
      </w:r>
      <w:r>
        <w:rPr>
          <w:rFonts w:ascii="Times New Roman" w:hAnsi="Times New Roman"/>
          <w:b w:val="0"/>
          <w:i/>
          <w:sz w:val="24"/>
        </w:rPr>
        <w:t>15</w:t>
      </w:r>
      <w:r>
        <w:rPr>
          <w:rFonts w:ascii="Times New Roman" w:hAnsi="Times New Roman"/>
          <w:b w:val="0"/>
          <w:i w:val="0"/>
          <w:sz w:val="24"/>
        </w:rPr>
        <w:t>(2), e0229132. https://doi.org/10.1371/journal.pone.0229132</w:t>
      </w:r>
    </w:p>
    <w:p>
      <w:pPr>
        <w:spacing w:before="0" w:after="0" w:line="480" w:lineRule="auto"/>
        <w:ind w:left="720" w:hanging="720"/>
      </w:pPr>
      <w:r>
        <w:rPr>
          <w:rFonts w:ascii="Times New Roman" w:hAnsi="Times New Roman"/>
          <w:b w:val="0"/>
          <w:i w:val="0"/>
          <w:sz w:val="24"/>
        </w:rPr>
        <w:t xml:space="preserve">Pandey, S., Creel, K. A., &amp; Picard, R. W. (2025). Epistemic trust in generative AI. </w:t>
      </w:r>
      <w:r>
        <w:rPr>
          <w:rFonts w:ascii="Times New Roman" w:hAnsi="Times New Roman"/>
          <w:b w:val="0"/>
          <w:i/>
          <w:sz w:val="24"/>
        </w:rPr>
        <w:t>AI and Ethics</w:t>
      </w:r>
      <w:r>
        <w:rPr>
          <w:rFonts w:ascii="Times New Roman" w:hAnsi="Times New Roman"/>
          <w:b w:val="0"/>
          <w:i w:val="0"/>
          <w:sz w:val="24"/>
        </w:rPr>
        <w:t>. https://doi.org/10.1007/s43681-025-00686-7</w:t>
      </w:r>
    </w:p>
    <w:p>
      <w:pPr>
        <w:spacing w:before="0" w:after="0" w:line="480" w:lineRule="auto"/>
        <w:ind w:left="720" w:hanging="720"/>
      </w:pPr>
      <w:r>
        <w:rPr>
          <w:rFonts w:ascii="Times New Roman" w:hAnsi="Times New Roman"/>
          <w:b w:val="0"/>
          <w:i w:val="0"/>
          <w:sz w:val="24"/>
        </w:rPr>
        <w:t xml:space="preserve">Parasuraman, R., &amp; Manzey, D. H. (2010). Complacency and bias in human use of automation: An attentional integration.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52</w:t>
      </w:r>
      <w:r>
        <w:rPr>
          <w:rFonts w:ascii="Times New Roman" w:hAnsi="Times New Roman"/>
          <w:b w:val="0"/>
          <w:i w:val="0"/>
          <w:sz w:val="24"/>
        </w:rPr>
        <w:t>(3), 381–410. https://doi.org/10.1177/0018720810376055</w:t>
      </w:r>
    </w:p>
    <w:p>
      <w:pPr>
        <w:spacing w:before="0" w:after="0" w:line="480" w:lineRule="auto"/>
        <w:ind w:left="720" w:hanging="720"/>
      </w:pPr>
      <w:r>
        <w:rPr>
          <w:rFonts w:ascii="Times New Roman" w:hAnsi="Times New Roman"/>
          <w:b w:val="0"/>
          <w:i w:val="0"/>
          <w:sz w:val="24"/>
        </w:rPr>
        <w:t xml:space="preserve">Pare, G., Trudel, M.-C., Jaana, M., &amp; Kitsiou, S. (2015). Synthesizing information systems knowledge: A typology of literature reviews. </w:t>
      </w:r>
      <w:r>
        <w:rPr>
          <w:rFonts w:ascii="Times New Roman" w:hAnsi="Times New Roman"/>
          <w:b w:val="0"/>
          <w:i/>
          <w:sz w:val="24"/>
        </w:rPr>
        <w:t>Information &amp; Management</w:t>
      </w:r>
      <w:r>
        <w:rPr>
          <w:rFonts w:ascii="Times New Roman" w:hAnsi="Times New Roman"/>
          <w:b w:val="0"/>
          <w:i w:val="0"/>
          <w:sz w:val="24"/>
        </w:rPr>
        <w:t xml:space="preserve">, </w:t>
      </w:r>
      <w:r>
        <w:rPr>
          <w:rFonts w:ascii="Times New Roman" w:hAnsi="Times New Roman"/>
          <w:b w:val="0"/>
          <w:i/>
          <w:sz w:val="24"/>
        </w:rPr>
        <w:t>52</w:t>
      </w:r>
      <w:r>
        <w:rPr>
          <w:rFonts w:ascii="Times New Roman" w:hAnsi="Times New Roman"/>
          <w:b w:val="0"/>
          <w:i w:val="0"/>
          <w:sz w:val="24"/>
        </w:rPr>
        <w:t>(2), 183–199. https://doi.org/10.1016/j.im.2014.08.008</w:t>
      </w:r>
    </w:p>
    <w:p>
      <w:pPr>
        <w:spacing w:before="0" w:after="0" w:line="480" w:lineRule="auto"/>
        <w:ind w:left="720" w:hanging="720"/>
      </w:pPr>
      <w:r>
        <w:rPr>
          <w:rFonts w:ascii="Times New Roman" w:hAnsi="Times New Roman"/>
          <w:b w:val="0"/>
          <w:i w:val="0"/>
          <w:sz w:val="24"/>
        </w:rPr>
        <w:t xml:space="preserve">Risko, E. F., &amp; Gilbert, S. J. (2016). Cognitive offloading.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(9), 676–688. https://doi.org/10.1016/j.tics.2016.07.002</w:t>
      </w:r>
    </w:p>
    <w:p>
      <w:pPr>
        <w:spacing w:before="0" w:after="0" w:line="480" w:lineRule="auto"/>
        <w:ind w:left="720" w:hanging="720"/>
      </w:pPr>
      <w:r>
        <w:rPr>
          <w:rFonts w:ascii="Times New Roman" w:hAnsi="Times New Roman"/>
          <w:b w:val="0"/>
          <w:i w:val="0"/>
          <w:sz w:val="24"/>
        </w:rPr>
        <w:t xml:space="preserve">Safarov, C., Gadzinski, G., &amp; Schlögl, S. (2026). In AI we trust? Exploring the role of explainable GenAI and expertise in education. </w:t>
      </w:r>
      <w:r>
        <w:rPr>
          <w:rFonts w:ascii="Times New Roman" w:hAnsi="Times New Roman"/>
          <w:b w:val="0"/>
          <w:i/>
          <w:sz w:val="24"/>
        </w:rPr>
        <w:t>Human Factors</w:t>
      </w:r>
      <w:r>
        <w:rPr>
          <w:rFonts w:ascii="Times New Roman" w:hAnsi="Times New Roman"/>
          <w:b w:val="0"/>
          <w:i w:val="0"/>
          <w:sz w:val="24"/>
        </w:rPr>
        <w:t xml:space="preserve">, </w:t>
      </w:r>
      <w:r>
        <w:rPr>
          <w:rFonts w:ascii="Times New Roman" w:hAnsi="Times New Roman"/>
          <w:b w:val="0"/>
          <w:i/>
          <w:sz w:val="24"/>
        </w:rPr>
        <w:t>68</w:t>
      </w:r>
      <w:r>
        <w:rPr>
          <w:rFonts w:ascii="Times New Roman" w:hAnsi="Times New Roman"/>
          <w:b w:val="0"/>
          <w:i w:val="0"/>
          <w:sz w:val="24"/>
        </w:rPr>
        <w:t>(4), 487–503. https://doi.org/10.1177/00187208251401773</w:t>
      </w:r>
    </w:p>
    <w:p>
      <w:pPr>
        <w:spacing w:before="0" w:after="0" w:line="480" w:lineRule="auto"/>
        <w:ind w:left="720" w:hanging="720"/>
      </w:pPr>
      <w:r>
        <w:rPr>
          <w:rFonts w:ascii="Times New Roman" w:hAnsi="Times New Roman"/>
          <w:b w:val="0"/>
          <w:i w:val="0"/>
          <w:sz w:val="24"/>
        </w:rPr>
        <w:t xml:space="preserve">Scharowski, N., Perrig, S. A. L., von Felten, N., &amp; Brühlmann, F. (2025). To trust or distrust trust measures: Validating questionnaires for trust in AI. </w:t>
      </w:r>
      <w:r>
        <w:rPr>
          <w:rFonts w:ascii="Times New Roman" w:hAnsi="Times New Roman"/>
          <w:b w:val="0"/>
          <w:i/>
          <w:sz w:val="24"/>
        </w:rPr>
        <w:t>Proceedings of the 2025 ACM Conference on Fairness, Accountability, and Transparency (FAccT)</w:t>
      </w:r>
      <w:r>
        <w:rPr>
          <w:rFonts w:ascii="Times New Roman" w:hAnsi="Times New Roman"/>
          <w:b w:val="0"/>
          <w:i w:val="0"/>
          <w:sz w:val="24"/>
        </w:rPr>
        <w:t>. https://doi.org/10.48550/arXiv.2403.00582</w:t>
      </w:r>
    </w:p>
    <w:p>
      <w:pPr>
        <w:spacing w:before="0" w:after="0" w:line="480" w:lineRule="auto"/>
        <w:ind w:left="720" w:hanging="720"/>
      </w:pPr>
      <w:r>
        <w:rPr>
          <w:rFonts w:ascii="Times New Roman" w:hAnsi="Times New Roman"/>
          <w:b w:val="0"/>
          <w:i w:val="0"/>
          <w:sz w:val="24"/>
        </w:rPr>
        <w:t xml:space="preserve">Steyvers, M., &amp; Peters, M. A. K. (2025). Metacognition and uncertainty communication in humans and large language models. </w:t>
      </w:r>
      <w:r>
        <w:rPr>
          <w:rFonts w:ascii="Times New Roman" w:hAnsi="Times New Roman"/>
          <w:b w:val="0"/>
          <w:i/>
          <w:sz w:val="24"/>
        </w:rPr>
        <w:t>Current Directions in Psychological Science</w:t>
      </w:r>
      <w:r>
        <w:rPr>
          <w:rFonts w:ascii="Times New Roman" w:hAnsi="Times New Roman"/>
          <w:b w:val="0"/>
          <w:i w:val="0"/>
          <w:sz w:val="24"/>
        </w:rPr>
        <w:t>. https://doi.org/10.1177/09637214251391158</w:t>
      </w:r>
    </w:p>
    <w:p>
      <w:pPr>
        <w:spacing w:before="0" w:after="0" w:line="480" w:lineRule="auto"/>
        <w:ind w:left="720" w:hanging="720"/>
      </w:pPr>
      <w:r>
        <w:rPr>
          <w:rFonts w:ascii="Times New Roman" w:hAnsi="Times New Roman"/>
          <w:b w:val="0"/>
          <w:i w:val="0"/>
          <w:sz w:val="24"/>
        </w:rPr>
        <w:t xml:space="preserve">Tomsett, R., Preece, A., Braines, D., Cerutti, F., Chakraborty, S., Srivastava, M., Pearson, G., &amp; Kaplan, L. (2020). Rapid trust calibration through interpretable and uncertainty-aware AI. </w:t>
      </w:r>
      <w:r>
        <w:rPr>
          <w:rFonts w:ascii="Times New Roman" w:hAnsi="Times New Roman"/>
          <w:b w:val="0"/>
          <w:i/>
          <w:sz w:val="24"/>
        </w:rPr>
        <w:t>Patterns</w:t>
      </w:r>
      <w:r>
        <w:rPr>
          <w:rFonts w:ascii="Times New Roman" w:hAnsi="Times New Roman"/>
          <w:b w:val="0"/>
          <w:i w:val="0"/>
          <w:sz w:val="24"/>
        </w:rPr>
        <w:t xml:space="preserve">, </w:t>
      </w:r>
      <w:r>
        <w:rPr>
          <w:rFonts w:ascii="Times New Roman" w:hAnsi="Times New Roman"/>
          <w:b w:val="0"/>
          <w:i/>
          <w:sz w:val="24"/>
        </w:rPr>
        <w:t>1</w:t>
      </w:r>
      <w:r>
        <w:rPr>
          <w:rFonts w:ascii="Times New Roman" w:hAnsi="Times New Roman"/>
          <w:b w:val="0"/>
          <w:i w:val="0"/>
          <w:sz w:val="24"/>
        </w:rPr>
        <w:t>(6), 100049. https://doi.org/10.1016/j.patter.2020.100049</w:t>
      </w:r>
    </w:p>
    <w:p>
      <w:pPr>
        <w:spacing w:before="0" w:after="0" w:line="480" w:lineRule="auto"/>
        <w:ind w:left="720" w:hanging="720"/>
      </w:pPr>
      <w:r>
        <w:rPr>
          <w:rFonts w:ascii="Times New Roman" w:hAnsi="Times New Roman"/>
          <w:b w:val="0"/>
          <w:i w:val="0"/>
          <w:sz w:val="24"/>
        </w:rPr>
        <w:t xml:space="preserve">Vasconcelos, H., Jörke, M., Grunde-McLaughlin, M., Gerstenberg, T., Bernstein, M. S., &amp; Krishna, R. (2023). Explanations can reduce overreliance on AI systems during decision-making. </w:t>
      </w:r>
      <w:r>
        <w:rPr>
          <w:rFonts w:ascii="Times New Roman" w:hAnsi="Times New Roman"/>
          <w:b w:val="0"/>
          <w:i/>
          <w:sz w:val="24"/>
        </w:rPr>
        <w:t>Proceedings of the ACM on Human-Computer Interaction</w:t>
      </w:r>
      <w:r>
        <w:rPr>
          <w:rFonts w:ascii="Times New Roman" w:hAnsi="Times New Roman"/>
          <w:b w:val="0"/>
          <w:i w:val="0"/>
          <w:sz w:val="24"/>
        </w:rPr>
        <w:t xml:space="preserve">, </w:t>
      </w:r>
      <w:r>
        <w:rPr>
          <w:rFonts w:ascii="Times New Roman" w:hAnsi="Times New Roman"/>
          <w:b w:val="0"/>
          <w:i/>
          <w:sz w:val="24"/>
        </w:rPr>
        <w:t>7</w:t>
      </w:r>
      <w:r>
        <w:rPr>
          <w:rFonts w:ascii="Times New Roman" w:hAnsi="Times New Roman"/>
          <w:b w:val="0"/>
          <w:i w:val="0"/>
          <w:sz w:val="24"/>
        </w:rPr>
        <w:t>(CSCW1), 1–38. https://doi.org/10.1145/3579605</w:t>
      </w:r>
    </w:p>
    <w:p>
      <w:pPr>
        <w:spacing w:before="0" w:after="0" w:line="480" w:lineRule="auto"/>
        <w:ind w:left="720" w:hanging="720"/>
      </w:pPr>
      <w:r>
        <w:rPr>
          <w:rFonts w:ascii="Times New Roman" w:hAnsi="Times New Roman"/>
          <w:b w:val="0"/>
          <w:i w:val="0"/>
          <w:sz w:val="24"/>
        </w:rPr>
        <w:t xml:space="preserve">Yin, M., Wortman Vaughan, J., &amp; Wallach, H. (2019). Understanding the effect of accuracy on trust in machine learning models. </w:t>
      </w:r>
      <w:r>
        <w:rPr>
          <w:rFonts w:ascii="Times New Roman" w:hAnsi="Times New Roman"/>
          <w:b w:val="0"/>
          <w:i/>
          <w:sz w:val="24"/>
        </w:rPr>
        <w:t>Proceedings of the 2019 CHI Conference on Human Factors in Computing Systems</w:t>
      </w:r>
      <w:r>
        <w:rPr>
          <w:rFonts w:ascii="Times New Roman" w:hAnsi="Times New Roman"/>
          <w:b w:val="0"/>
          <w:i w:val="0"/>
          <w:sz w:val="24"/>
        </w:rPr>
        <w:t>, Article 279. https://doi.org/10.1145/3290605.3300509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