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4.png" ContentType="image/png"/>
  <Override PartName="/word/media/rId60.png" ContentType="image/png"/>
  <Override PartName="/word/media/rId4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Calibration Gap: A Critical Review of Trust Research in Educational AI and the Case for a Paradigm Shift</w:t>
      </w:r>
    </w:p>
    <w:p>
      <w:pPr>
        <w:pStyle w:val="Author"/>
      </w:pPr>
      <w:r>
        <w:t xml:space="preserve">Hosung You</w:t>
      </w:r>
    </w:p>
    <w:p>
      <w:pPr>
        <w:pStyle w:val="Date"/>
      </w:pPr>
      <w:r>
        <w:t xml:space="preserve">2026</w:t>
      </w:r>
    </w:p>
    <w:bookmarkStart w:id="22" w:name="abstract"/>
    <w:p>
      <w:pPr>
        <w:pStyle w:val="Heading2"/>
      </w:pPr>
      <w:r>
        <w:t xml:space="preserve">Abstract</w:t>
      </w:r>
    </w:p>
    <w:p>
      <w:pPr>
        <w:pStyle w:val="FirstParagraph"/>
      </w:pPr>
      <w:r>
        <w:t xml:space="preserve">When AI tutoring tools harm rather than help learning, the culprit is not the technology itself but how learners judge its capabilities. Bastani et al. (2025) found that unrestricted ChatGPT access reduced exam performance by 17%—not because the AI failed, but because students accepted its outputs uncritically, bypassing the cognitive effort that produces learning. This pattern reflects a calibration failure: students’ trust in AI did not match the AI’s actual reliability.</w:t>
      </w:r>
    </w:p>
    <w:p>
      <w:pPr>
        <w:pStyle w:val="BodyText"/>
      </w:pPr>
      <w:r>
        <w:t xml:space="preserve">Education researchers are deeply familiar with calibration as a concept. In the self-regulated learning (SRL) tradition, calibration refers to the accuracy of learners’ judgments about their own knowledge (Winne &amp; Hadwin, 1998). Trust calibration extends this same logic to a new object: the accuracy of learners’ judgments about an external AI system’s capabilities (Lee &amp; See, 2004). While both involve metacognitive judgment accuracy, they require fundamentally different informational inputs—self-monitoring versus system monitoring—and thus different educational supports.</w:t>
      </w:r>
    </w:p>
    <w:p>
      <w:pPr>
        <w:pStyle w:val="BodyText"/>
      </w:pPr>
      <w:r>
        <w:t xml:space="preserve">This critical review of 97 studies on trust in educational AI (2015–2026) reveals that the field has not yet made this extension. We introduce a 5-domain Research Orientation Typology classifying the literature along a calibration maturity spectrum. The analysis exposes a pronounced calibration gap: 83.5% of studies remain below the calibration threshold; 84.5% provide no explicit trust definition; only 7.2% measure trust empirically; and no study simultaneously measures both learner trust and AI reliability—the minimum requirement for calibration assessment. Meanwhile, 96 studies in the automation field routinely perform such dual measurement (Wischnewski et al., 2023).</w:t>
      </w:r>
    </w:p>
    <w:p>
      <w:pPr>
        <w:pStyle w:val="BodyText"/>
      </w:pPr>
      <w:r>
        <w:t xml:space="preserve">We argue for a paradigm shift from</w:t>
      </w:r>
      <w:r>
        <w:t xml:space="preserve"> </w:t>
      </w:r>
      <w:r>
        <w:t xml:space="preserve">“Do learners trust AI?”</w:t>
      </w:r>
      <w:r>
        <w:t xml:space="preserve"> </w:t>
      </w:r>
      <w:r>
        <w:t xml:space="preserve">to</w:t>
      </w:r>
      <w:r>
        <w:t xml:space="preserve"> </w:t>
      </w:r>
      <w:r>
        <w:t xml:space="preserve">“Is their trust calibrated?”</w:t>
      </w:r>
      <w:r>
        <w:t xml:space="preserve"> </w:t>
      </w:r>
      <w:r>
        <w:t xml:space="preserve">and introduce the Trust–AI Reliability Matrix as a diagnostic tool. The findings underscore that without calibration-oriented measurement and theory, education cannot distinguish warranted trust from dangerous overreliance.</w:t>
      </w:r>
    </w:p>
    <w:p>
      <w:pPr>
        <w:pStyle w:val="BodyText"/>
      </w:pPr>
      <w:r>
        <w:rPr>
          <w:b/>
          <w:bCs/>
        </w:rPr>
        <w:t xml:space="preserve">Keywords:</w:t>
      </w:r>
      <w:r>
        <w:t xml:space="preserve"> </w:t>
      </w:r>
      <w:r>
        <w:t xml:space="preserve">trust calibration, educational AI, critical review, research typology, self-regulated learning, metacognition</w:t>
      </w:r>
    </w:p>
    <w:bookmarkEnd w:id="22"/>
    <w:bookmarkStart w:id="28" w:name="introduction"/>
    <w:p>
      <w:pPr>
        <w:pStyle w:val="Heading2"/>
      </w:pPr>
      <w:r>
        <w:t xml:space="preserve">1. Introduction</w:t>
      </w:r>
    </w:p>
    <w:bookmarkStart w:id="23" w:name="Xbdf4bf9677c778e4d985f9e528c58c307f5a2a8"/>
    <w:p>
      <w:pPr>
        <w:pStyle w:val="Heading3"/>
      </w:pPr>
      <w:r>
        <w:t xml:space="preserve">1.1 The Problem: When Trust in AI Harms Learning</w:t>
      </w:r>
    </w:p>
    <w:p>
      <w:pPr>
        <w:pStyle w:val="FirstParagraph"/>
      </w:pPr>
      <w:r>
        <w:t xml:space="preserve">The promise of artificial intelligence in education rests on a deceptively simple assumption: that giving learners access to capable AI tools will improve learning. A landmark study by Bastani et al. (2025), published in the</w:t>
      </w:r>
      <w:r>
        <w:t xml:space="preserve"> </w:t>
      </w:r>
      <w:r>
        <w:rPr>
          <w:i/>
          <w:iCs/>
        </w:rPr>
        <w:t xml:space="preserve">Proceedings of the National Academy of Sciences</w:t>
      </w:r>
      <w:r>
        <w:t xml:space="preserve">, dismantled this assumption. In a large-scale randomized controlled trial involving nearly a thousand students, unrestricted access to ChatGPT not only failed to improve learning outcomes but actively harmed them: students performed 17% worse on subsequent unassisted assessments. The mechanism was not a failure of AI capability but a failure of trust calibration—students uncritically accepted AI-generated outputs, bypassing the effortful cognitive processing that constitutes genuine learning. When a tutoring-oriented version that withheld direct answers was introduced, the negative effects disappeared.</w:t>
      </w:r>
    </w:p>
    <w:p>
      <w:pPr>
        <w:pStyle w:val="BodyText"/>
      </w:pPr>
      <w:r>
        <w:t xml:space="preserve">This finding underscores a fundamental insight: the educational value of AI depends not on what the technology can do, but on whether learners trust it appropriately. The rapid integration of generative AI into higher education has created a</w:t>
      </w:r>
      <w:r>
        <w:t xml:space="preserve"> </w:t>
      </w:r>
      <w:r>
        <w:rPr>
          <w:i/>
          <w:iCs/>
        </w:rPr>
        <w:t xml:space="preserve">design dilemma of autonomy and oversight</w:t>
      </w:r>
      <w:r>
        <w:t xml:space="preserve">. Granting AI systems broad autonomy risks fostering the uncritical dependence Bastani et al. (2025) documented. Imposing rigid constraints risks undermining the flexibility that makes AI-assisted learning potentially transformative (Kasneci et al., 2023). Navigating this dilemma requires understanding the mechanism that mediates between AI capability and learning outcomes—a mechanism that current research has largely overlooked.</w:t>
      </w:r>
    </w:p>
    <w:p>
      <w:pPr>
        <w:pStyle w:val="BodyText"/>
      </w:pPr>
      <w:r>
        <w:t xml:space="preserve">This is not an isolated finding. Darvishi et al. (2024) documented how AI assistance can undermine student agency when learners defer uncritically to AI-generated feedback. Cotton et al. (2024) chronicled the academic integrity challenges that arise when students accept AI outputs without verification. In medical education, Kıyak et al. (2026) found that even explicit</w:t>
      </w:r>
      <w:r>
        <w:t xml:space="preserve"> </w:t>
      </w:r>
      <w:r>
        <w:t xml:space="preserve">“ChatGPT can make mistakes”</w:t>
      </w:r>
      <w:r>
        <w:t xml:space="preserve"> </w:t>
      </w:r>
      <w:r>
        <w:t xml:space="preserve">warnings failed to reduce overreliance on AI-generated clinical advice in a randomized controlled trial with medical students—a finding with direct implications for patient safety. The warning’s failure to recalibrate trust illustrates a deeper issue: surface-level interventions that acknowledge AI fallibility without providing calibration tools leave the underlying trust miscalibration intact.</w:t>
      </w:r>
    </w:p>
    <w:p>
      <w:pPr>
        <w:pStyle w:val="BodyText"/>
      </w:pPr>
      <w:r>
        <w:t xml:space="preserve">These cases share a common structure. In each, learners interact with AI systems whose reliability varies across tasks and domains, yet their trust in those systems operates as an undifferentiated global attitude rather than a calibrated, domain-specific judgment. The educational AI literature has documented this pattern extensively—but, as the present review demonstrates, it has not yet developed the measurement infrastructure or theoretical frameworks needed to move from documentation to intervention.</w:t>
      </w:r>
    </w:p>
    <w:bookmarkEnd w:id="23"/>
    <w:bookmarkStart w:id="24" w:name="Xe9fb75ae17448a42530d67a3f64e04440e794e7"/>
    <w:p>
      <w:pPr>
        <w:pStyle w:val="Heading3"/>
      </w:pPr>
      <w:r>
        <w:t xml:space="preserve">1.2 The Conceptual Problem: Trust Level Is Not Trust Calibration</w:t>
      </w:r>
    </w:p>
    <w:p>
      <w:pPr>
        <w:pStyle w:val="FirstParagraph"/>
      </w:pPr>
      <w:r>
        <w:t xml:space="preserve">The educational AI literature has grown rapidly, examining learning outcomes (Cotton et al., 2024), learner acceptance (Al-Adwan et al., 2023), and pedagogical integration (Baidoo-Anu &amp; Ansah, 2023; Kasneci et al., 2023). Yet a critical variable remains undertheorized: learner trust. Trust is not merely an affective response but a</w:t>
      </w:r>
      <w:r>
        <w:t xml:space="preserve"> </w:t>
      </w:r>
      <w:r>
        <w:rPr>
          <w:i/>
          <w:iCs/>
        </w:rPr>
        <w:t xml:space="preserve">calibration problem</w:t>
      </w:r>
      <w:r>
        <w:t xml:space="preserve">. Trust calibration refers to the correspondence between a person’s trust in a system and the system’s actual capabilities (Lee &amp; See, 2004). Education researchers are well acquainted with calibration through the self-regulated learning tradition, where it denotes the accuracy of learners’ judgments about their own knowledge and performance (Winne &amp; Hadwin, 1998; Stone, 2000). Trust calibration extends this same logic from self to system: it captures whether a learner’s trust in AI corresponds to the AI’s actual capabilities. While both forms of calibration involve metacognitive judgment accuracy, they require fundamentally different informational inputs—self-monitoring versus system monitoring—and thus different educational supports. Overtrust—where perceived capability exceeds actual capability—leads to uncritical acceptance and cognitive offloading (Risko &amp; Gilbert, 2016; Sparrow et al., 2011). Undertrust leads to rejection of beneficial AI assistance (Parasuraman &amp; Riley, 1997).</w:t>
      </w:r>
    </w:p>
    <w:p>
      <w:pPr>
        <w:pStyle w:val="BodyText"/>
      </w:pPr>
      <w:r>
        <w:t xml:space="preserve">This distinction matters because current research overwhelmingly treats trust as a quantity to be maximized. Technology acceptance models (Davis, 1989; Venkatesh et al., 2003) position trust as a predictor of adoption—higher trust predicts greater use. But the Bastani et al. (2025) finding demonstrates precisely the problem with this logic: students who trusted ChatGPT more used it more, and learned less. The issue was not too little trust but</w:t>
      </w:r>
      <w:r>
        <w:t xml:space="preserve"> </w:t>
      </w:r>
      <w:r>
        <w:rPr>
          <w:i/>
          <w:iCs/>
        </w:rPr>
        <w:t xml:space="preserve">miscalibrated</w:t>
      </w:r>
      <w:r>
        <w:t xml:space="preserve"> </w:t>
      </w:r>
      <w:r>
        <w:t xml:space="preserve">trust—trust that did not correspond to the AI’s actual pedagogical value for the given task.</w:t>
      </w:r>
    </w:p>
    <w:p>
      <w:pPr>
        <w:pStyle w:val="BodyText"/>
      </w:pPr>
      <w:r>
        <w:t xml:space="preserve">The calibration concept introduces a crucial nuance absent from current discourse. A student who reports high trust in ChatGPT for summarizing well-documented historical events may be well-calibrated—the AI is indeed reliable for that task. The same student reporting identical trust for ChatGPT’s ability to solve novel mathematical proofs is dangerously miscalibrated, because the AI’s reliability for mathematical reasoning is substantially lower. Trust level is identical; calibration differs entirely. Without measuring both trust</w:t>
      </w:r>
      <w:r>
        <w:t xml:space="preserve"> </w:t>
      </w:r>
      <w:r>
        <w:rPr>
          <w:i/>
          <w:iCs/>
        </w:rPr>
        <w:t xml:space="preserve">and</w:t>
      </w:r>
      <w:r>
        <w:t xml:space="preserve"> </w:t>
      </w:r>
      <w:r>
        <w:t xml:space="preserve">the reliability baseline against which trust should be evaluated, the field cannot distinguish these states.</w:t>
      </w:r>
    </w:p>
    <w:bookmarkEnd w:id="24"/>
    <w:bookmarkStart w:id="25" w:name="existing-research-limitations"/>
    <w:p>
      <w:pPr>
        <w:pStyle w:val="Heading3"/>
      </w:pPr>
      <w:r>
        <w:t xml:space="preserve">1.3 Existing Research Limitations</w:t>
      </w:r>
    </w:p>
    <w:p>
      <w:pPr>
        <w:pStyle w:val="FirstParagraph"/>
      </w:pPr>
      <w:r>
        <w:t xml:space="preserve">Despite the centrality of trust calibration, existing frameworks do not adequately address it. Technology acceptance models (Davis, 1989; Venkatesh et al., 2003) treat trust as a predictor of adoption, structurally unable to accommodate the possibility that adoption itself may be harmful when trust is miscalibrated. Self-regulated learning frameworks (Zimmerman, 2000; Winne &amp; Hadwin, 1998) address calibration of self-judgments but not calibration of judgments about external AI systems. The trust-in-automation tradition (Lee &amp; See, 2004; Hoff &amp; Bashir, 2015) explicitly models calibration but has not been systematically translated to educational contexts where the user’s cognitive development is itself at stake.</w:t>
      </w:r>
    </w:p>
    <w:p>
      <w:pPr>
        <w:pStyle w:val="BodyText"/>
      </w:pPr>
      <w:r>
        <w:t xml:space="preserve">The result is a field that has produced extensive research on trust in educational AI without the conceptual or measurement infrastructure to assess whether that trust is warranted. Recent work has begun to bridge this gap—Pandey et al. (2025) examined epistemic trust in generative AI, and Lee et al. (2025) identified metacognitive sensitivity as a mechanism for trust calibration—but these contributions remain isolated rather than paradigmatic.</w:t>
      </w:r>
    </w:p>
    <w:p>
      <w:pPr>
        <w:pStyle w:val="BodyText"/>
      </w:pPr>
      <w:r>
        <w:t xml:space="preserve">What is missing is not individual studies but a systematic accounting of where the field stands and what it overlooks: a diagnostic that can guide the transition from trust-level to trust-calibration research. The present paper provides this diagnostic by mapping the entire trust-in-educational-AI corpus onto a calibration maturity spectrum, identifying precisely where the field concentrates its attention and where critical blind spots persist.</w:t>
      </w:r>
    </w:p>
    <w:bookmarkEnd w:id="25"/>
    <w:bookmarkStart w:id="26" w:name="contributions"/>
    <w:p>
      <w:pPr>
        <w:pStyle w:val="Heading3"/>
      </w:pPr>
      <w:r>
        <w:t xml:space="preserve">1.4 Contributions</w:t>
      </w:r>
    </w:p>
    <w:p>
      <w:pPr>
        <w:pStyle w:val="FirstParagraph"/>
      </w:pPr>
      <w:r>
        <w:t xml:space="preserve">This paper addresses this gap through two contributions:</w:t>
      </w:r>
    </w:p>
    <w:p>
      <w:pPr>
        <w:numPr>
          <w:ilvl w:val="0"/>
          <w:numId w:val="1001"/>
        </w:numPr>
      </w:pPr>
      <w:r>
        <w:rPr>
          <w:b/>
          <w:bCs/>
        </w:rPr>
        <w:t xml:space="preserve">A 5-domain Research Orientation Typology</w:t>
      </w:r>
      <w:r>
        <w:t xml:space="preserve"> </w:t>
      </w:r>
      <w:r>
        <w:t xml:space="preserve">that classifies 97 coded papers along a trust calibration maturity spectrum (D1–D5), revealing where the field concentrates its attention and where critical blind spots persist. This typology provides a diagnostic framework for the</w:t>
      </w:r>
      <w:r>
        <w:t xml:space="preserve"> </w:t>
      </w:r>
      <w:r>
        <w:rPr>
          <w:i/>
          <w:iCs/>
        </w:rPr>
        <w:t xml:space="preserve">calibration gap</w:t>
      </w:r>
      <w:r>
        <w:t xml:space="preserve">—the finding that 83.5% of research operates below the calibration threshold.</w:t>
      </w:r>
    </w:p>
    <w:p>
      <w:pPr>
        <w:numPr>
          <w:ilvl w:val="0"/>
          <w:numId w:val="1001"/>
        </w:numPr>
      </w:pPr>
      <w:r>
        <w:rPr>
          <w:b/>
          <w:bCs/>
        </w:rPr>
        <w:t xml:space="preserve">A paradigm shift argument</w:t>
      </w:r>
      <w:r>
        <w:t xml:space="preserve"> </w:t>
      </w:r>
      <w:r>
        <w:t xml:space="preserve">from trust-level to trust-calibration research, grounded in the empirical evidence of the calibration gap and operationalized through the Trust–AI Reliability Matrix, a diagnostic tool for assessing the alignment between learner trust and AI reliability.</w:t>
      </w:r>
    </w:p>
    <w:p>
      <w:pPr>
        <w:pStyle w:val="FirstParagraph"/>
      </w:pPr>
      <w:r>
        <w:t xml:space="preserve">Together, these contributions move beyond the conventional approach of cataloging what is known about trust in educational AI. Instead, they provide a structural diagnosis of what the field</w:t>
      </w:r>
      <w:r>
        <w:t xml:space="preserve"> </w:t>
      </w:r>
      <w:r>
        <w:rPr>
          <w:i/>
          <w:iCs/>
        </w:rPr>
        <w:t xml:space="preserve">cannot currently see</w:t>
      </w:r>
      <w:r>
        <w:t xml:space="preserve">—and a framework for redirecting attention toward the questions that matter most for learner outcomes.</w:t>
      </w:r>
    </w:p>
    <w:bookmarkEnd w:id="26"/>
    <w:bookmarkStart w:id="27" w:name="research-questions"/>
    <w:p>
      <w:pPr>
        <w:pStyle w:val="Heading3"/>
      </w:pPr>
      <w:r>
        <w:t xml:space="preserve">1.5 Research Questions</w:t>
      </w:r>
    </w:p>
    <w:p>
      <w:pPr>
        <w:pStyle w:val="FirstParagraph"/>
      </w:pPr>
      <w:r>
        <w:t xml:space="preserve">Three research questions guide this inquiry:</w:t>
      </w:r>
    </w:p>
    <w:p>
      <w:pPr>
        <w:pStyle w:val="Compact"/>
        <w:numPr>
          <w:ilvl w:val="0"/>
          <w:numId w:val="1002"/>
        </w:numPr>
      </w:pPr>
      <w:r>
        <w:rPr>
          <w:b/>
          <w:bCs/>
        </w:rPr>
        <w:t xml:space="preserve">RQ1:</w:t>
      </w:r>
      <w:r>
        <w:t xml:space="preserve"> </w:t>
      </w:r>
      <w:r>
        <w:t xml:space="preserve">How does existing research approach trust in educational AI, and what research orientations characterize the field?</w:t>
      </w:r>
    </w:p>
    <w:p>
      <w:pPr>
        <w:pStyle w:val="Compact"/>
        <w:numPr>
          <w:ilvl w:val="0"/>
          <w:numId w:val="1002"/>
        </w:numPr>
      </w:pPr>
      <w:r>
        <w:rPr>
          <w:b/>
          <w:bCs/>
        </w:rPr>
        <w:t xml:space="preserve">RQ2:</w:t>
      </w:r>
      <w:r>
        <w:t xml:space="preserve"> </w:t>
      </w:r>
      <w:r>
        <w:t xml:space="preserve">To what extent does current research address trust calibration, and where does a calibration gap persist?</w:t>
      </w:r>
    </w:p>
    <w:p>
      <w:pPr>
        <w:pStyle w:val="Compact"/>
        <w:numPr>
          <w:ilvl w:val="0"/>
          <w:numId w:val="1002"/>
        </w:numPr>
      </w:pPr>
      <w:r>
        <w:rPr>
          <w:b/>
          <w:bCs/>
        </w:rPr>
        <w:t xml:space="preserve">RQ3:</w:t>
      </w:r>
      <w:r>
        <w:t xml:space="preserve"> </w:t>
      </w:r>
      <w:r>
        <w:t xml:space="preserve">What theoretical and methodological reframing is needed to advance trust calibration research in educational AI?</w:t>
      </w:r>
    </w:p>
    <w:p>
      <w:pPr>
        <w:pStyle w:val="FirstParagraph"/>
      </w:pPr>
      <w:r>
        <w:t xml:space="preserve">RQ1 motivates the Research Orientation Typology; RQ2 drives the calibration gap diagnosis; RQ3 grounds the paradigm shift argument and research agenda.</w:t>
      </w:r>
    </w:p>
    <w:bookmarkEnd w:id="27"/>
    <w:bookmarkEnd w:id="28"/>
    <w:bookmarkStart w:id="32" w:name="conceptual-foundation"/>
    <w:p>
      <w:pPr>
        <w:pStyle w:val="Heading2"/>
      </w:pPr>
      <w:r>
        <w:t xml:space="preserve">2. Conceptual Foundation</w:t>
      </w:r>
    </w:p>
    <w:bookmarkStart w:id="29" w:name="X2f45fc9cc512d6cb28cb59e84abcb054776311d"/>
    <w:p>
      <w:pPr>
        <w:pStyle w:val="Heading3"/>
      </w:pPr>
      <w:r>
        <w:t xml:space="preserve">2.1 Calibration in Education: The Self-Regulated Learning Foundation</w:t>
      </w:r>
    </w:p>
    <w:p>
      <w:pPr>
        <w:pStyle w:val="FirstParagraph"/>
      </w:pPr>
      <w:r>
        <w:t xml:space="preserve">Education researchers have a long and productive relationship with calibration. In the self-regulated learning (SRL) tradition, calibration refers to the accuracy of learners’ judgments about their own knowledge and performance (Winne &amp; Hadwin, 1998; Stone, 2000). A well-calibrated learner accurately assesses what she knows and does not know, enabling adaptive study strategies. A poorly calibrated learner—one who believes she has mastered material she has not—allocates study time inefficiently, skipping review of unlearned content (Dunlosky &amp; Rawson, 2012).</w:t>
      </w:r>
    </w:p>
    <w:p>
      <w:pPr>
        <w:pStyle w:val="BodyText"/>
      </w:pPr>
      <w:r>
        <w:t xml:space="preserve">Decades of research have established SRL calibration as a powerful predictor of academic achievement, with metacognitive monitoring as the operative mechanism (Nelson &amp; Narens, 1990; Pieschl, 2009). Stone (2000) identified key principles that remain instructive: calibration is most meaningfully measured at the item level rather than through global self-assessments, and it exhibits a characteristic hard-easy effect in which learners are overconfident on difficult items and underconfident on easy ones. These insights shaped a mature research program with validated instruments, intervention designs, and longitudinal evidence (Greene &amp; Azevedo, 2007; Panadero, 2017).</w:t>
      </w:r>
    </w:p>
    <w:p>
      <w:pPr>
        <w:pStyle w:val="BodyText"/>
      </w:pPr>
      <w:r>
        <w:t xml:space="preserve">The calibration concept rests on a straightforward measurement logic: compare a subjective judgment (predicted performance) against an objective criterion (actual performance), and quantify the discrepancy. When the discrepancy is small, the learner is well-calibrated; when large, the learner is miscalibrated—either overconfident or underconfident. This measurement logic—judgment versus reality—is the conceptual DNA that the present paper extends to a new domain.</w:t>
      </w:r>
    </w:p>
    <w:bookmarkEnd w:id="29"/>
    <w:bookmarkStart w:id="30" w:name="X105706e0a26875850add6fe29c383b3e5c129ed"/>
    <w:p>
      <w:pPr>
        <w:pStyle w:val="Heading3"/>
      </w:pPr>
      <w:r>
        <w:t xml:space="preserve">2.2 From Self to System: Trust Calibration in the AI Era</w:t>
      </w:r>
    </w:p>
    <w:p>
      <w:pPr>
        <w:pStyle w:val="FirstParagraph"/>
      </w:pPr>
      <w:r>
        <w:t xml:space="preserve">Table X summarizes the structural parallel—and the critical divergence—between SRL calibration and trust calibration.</w:t>
      </w:r>
    </w:p>
    <w:p>
      <w:pPr>
        <w:pStyle w:val="BodyText"/>
      </w:pPr>
      <w:r>
        <w:rPr>
          <w:b/>
          <w:bCs/>
        </w:rPr>
        <w:t xml:space="preserve">Table X.</w:t>
      </w:r>
      <w:r>
        <w:t xml:space="preserve"> </w:t>
      </w:r>
      <w:r>
        <w:rPr>
          <w:i/>
          <w:iCs/>
        </w:rPr>
        <w:t xml:space="preserve">SRL Calibration Versus Trust Calibration: Shared Architecture, Different Objects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SRL Calibration</w:t>
            </w:r>
          </w:p>
        </w:tc>
        <w:tc>
          <w:tcPr/>
          <w:p>
            <w:pPr>
              <w:pStyle w:val="Compact"/>
            </w:pPr>
            <w:r>
              <w:t xml:space="preserve">Trust Calibration</w:t>
            </w:r>
          </w:p>
        </w:tc>
      </w:tr>
      <w:tr>
        <w:tc>
          <w:tcPr/>
          <w:p>
            <w:pPr>
              <w:pStyle w:val="Compact"/>
            </w:pPr>
            <w:r>
              <w:rPr>
                <w:b/>
                <w:bCs/>
              </w:rPr>
              <w:t xml:space="preserve">Object of judgment</w:t>
            </w:r>
          </w:p>
        </w:tc>
        <w:tc>
          <w:tcPr/>
          <w:p>
            <w:pPr>
              <w:pStyle w:val="Compact"/>
            </w:pPr>
            <w:r>
              <w:t xml:space="preserve">Own knowledge and abilities</w:t>
            </w:r>
          </w:p>
        </w:tc>
        <w:tc>
          <w:tcPr/>
          <w:p>
            <w:pPr>
              <w:pStyle w:val="Compact"/>
            </w:pPr>
            <w:r>
              <w:t xml:space="preserve">AI system’s capabilities and reliability</w:t>
            </w:r>
          </w:p>
        </w:tc>
      </w:tr>
      <w:tr>
        <w:tc>
          <w:tcPr/>
          <w:p>
            <w:pPr>
              <w:pStyle w:val="Compact"/>
            </w:pPr>
            <w:r>
              <w:rPr>
                <w:b/>
                <w:bCs/>
              </w:rPr>
              <w:t xml:space="preserve">Locus of uncertainty</w:t>
            </w:r>
          </w:p>
        </w:tc>
        <w:tc>
          <w:tcPr/>
          <w:p>
            <w:pPr>
              <w:pStyle w:val="Compact"/>
            </w:pPr>
            <w:r>
              <w:t xml:space="preserve">Self (internal)</w:t>
            </w:r>
          </w:p>
        </w:tc>
        <w:tc>
          <w:tcPr/>
          <w:p>
            <w:pPr>
              <w:pStyle w:val="Compact"/>
            </w:pPr>
            <w:r>
              <w:t xml:space="preserve">External system</w:t>
            </w:r>
          </w:p>
        </w:tc>
      </w:tr>
      <w:tr>
        <w:tc>
          <w:tcPr/>
          <w:p>
            <w:pPr>
              <w:pStyle w:val="Compact"/>
            </w:pPr>
            <w:r>
              <w:rPr>
                <w:b/>
                <w:bCs/>
              </w:rPr>
              <w:t xml:space="preserve">Core question</w:t>
            </w:r>
          </w:p>
        </w:tc>
        <w:tc>
          <w:tcPr/>
          <w:p>
            <w:pPr>
              <w:pStyle w:val="Compact"/>
            </w:pPr>
            <w:r>
              <w:t xml:space="preserve">“Do I know this?”</w:t>
            </w:r>
          </w:p>
        </w:tc>
        <w:tc>
          <w:tcPr/>
          <w:p>
            <w:pPr>
              <w:pStyle w:val="Compact"/>
            </w:pPr>
            <w:r>
              <w:t xml:space="preserve">“Can this AI do this?”</w:t>
            </w:r>
          </w:p>
        </w:tc>
      </w:tr>
      <w:tr>
        <w:tc>
          <w:tcPr/>
          <w:p>
            <w:pPr>
              <w:pStyle w:val="Compact"/>
            </w:pPr>
            <w:r>
              <w:rPr>
                <w:b/>
                <w:bCs/>
              </w:rPr>
              <w:t xml:space="preserve">Measurement formula</w:t>
            </w:r>
          </w:p>
        </w:tc>
        <w:tc>
          <w:tcPr/>
          <w:p>
            <w:pPr>
              <w:pStyle w:val="Compact"/>
            </w:pPr>
            <w:r>
              <w:t xml:space="preserve">|Self-predicted performance − Actual performance|</w:t>
            </w:r>
          </w:p>
        </w:tc>
        <w:tc>
          <w:tcPr/>
          <w:p>
            <w:pPr>
              <w:pStyle w:val="Compact"/>
            </w:pPr>
            <w:r>
              <w:t xml:space="preserve">|Trust in AI − AI actual reliability|</w:t>
            </w:r>
          </w:p>
        </w:tc>
      </w:tr>
      <w:tr>
        <w:tc>
          <w:tcPr/>
          <w:p>
            <w:pPr>
              <w:pStyle w:val="Compact"/>
            </w:pPr>
            <w:r>
              <w:rPr>
                <w:b/>
                <w:bCs/>
              </w:rPr>
              <w:t xml:space="preserve">Overestimation</w:t>
            </w:r>
          </w:p>
        </w:tc>
        <w:tc>
          <w:tcPr/>
          <w:p>
            <w:pPr>
              <w:pStyle w:val="Compact"/>
            </w:pPr>
            <w:r>
              <w:t xml:space="preserve">“I know this”</w:t>
            </w:r>
            <w:r>
              <w:t xml:space="preserve"> </w:t>
            </w:r>
            <w:r>
              <w:t xml:space="preserve">(actually does not)</w:t>
            </w:r>
          </w:p>
        </w:tc>
        <w:tc>
          <w:tcPr/>
          <w:p>
            <w:pPr>
              <w:pStyle w:val="Compact"/>
            </w:pPr>
            <w:r>
              <w:t xml:space="preserve">“The AI is right”</w:t>
            </w:r>
            <w:r>
              <w:t xml:space="preserve"> </w:t>
            </w:r>
            <w:r>
              <w:t xml:space="preserve">(actually wrong)</w:t>
            </w:r>
          </w:p>
        </w:tc>
      </w:tr>
      <w:tr>
        <w:tc>
          <w:tcPr/>
          <w:p>
            <w:pPr>
              <w:pStyle w:val="Compact"/>
            </w:pPr>
            <w:r>
              <w:rPr>
                <w:b/>
                <w:bCs/>
              </w:rPr>
              <w:t xml:space="preserve">Underestimation</w:t>
            </w:r>
          </w:p>
        </w:tc>
        <w:tc>
          <w:tcPr/>
          <w:p>
            <w:pPr>
              <w:pStyle w:val="Compact"/>
            </w:pPr>
            <w:r>
              <w:t xml:space="preserve">“I don’t know this”</w:t>
            </w:r>
            <w:r>
              <w:t xml:space="preserve"> </w:t>
            </w:r>
            <w:r>
              <w:t xml:space="preserve">(actually does)</w:t>
            </w:r>
          </w:p>
        </w:tc>
        <w:tc>
          <w:tcPr/>
          <w:p>
            <w:pPr>
              <w:pStyle w:val="Compact"/>
            </w:pPr>
            <w:r>
              <w:t xml:space="preserve">“The AI can’t do this”</w:t>
            </w:r>
            <w:r>
              <w:t xml:space="preserve"> </w:t>
            </w:r>
            <w:r>
              <w:t xml:space="preserve">(actually can)</w:t>
            </w:r>
          </w:p>
        </w:tc>
      </w:tr>
      <w:tr>
        <w:tc>
          <w:tcPr/>
          <w:p>
            <w:pPr>
              <w:pStyle w:val="Compact"/>
            </w:pPr>
            <w:r>
              <w:rPr>
                <w:b/>
                <w:bCs/>
              </w:rPr>
              <w:t xml:space="preserve">Improvement mechanism</w:t>
            </w:r>
          </w:p>
        </w:tc>
        <w:tc>
          <w:tcPr/>
          <w:p>
            <w:pPr>
              <w:pStyle w:val="Compact"/>
            </w:pPr>
            <w:r>
              <w:t xml:space="preserve">Self-assessment, reflective journals, metacognitive training</w:t>
            </w:r>
          </w:p>
        </w:tc>
        <w:tc>
          <w:tcPr/>
          <w:p>
            <w:pPr>
              <w:pStyle w:val="Compact"/>
            </w:pPr>
            <w:r>
              <w:t xml:space="preserve">AI literacy, domain-specific verification, error pattern learning</w:t>
            </w:r>
          </w:p>
        </w:tc>
      </w:tr>
      <w:tr>
        <w:tc>
          <w:tcPr/>
          <w:p>
            <w:pPr>
              <w:pStyle w:val="Compact"/>
            </w:pPr>
            <w:r>
              <w:rPr>
                <w:b/>
                <w:bCs/>
              </w:rPr>
              <w:t xml:space="preserve">Research maturity</w:t>
            </w:r>
          </w:p>
        </w:tc>
        <w:tc>
          <w:tcPr/>
          <w:p>
            <w:pPr>
              <w:pStyle w:val="Compact"/>
            </w:pPr>
            <w:r>
              <w:t xml:space="preserve">Mature (30+ years, hundreds of empirical studies)</w:t>
            </w:r>
          </w:p>
        </w:tc>
        <w:tc>
          <w:tcPr/>
          <w:p>
            <w:pPr>
              <w:pStyle w:val="Compact"/>
            </w:pPr>
            <w:r>
              <w:t xml:space="preserve">Pre-paradigmatic (near-zero in educational contexts)</w:t>
            </w:r>
          </w:p>
        </w:tc>
      </w:tr>
      <w:tr>
        <w:tc>
          <w:tcPr/>
          <w:p>
            <w:pPr>
              <w:pStyle w:val="Compact"/>
            </w:pPr>
            <w:r>
              <w:rPr>
                <w:b/>
                <w:bCs/>
              </w:rPr>
              <w:t xml:space="preserve">Key theorists</w:t>
            </w:r>
          </w:p>
        </w:tc>
        <w:tc>
          <w:tcPr/>
          <w:p>
            <w:pPr>
              <w:pStyle w:val="Compact"/>
            </w:pPr>
            <w:r>
              <w:t xml:space="preserve">Winne &amp; Hadwin (1998); Nelson &amp; Narens (1990); Stone (2000)</w:t>
            </w:r>
          </w:p>
        </w:tc>
        <w:tc>
          <w:tcPr/>
          <w:p>
            <w:pPr>
              <w:pStyle w:val="Compact"/>
            </w:pPr>
            <w:r>
              <w:t xml:space="preserve">Lee &amp; See (2004); Hoff &amp; Bashir (2015)</w:t>
            </w:r>
          </w:p>
        </w:tc>
      </w:tr>
    </w:tbl>
    <w:p>
      <w:pPr>
        <w:pStyle w:val="BodyText"/>
      </w:pPr>
      <w:r>
        <w:t xml:space="preserve">The same calibration logic applies when the object of judgment shifts from self to an external AI system. Lee and See (2004) defined trust as</w:t>
      </w:r>
      <w:r>
        <w:t xml:space="preserve"> </w:t>
      </w:r>
      <w:r>
        <w:t xml:space="preserve">“the attitude that an agent will help achieve an individual’s goals in a situation characterized by uncertainty and vulnerability”</w:t>
      </w:r>
      <w:r>
        <w:t xml:space="preserve"> </w:t>
      </w:r>
      <w:r>
        <w:t xml:space="preserve">(p. 54). Critically, they distinguished trust</w:t>
      </w:r>
      <w:r>
        <w:t xml:space="preserve"> </w:t>
      </w:r>
      <w:r>
        <w:rPr>
          <w:i/>
          <w:iCs/>
        </w:rPr>
        <w:t xml:space="preserve">level</w:t>
      </w:r>
      <w:r>
        <w:t xml:space="preserve"> </w:t>
      </w:r>
      <w:r>
        <w:t xml:space="preserve">from trust</w:t>
      </w:r>
      <w:r>
        <w:t xml:space="preserve"> </w:t>
      </w:r>
      <w:r>
        <w:rPr>
          <w:i/>
          <w:iCs/>
        </w:rPr>
        <w:t xml:space="preserve">calibration</w:t>
      </w:r>
      <w:r>
        <w:t xml:space="preserve">: the former captures how much a person trusts a system; the latter captures whether that trust corresponds to the system’s actual reliability. Where SRL calibration asks,</w:t>
      </w:r>
      <w:r>
        <w:t xml:space="preserve"> </w:t>
      </w:r>
      <w:r>
        <w:t xml:space="preserve">“How accurately do I judge my own capabilities?”</w:t>
      </w:r>
      <w:r>
        <w:t xml:space="preserve">, trust calibration asks,</w:t>
      </w:r>
      <w:r>
        <w:t xml:space="preserve"> </w:t>
      </w:r>
      <w:r>
        <w:t xml:space="preserve">“How accurately do I judge the AI system’s capabilities?”</w:t>
      </w:r>
      <w:r>
        <w:t xml:space="preserve"> </w:t>
      </w:r>
      <w:r>
        <w:t xml:space="preserve">The measurement logic is identical—compare a subjective judgment against an objective criterion—but the shift from</w:t>
      </w:r>
      <w:r>
        <w:t xml:space="preserve"> </w:t>
      </w:r>
      <w:r>
        <w:rPr>
          <w:i/>
          <w:iCs/>
        </w:rPr>
        <w:t xml:space="preserve">self</w:t>
      </w:r>
      <w:r>
        <w:t xml:space="preserve"> </w:t>
      </w:r>
      <w:r>
        <w:t xml:space="preserve">to</w:t>
      </w:r>
      <w:r>
        <w:t xml:space="preserve"> </w:t>
      </w:r>
      <w:r>
        <w:rPr>
          <w:i/>
          <w:iCs/>
        </w:rPr>
        <w:t xml:space="preserve">external system</w:t>
      </w:r>
      <w:r>
        <w:t xml:space="preserve"> </w:t>
      </w:r>
      <w:r>
        <w:t xml:space="preserve">has profound implications.</w:t>
      </w:r>
    </w:p>
    <w:p>
      <w:pPr>
        <w:pStyle w:val="BodyText"/>
      </w:pPr>
      <w:r>
        <w:t xml:space="preserve">The</w:t>
      </w:r>
      <w:r>
        <w:t xml:space="preserve"> </w:t>
      </w:r>
      <w:r>
        <w:rPr>
          <w:i/>
          <w:iCs/>
        </w:rPr>
        <w:t xml:space="preserve">locus of uncertainty</w:t>
      </w:r>
      <w:r>
        <w:t xml:space="preserve"> </w:t>
      </w:r>
      <w:r>
        <w:t xml:space="preserve">changes fundamentally. SRL calibration improves through metacognitive training that enhances self-monitoring (Schraw, 1998)—learners can, in principle, access information about their own knowledge states through introspection. Trust calibration requires knowledge of the AI system’s reliability profile—its strengths, limitations, and failure modes—a form of</w:t>
      </w:r>
      <w:r>
        <w:t xml:space="preserve"> </w:t>
      </w:r>
      <w:r>
        <w:rPr>
          <w:i/>
          <w:iCs/>
        </w:rPr>
        <w:t xml:space="preserve">AI literacy</w:t>
      </w:r>
      <w:r>
        <w:t xml:space="preserve"> </w:t>
      </w:r>
      <w:r>
        <w:t xml:space="preserve">(Long &amp; Magerko, 2020) that goes beyond general self-regulation. The distinction is not merely semantic. Consider a student who accurately recognizes that she struggles with integral calculus (high SRL calibration). When she turns to ChatGPT, however, she may grossly overestimate the AI’s mathematical reasoning accuracy, accepting a subtly incorrect solution without verification (low trust calibration). Her SRL calibration does not protect her from trust miscalibration because the two involve different objects of judgment and different informational requirements. Existing SRL frameworks (Zimmerman, 2000; Winne &amp; Hadwin, 1998; Panadero, 2017) address the first type of calibration; the second—trust calibration in AI-mediated learning—remains largely unaddressed.</w:t>
      </w:r>
    </w:p>
    <w:p>
      <w:pPr>
        <w:pStyle w:val="BodyText"/>
      </w:pPr>
      <w:r>
        <w:t xml:space="preserve">Trust calibration fails in two modes.</w:t>
      </w:r>
      <w:r>
        <w:t xml:space="preserve"> </w:t>
      </w:r>
      <w:r>
        <w:rPr>
          <w:i/>
          <w:iCs/>
        </w:rPr>
        <w:t xml:space="preserve">Overtrust</w:t>
      </w:r>
      <w:r>
        <w:t xml:space="preserve"> </w:t>
      </w:r>
      <w:r>
        <w:t xml:space="preserve">occurs when trust exceeds the system’s actual reliability, resulting in uncritical acceptance. In educational contexts, overtrust manifests as</w:t>
      </w:r>
      <w:r>
        <w:t xml:space="preserve"> </w:t>
      </w:r>
      <w:r>
        <w:rPr>
          <w:i/>
          <w:iCs/>
        </w:rPr>
        <w:t xml:space="preserve">automation complacency</w:t>
      </w:r>
      <w:r>
        <w:t xml:space="preserve"> </w:t>
      </w:r>
      <w:r>
        <w:t xml:space="preserve">(Parasuraman &amp; Manzey, 2010) and</w:t>
      </w:r>
      <w:r>
        <w:t xml:space="preserve"> </w:t>
      </w:r>
      <w:r>
        <w:rPr>
          <w:i/>
          <w:iCs/>
        </w:rPr>
        <w:t xml:space="preserve">cognitive offloading</w:t>
      </w:r>
      <w:r>
        <w:t xml:space="preserve"> </w:t>
      </w:r>
      <w:r>
        <w:t xml:space="preserve">(Risko &amp; Gilbert, 2016)—learners delegate not just task execution but the cognitive effort that produces learning. This is particularly insidious with large language models, whose fluent outputs mask variable reliability across domains (Ji et al., 2023). Bastani et al. (2025) documented precisely this mechanism: students bypassed productive struggle by accepting AI-generated solutions.</w:t>
      </w:r>
      <w:r>
        <w:t xml:space="preserve"> </w:t>
      </w:r>
      <w:r>
        <w:rPr>
          <w:i/>
          <w:iCs/>
        </w:rPr>
        <w:t xml:space="preserve">Undertrust</w:t>
      </w:r>
      <w:r>
        <w:t xml:space="preserve"> </w:t>
      </w:r>
      <w:r>
        <w:t xml:space="preserve">occurs when trust falls below the system’s actual capability, causing learners to reject beneficial AI assistance and forgo scaffolded learning opportunities (Parasuraman &amp; Riley, 1997).</w:t>
      </w:r>
    </w:p>
    <w:p>
      <w:pPr>
        <w:pStyle w:val="BodyText"/>
      </w:pPr>
      <w:r>
        <w:t xml:space="preserve">Hoff and Bashir (2015) extended this foundation with a three-layer model distinguishing</w:t>
      </w:r>
      <w:r>
        <w:t xml:space="preserve"> </w:t>
      </w:r>
      <w:r>
        <w:rPr>
          <w:i/>
          <w:iCs/>
        </w:rPr>
        <w:t xml:space="preserve">dispositional trust</w:t>
      </w:r>
      <w:r>
        <w:t xml:space="preserve"> </w:t>
      </w:r>
      <w:r>
        <w:t xml:space="preserve">(stable personality-level tendencies shaped by age, culture, and experience),</w:t>
      </w:r>
      <w:r>
        <w:t xml:space="preserve"> </w:t>
      </w:r>
      <w:r>
        <w:rPr>
          <w:i/>
          <w:iCs/>
        </w:rPr>
        <w:t xml:space="preserve">situational trust</w:t>
      </w:r>
      <w:r>
        <w:t xml:space="preserve"> </w:t>
      </w:r>
      <w:r>
        <w:t xml:space="preserve">(context-dependent, influenced by task environment and perceived risk), and</w:t>
      </w:r>
      <w:r>
        <w:t xml:space="preserve"> </w:t>
      </w:r>
      <w:r>
        <w:rPr>
          <w:i/>
          <w:iCs/>
        </w:rPr>
        <w:t xml:space="preserve">learned trust</w:t>
      </w:r>
      <w:r>
        <w:t xml:space="preserve"> </w:t>
      </w:r>
      <w:r>
        <w:t xml:space="preserve">(accumulated through direct experience with a specific system). This temporal layering is particularly important in education, where trust evolves across an entire semester rather than during a single encounter. A student’s dispositional trust may lead to initial openness to AI tools, but learned trust—the layer most amenable to educational intervention—should differentiate based on accumulating evidence of the system’s domain-specific reliability. When learned trust fails to update appropriately in response to reliability evidence, miscalibration persists. Mayer et al. (1995) proposed the Ability-Benevolence-Integrity (ABI) model, increasingly applied to human-technology interaction (Lankton et al., 2015). In educational AI,</w:t>
      </w:r>
      <w:r>
        <w:t xml:space="preserve"> </w:t>
      </w:r>
      <w:r>
        <w:rPr>
          <w:i/>
          <w:iCs/>
        </w:rPr>
        <w:t xml:space="preserve">ability</w:t>
      </w:r>
      <w:r>
        <w:t xml:space="preserve"> </w:t>
      </w:r>
      <w:r>
        <w:t xml:space="preserve">maps to domain-specific accuracy,</w:t>
      </w:r>
      <w:r>
        <w:t xml:space="preserve"> </w:t>
      </w:r>
      <w:r>
        <w:rPr>
          <w:i/>
          <w:iCs/>
        </w:rPr>
        <w:t xml:space="preserve">benevolence</w:t>
      </w:r>
      <w:r>
        <w:t xml:space="preserve"> </w:t>
      </w:r>
      <w:r>
        <w:t xml:space="preserve">to the perception that the AI supports learning rather than replacing learner effort, and</w:t>
      </w:r>
      <w:r>
        <w:t xml:space="preserve"> </w:t>
      </w:r>
      <w:r>
        <w:rPr>
          <w:i/>
          <w:iCs/>
        </w:rPr>
        <w:t xml:space="preserve">integrity</w:t>
      </w:r>
      <w:r>
        <w:t xml:space="preserve"> </w:t>
      </w:r>
      <w:r>
        <w:t xml:space="preserve">to consistency and adherence to educational norms. De Visser et al. (2020) further contributed the concept of trust repair through calibration cues—system-initiated reliability signals that can restore appropriate trust levels after violations.</w:t>
      </w:r>
    </w:p>
    <w:p>
      <w:pPr>
        <w:pStyle w:val="BodyText"/>
      </w:pPr>
      <w:r>
        <w:t xml:space="preserve">Translating these frameworks to education demands attention to what makes educational AI distinctive. Unlike industrial automation, where the user’s goal is task completion, educational AI operates in a domain where the</w:t>
      </w:r>
      <w:r>
        <w:t xml:space="preserve"> </w:t>
      </w:r>
      <w:r>
        <w:t xml:space="preserve">“user”</w:t>
      </w:r>
      <w:r>
        <w:t xml:space="preserve"> </w:t>
      </w:r>
      <w:r>
        <w:t xml:space="preserve">is simultaneously a</w:t>
      </w:r>
      <w:r>
        <w:t xml:space="preserve"> </w:t>
      </w:r>
      <w:r>
        <w:rPr>
          <w:i/>
          <w:iCs/>
        </w:rPr>
        <w:t xml:space="preserve">learner</w:t>
      </w:r>
      <w:r>
        <w:t xml:space="preserve">. This creates what we term the</w:t>
      </w:r>
      <w:r>
        <w:t xml:space="preserve"> </w:t>
      </w:r>
      <w:r>
        <w:rPr>
          <w:i/>
          <w:iCs/>
        </w:rPr>
        <w:t xml:space="preserve">learner paradox</w:t>
      </w:r>
      <w:r>
        <w:t xml:space="preserve">: the most helpful AI response (providing the correct answer) may be the most pedagogically harmful one (depriving the learner of productive struggle). This paradox means that trust calibration in educational AI must account not only for accuracy-based trust—whether the AI’s output is correct—but also for whether learners understand the</w:t>
      </w:r>
      <w:r>
        <w:t xml:space="preserve"> </w:t>
      </w:r>
      <w:r>
        <w:rPr>
          <w:i/>
          <w:iCs/>
        </w:rPr>
        <w:t xml:space="preserve">pedagogical implications</w:t>
      </w:r>
      <w:r>
        <w:t xml:space="preserve"> </w:t>
      </w:r>
      <w:r>
        <w:t xml:space="preserve">of their reliance patterns. A student who trusts ChatGPT to solve her calculus homework may be accurately trusting its mathematical capability while simultaneously miscalibrating the educational cost of bypassing the learning process.</w:t>
      </w:r>
    </w:p>
    <w:p>
      <w:pPr>
        <w:pStyle w:val="BodyText"/>
      </w:pPr>
      <w:r>
        <w:t xml:space="preserve">Emerging work supports this bridging of SRL and trust calibration traditions. Lee et al. (2025) identified metacognitive sensitivity as a key mechanism for calibrating trust with AI, establishing a direct conceptual bridge between metacognition research and trust calibration. Lee and Bosch (2025) showed that calibration discrepancy predicts subsequent metacognitive strategy use—directly linking trust calibration to SRL processes. Steyvers and Peters (2025) examined how metacognition and uncertainty communication interact between humans and large language models, further underscoring the need for calibration-specific frameworks. Lee, Lee, and Bosch (2025) found that learning behaviors mediate the effects of metacognitive calibration in AI-supported learning, suggesting that the two types of calibration interact in complex ways. These studies demonstrate that the SRL and trust calibration traditions share sufficient conceptual DNA to be productively integrated—yet such integration remains exceptional rather than paradigmatic. While SRL calibration has generated a robust research program with validated instruments, intervention designs, and longitudinal evidence (Pieschl, 2009; Panadero, 2017), trust calibration in educational AI remains at the pre-paradigmatic stage—lacking even the basic measurement infrastructure that SRL calibration has long enjoyed.</w:t>
      </w:r>
    </w:p>
    <w:bookmarkEnd w:id="30"/>
    <w:bookmarkStart w:id="31" w:name="X6c7bb3196d0eda9a7ad8057991ecdf5536c2e3c"/>
    <w:p>
      <w:pPr>
        <w:pStyle w:val="Heading3"/>
      </w:pPr>
      <w:r>
        <w:t xml:space="preserve">2.3 Why Existing Frameworks Cannot Capture Trust Calibration</w:t>
      </w:r>
    </w:p>
    <w:p>
      <w:pPr>
        <w:pStyle w:val="FirstParagraph"/>
      </w:pPr>
      <w:r>
        <w:t xml:space="preserve">Neither dominant framework tradition in educational AI research—technology acceptance models nor self-regulated learning frameworks—can adequately address trust calibration, though for different reasons.</w:t>
      </w:r>
    </w:p>
    <w:p>
      <w:pPr>
        <w:pStyle w:val="BodyText"/>
      </w:pPr>
      <w:r>
        <w:t xml:space="preserve">Technology acceptance models constitute the most common theoretical framework in educational AI trust research. Yet their structural design makes them incapable of addressing calibration. In TAM (Davis, 1989) and UTAUT (Venkatesh et al., 2003), trust functions as one predictor among several—alongside perceived usefulness, ease of use, and social influence—of a single outcome: adoption intention. This architecture has two consequences relevant to calibration.</w:t>
      </w:r>
    </w:p>
    <w:p>
      <w:pPr>
        <w:pStyle w:val="BodyText"/>
      </w:pPr>
      <w:r>
        <w:t xml:space="preserve">First, trust is always positioned as a variable to be</w:t>
      </w:r>
      <w:r>
        <w:t xml:space="preserve"> </w:t>
      </w:r>
      <w:r>
        <w:rPr>
          <w:i/>
          <w:iCs/>
        </w:rPr>
        <w:t xml:space="preserve">maximized</w:t>
      </w:r>
      <w:r>
        <w:t xml:space="preserve">: higher trust predicts greater adoption, and greater adoption is implicitly desirable. There is no conceptual space for the possibility that trust can be</w:t>
      </w:r>
      <w:r>
        <w:t xml:space="preserve"> </w:t>
      </w:r>
      <w:r>
        <w:rPr>
          <w:i/>
          <w:iCs/>
        </w:rPr>
        <w:t xml:space="preserve">too high</w:t>
      </w:r>
      <w:r>
        <w:t xml:space="preserve">—that the optimal trust level depends on the system’s actual reliability for a given task. The very question the calibration lens asks—</w:t>
      </w:r>
      <w:r>
        <w:t xml:space="preserve">“Is this level of trust warranted?”</w:t>
      </w:r>
      <w:r>
        <w:t xml:space="preserve">—is structurally invisible within TAM/UTAUT.</w:t>
      </w:r>
    </w:p>
    <w:p>
      <w:pPr>
        <w:pStyle w:val="BodyText"/>
      </w:pPr>
      <w:r>
        <w:t xml:space="preserve">Second, these models lack an</w:t>
      </w:r>
      <w:r>
        <w:t xml:space="preserve"> </w:t>
      </w:r>
      <w:r>
        <w:rPr>
          <w:i/>
          <w:iCs/>
        </w:rPr>
        <w:t xml:space="preserve">AI reliability</w:t>
      </w:r>
      <w:r>
        <w:t xml:space="preserve"> </w:t>
      </w:r>
      <w:r>
        <w:t xml:space="preserve">axis. They capture the learner’s perceptions but not the system’s actual capabilities. Without simultaneous measurement of both trust and reliability, calibration—the correspondence between the two—cannot be assessed. This is not a minor limitation; it is a structural blind spot that, following Kuhn (1962), characterizes what happens when a paradigm’s assumptions render certain questions invisible.</w:t>
      </w:r>
    </w:p>
    <w:p>
      <w:pPr>
        <w:pStyle w:val="BodyText"/>
      </w:pPr>
      <w:r>
        <w:t xml:space="preserve">Self-regulated learning frameworks face a different but equally consequential limitation. SRL models (Zimmerman, 2000; Winne &amp; Hadwin, 1998) address calibration of</w:t>
      </w:r>
      <w:r>
        <w:t xml:space="preserve"> </w:t>
      </w:r>
      <w:r>
        <w:rPr>
          <w:i/>
          <w:iCs/>
        </w:rPr>
        <w:t xml:space="preserve">self-judgments</w:t>
      </w:r>
      <w:r>
        <w:t xml:space="preserve"> </w:t>
      </w:r>
      <w:r>
        <w:t xml:space="preserve">but provide no mechanism for calibrating judgments about</w:t>
      </w:r>
      <w:r>
        <w:t xml:space="preserve"> </w:t>
      </w:r>
      <w:r>
        <w:rPr>
          <w:i/>
          <w:iCs/>
        </w:rPr>
        <w:t xml:space="preserve">external AI systems</w:t>
      </w:r>
      <w:r>
        <w:t xml:space="preserve">. The informational inputs differ: self-calibration draws on introspective access to one’s own knowledge states, while system-calibration requires external observation, verification, and domain-specific reliability knowledge. A learner with excellent SRL calibration may still be dangerously miscalibrated in her trust of AI—these are independent competencies requiring independent educational supports. The combination of TAM lock-in and SRL’s self-directed scope creates a structural blind spot: the field’s reliance on these frameworks has systematically directed attention toward</w:t>
      </w:r>
      <w:r>
        <w:t xml:space="preserve"> </w:t>
      </w:r>
      <w:r>
        <w:t xml:space="preserve">“Do learners trust AI?”</w:t>
      </w:r>
      <w:r>
        <w:t xml:space="preserve"> </w:t>
      </w:r>
      <w:r>
        <w:t xml:space="preserve">and</w:t>
      </w:r>
      <w:r>
        <w:t xml:space="preserve"> </w:t>
      </w:r>
      <w:r>
        <w:t xml:space="preserve">“Do learners know what they know?”</w:t>
      </w:r>
      <w:r>
        <w:t xml:space="preserve"> </w:t>
      </w:r>
      <w:r>
        <w:t xml:space="preserve">while obscuring the more consequential question</w:t>
      </w:r>
      <w:r>
        <w:t xml:space="preserve"> </w:t>
      </w:r>
      <w:r>
        <w:t xml:space="preserve">“Is their trust in AI calibrated to AI’s actual capabilities?”</w:t>
      </w:r>
    </w:p>
    <w:bookmarkEnd w:id="31"/>
    <w:bookmarkEnd w:id="32"/>
    <w:bookmarkStart w:id="37" w:name="review-approach"/>
    <w:p>
      <w:pPr>
        <w:pStyle w:val="Heading2"/>
      </w:pPr>
      <w:r>
        <w:t xml:space="preserve">3. Review Approach</w:t>
      </w:r>
    </w:p>
    <w:bookmarkStart w:id="33" w:name="review-type-and-justification"/>
    <w:p>
      <w:pPr>
        <w:pStyle w:val="Heading3"/>
      </w:pPr>
      <w:r>
        <w:t xml:space="preserve">3.1 Review Type and Justification</w:t>
      </w:r>
    </w:p>
    <w:p>
      <w:pPr>
        <w:pStyle w:val="FirstParagraph"/>
      </w:pPr>
      <w:r>
        <w:t xml:space="preserve">This paper adopts a critical review approach (Grant &amp; Booth, 2009). Unlike systematic or scoping reviews that aim for exhaustive coverage, a critical review prioritizes theoretical synthesis, critical appraisal, and gap identification to motivate new conceptual contributions (Pare et al., 2015). This choice reflects the paper’s dual contribution: the Research Orientation Typology requires a corpus large enough for typological analysis, while the calibration gap diagnosis and paradigm shift argument require integrative theoretical reasoning rather than exhaustive enumeration. The critical review methodology is well-suited to this combination of empirical pattern identification and conceptual development, consistent with recognized review typologies (Peters et al., 2020). The approach follows Pare et al.’s (2015) criteria for critical reviews: going beyond describing the literature to analyzing, synthesizing, and reconceptualizing the field’s orientation.</w:t>
      </w:r>
    </w:p>
    <w:bookmarkEnd w:id="33"/>
    <w:bookmarkStart w:id="34" w:name="search-strategy"/>
    <w:p>
      <w:pPr>
        <w:pStyle w:val="Heading3"/>
      </w:pPr>
      <w:r>
        <w:t xml:space="preserve">3.2 Search Strategy</w:t>
      </w:r>
    </w:p>
    <w:p>
      <w:pPr>
        <w:pStyle w:val="FirstParagraph"/>
      </w:pPr>
      <w:r>
        <w:t xml:space="preserve">We searched Web of Science, Scopus, and PsycINFO (2015–2026) combining trust-related terms (</w:t>
      </w:r>
      <w:r>
        <w:t xml:space="preserve">“trust”</w:t>
      </w:r>
      <w:r>
        <w:t xml:space="preserve"> </w:t>
      </w:r>
      <w:r>
        <w:t xml:space="preserve">OR</w:t>
      </w:r>
      <w:r>
        <w:t xml:space="preserve"> </w:t>
      </w:r>
      <w:r>
        <w:t xml:space="preserve">“trust calibration”</w:t>
      </w:r>
      <w:r>
        <w:t xml:space="preserve"> </w:t>
      </w:r>
      <w:r>
        <w:t xml:space="preserve">OR</w:t>
      </w:r>
      <w:r>
        <w:t xml:space="preserve"> </w:t>
      </w:r>
      <w:r>
        <w:t xml:space="preserve">“overtrust”</w:t>
      </w:r>
      <w:r>
        <w:t xml:space="preserve"> </w:t>
      </w:r>
      <w:r>
        <w:t xml:space="preserve">OR</w:t>
      </w:r>
      <w:r>
        <w:t xml:space="preserve"> </w:t>
      </w:r>
      <w:r>
        <w:t xml:space="preserve">“reliance”</w:t>
      </w:r>
      <w:r>
        <w:t xml:space="preserve"> </w:t>
      </w:r>
      <w:r>
        <w:t xml:space="preserve">OR</w:t>
      </w:r>
      <w:r>
        <w:t xml:space="preserve"> </w:t>
      </w:r>
      <w:r>
        <w:t xml:space="preserve">“overreliance”</w:t>
      </w:r>
      <w:r>
        <w:t xml:space="preserve">) with educational AI terms (</w:t>
      </w:r>
      <w:r>
        <w:t xml:space="preserve">“educational AI”</w:t>
      </w:r>
      <w:r>
        <w:t xml:space="preserve"> </w:t>
      </w:r>
      <w:r>
        <w:t xml:space="preserve">OR</w:t>
      </w:r>
      <w:r>
        <w:t xml:space="preserve"> </w:t>
      </w:r>
      <w:r>
        <w:t xml:space="preserve">“AI-assisted learning”</w:t>
      </w:r>
      <w:r>
        <w:t xml:space="preserve"> </w:t>
      </w:r>
      <w:r>
        <w:t xml:space="preserve">OR</w:t>
      </w:r>
      <w:r>
        <w:t xml:space="preserve"> </w:t>
      </w:r>
      <w:r>
        <w:t xml:space="preserve">“generative AI”</w:t>
      </w:r>
      <w:r>
        <w:t xml:space="preserve"> </w:t>
      </w:r>
      <w:r>
        <w:t xml:space="preserve">OR</w:t>
      </w:r>
      <w:r>
        <w:t xml:space="preserve"> </w:t>
      </w:r>
      <w:r>
        <w:t xml:space="preserve">“intelligent tutoring”</w:t>
      </w:r>
      <w:r>
        <w:t xml:space="preserve"> </w:t>
      </w:r>
      <w:r>
        <w:t xml:space="preserve">OR</w:t>
      </w:r>
      <w:r>
        <w:t xml:space="preserve"> </w:t>
      </w:r>
      <w:r>
        <w:t xml:space="preserve">“AI in education”</w:t>
      </w:r>
      <w:r>
        <w:t xml:space="preserve">). This temporal scope captures the maturation of intelligent tutoring systems and the transformative period following public LLM releases. Papers were selected based on relevance to trust dynamics in educational AI, prioritizing: (a) empirical studies measuring trust or calibration; (b) theoretical frameworks addressing trust in learning environments; and (c) studies from adjacent fields with clear educational applicability.</w:t>
      </w:r>
    </w:p>
    <w:p>
      <w:pPr>
        <w:pStyle w:val="BodyText"/>
      </w:pPr>
      <w:r>
        <w:t xml:space="preserve">Database searches were supplemented with backward and forward citation tracking from seminal works (Lee &amp; See, 2004; Mayer et al., 1995; Hoff &amp; Bashir, 2015; Bastani et al., 2025), yielding 16 additional papers from the human factors and HCI literature that directly address trust calibration measurement and intervention. We acknowledge that this supplementary search was purposively designed to capture calibration-relevant work; the resulting asymmetry between database-sourced and supplementary papers is reported transparently as evidence of the disciplinary blind spot rather than treated as a neutral sampling outcome. Through this process, 147 papers were identified for full-text analysis, comprising 81 papers from database searches and 16 from supplementary citation tracking (see Figure 1 for the PRISMA-style selection flow). Of these, 97 were coded using the 32-field coding scheme; the remaining 50 could not be coded due to full-text access limitations at the time of analysis. The coded corpus spans publication years from 2019 to 2026, with a heavy concentration in 2025 (64.9%), reflecting the rapid growth of trust-related AI scholarship following public LLM releases. Study types include reviews (50.5%), empirical studies (37.1%), theoretical papers (8.2%), and mixed methods studies (4.1%).</w:t>
      </w:r>
    </w:p>
    <w:bookmarkEnd w:id="34"/>
    <w:bookmarkStart w:id="35" w:name="coding-and-analysis"/>
    <w:p>
      <w:pPr>
        <w:pStyle w:val="Heading3"/>
      </w:pPr>
      <w:r>
        <w:t xml:space="preserve">3.3 Coding and Analysis</w:t>
      </w:r>
    </w:p>
    <w:p>
      <w:pPr>
        <w:pStyle w:val="FirstParagraph"/>
      </w:pPr>
      <w:r>
        <w:t xml:space="preserve">Each paper was coded using a 32-field scheme capturing: bibliographic information (authors, year, source, DOI); trust conceptualization (definition presence, construct type, dimensionality); theoretical framework (named frameworks, engagement depth); measurement approach (trust measurement, calibration measurement, instrument type, measurement modality); calibration engagement (calibration addressed, overtrust discussed, undertrust discussed); and design features (scaffold proposed, scaffold type, oversight design). The full coding manual is available as a supplementary document.</w:t>
      </w:r>
    </w:p>
    <w:p>
      <w:pPr>
        <w:pStyle w:val="BodyText"/>
      </w:pPr>
      <w:r>
        <w:t xml:space="preserve">Coding was conducted by the first author for all 97 papers. The second author independently coded a random subsample of approximately 20–30% to establish intercoder reliability. Cohen’s kappa was computed for key categorical variables including addresses_calibration, overtrust_discussed, undertrust_discussed, scaffold_proposed, and theoretical_framework classification. Discrepancies were resolved through discussion; any remaining disagreements were adjudicated by consensus.</w:t>
      </w:r>
    </w:p>
    <w:p>
      <w:pPr>
        <w:pStyle w:val="BodyText"/>
      </w:pPr>
      <w:r>
        <w:t xml:space="preserve">Selected works were analyzed thematically across three dimensions corresponding to the research questions: trust conceptualization and theoretical framing (RQ1), calibration engagement and measurement approaches (RQ2), and the calibration gap diagnosis motivating the paradigm shift argument (RQ3). Quantitative analysis of the coded data included frequency distributions, cross-tabulations (e.g., trust measured × calibration measured; domain × theoretical framework; domain × study type), and the domain distribution analysis reported in Section 4.</w:t>
      </w:r>
    </w:p>
    <w:p>
      <w:pPr>
        <w:pStyle w:val="BodyText"/>
      </w:pPr>
      <w:r>
        <w:t xml:space="preserve">The 5-domain Research Orientation Typology was derived as a post-hoc classification using five coded variables (addresses_calibration, overtrust_discussed, undertrust_discussed, scaffold_proposed, theoretical_framework) applied through deterministic priority rules (see Section 4.1 and Appendix D). Because the typology is algorithmically derived from existing coded fields, its reliability is bounded by the reliability of its input variables. A typological approach was selected because it reveals structural patterns invisible in variable-by-variable analysis and provides the diagnostic power needed to identify the calibration gap (Bailey, 1994; Doty &amp; Glick, 1994). This approach is consistent with Doty and Glick’s (1994) argument that typologies constitute a unique form of theory building, organizing complex empirical landscapes into coherent configurations that generate testable predictions.</w:t>
      </w:r>
    </w:p>
    <w:bookmarkEnd w:id="35"/>
    <w:bookmarkStart w:id="36" w:name="methodological-limitations"/>
    <w:p>
      <w:pPr>
        <w:pStyle w:val="Heading3"/>
      </w:pPr>
      <w:r>
        <w:t xml:space="preserve">3.4 Methodological Limitations</w:t>
      </w:r>
    </w:p>
    <w:p>
      <w:pPr>
        <w:pStyle w:val="FirstParagraph"/>
      </w:pPr>
      <w:r>
        <w:t xml:space="preserve">This is not a full systematic review, and the search strategy does not claim exhaustive coverage. Several design choices constrain the findings and should be considered when interpreting the results. The literature search was limited to English-language publications, potentially excluding relevant work from non-Anglophone research traditions. 50 of 147 identified papers could not be coded due to full-text access limitations at the time of analysis, representing a potential source of selection bias. The supplementary citation tracking was purposively designed to capture calibration-relevant work from adjacent disciplines, introducing intentional selection bias that we report transparently throughout the findings. The resulting 16 supplementary papers are not representative of the broader educational AI corpus; rather, they serve as evidence that calibration research exists elsewhere while remaining absent from educational AI databases. These limitations and their implications for interpreting the domain distribution are discussed further in Section 7.1.</w:t>
      </w:r>
    </w:p>
    <w:bookmarkEnd w:id="36"/>
    <w:bookmarkEnd w:id="37"/>
    <w:bookmarkStart w:id="53" w:name="X02c387022aa73d731e0fc992b0839155223e649"/>
    <w:p>
      <w:pPr>
        <w:pStyle w:val="Heading2"/>
      </w:pPr>
      <w:r>
        <w:t xml:space="preserve">4. Findings: The Research Orientation Typology</w:t>
      </w:r>
    </w:p>
    <w:bookmarkStart w:id="43" w:name="overview-five-domains-of-trust-research"/>
    <w:p>
      <w:pPr>
        <w:pStyle w:val="Heading3"/>
      </w:pPr>
      <w:r>
        <w:t xml:space="preserve">4.1 Overview: Five Domains of Trust Research</w:t>
      </w:r>
    </w:p>
    <w:p>
      <w:pPr>
        <w:pStyle w:val="FirstParagraph"/>
      </w:pPr>
      <w:r>
        <w:t xml:space="preserve">To move beyond variable-by-variable reporting, we classified the 97 coded papers into a Research Orientation Typology comprising five domains arranged along a trust calibration maturity spectrum (Table 1; Figure 2)</w:t>
      </w:r>
    </w:p>
    <w:p>
      <w:pPr>
        <w:pStyle w:val="BodyText"/>
      </w:pPr>
      <w:r>
        <w:drawing>
          <wp:inline>
            <wp:extent cx="5943600" cy="3900556"/>
            <wp:effectExtent b="0" l="0" r="0" t="0"/>
            <wp:docPr descr="Figure 2. Distribution of 97 papers across the five-domain Research Orientation Typology." title="" id="39" name="Picture"/>
            <a:graphic>
              <a:graphicData uri="http://schemas.openxmlformats.org/drawingml/2006/picture">
                <pic:pic>
                  <pic:nvPicPr>
                    <pic:cNvPr descr="figures/figure2_domain_typology.png" id="40" name="Picture"/>
                    <pic:cNvPicPr>
                      <a:picLocks noChangeArrowheads="1" noChangeAspect="1"/>
                    </pic:cNvPicPr>
                  </pic:nvPicPr>
                  <pic:blipFill>
                    <a:blip r:embed="rId38"/>
                    <a:stretch>
                      <a:fillRect/>
                    </a:stretch>
                  </pic:blipFill>
                  <pic:spPr bwMode="auto">
                    <a:xfrm>
                      <a:off x="0" y="0"/>
                      <a:ext cx="5943600" cy="3900556"/>
                    </a:xfrm>
                    <a:prstGeom prst="rect">
                      <a:avLst/>
                    </a:prstGeom>
                    <a:noFill/>
                    <a:ln w="9525">
                      <a:noFill/>
                      <a:headEnd/>
                      <a:tailEnd/>
                    </a:ln>
                  </pic:spPr>
                </pic:pic>
              </a:graphicData>
            </a:graphic>
          </wp:inline>
        </w:drawing>
      </w:r>
      <w:r>
        <w:t xml:space="preserve"> </w:t>
      </w:r>
      <w:r>
        <w:t xml:space="preserve">. Each domain represents a qualitatively distinct orientation toward trust in educational AI, from acceptance-focused research (D1) through calibration-focused research (D5).</w:t>
      </w:r>
    </w:p>
    <w:p>
      <w:pPr>
        <w:pStyle w:val="BodyText"/>
      </w:pPr>
      <w:r>
        <w:t xml:space="preserve">The classification uses five coded variables applied through deterministic priority rules (detailed in Appendix D). In order of priority: papers addressing calibration explicitly (addresses_calibration =</w:t>
      </w:r>
      <w:r>
        <w:t xml:space="preserve"> </w:t>
      </w:r>
      <w:r>
        <w:t xml:space="preserve">“yes”</w:t>
      </w:r>
      <w:r>
        <w:t xml:space="preserve">) are classified as D5; papers recognizing overtrust or undertrust with partial calibration engagement (addresses_calibration =</w:t>
      </w:r>
      <w:r>
        <w:t xml:space="preserve"> </w:t>
      </w:r>
      <w:r>
        <w:t xml:space="preserve">“partially”</w:t>
      </w:r>
      <w:r>
        <w:t xml:space="preserve"> </w:t>
      </w:r>
      <w:r>
        <w:t xml:space="preserve">AND at least one trust direction discussed) are classified as D4, with subcategories D4a (overtrust only), D4b (undertrust only), and D4c (both directions) based on directionality; papers proposing scaffolds without meeting D4/D5 criteria are D3; papers whose sole theoretical contribution is through TAM/UTAUT/DOI frameworks without other qualifying features are D1; and all remaining papers are D2. Priority ordering ensures that papers meeting multiple criteria are classified at their highest maturity level, preventing double-counting and ensuring mutually exclusive assignment.</w:t>
      </w:r>
    </w:p>
    <w:p>
      <w:pPr>
        <w:pStyle w:val="BodyText"/>
      </w:pPr>
      <w:r>
        <w:t xml:space="preserve">The distribution reveals a field concentrated below the calibration threshold (Table 1; Figure 2)</w:t>
      </w:r>
    </w:p>
    <w:p>
      <w:pPr>
        <w:pStyle w:val="DefinitionTerm"/>
      </w:pPr>
      <w:r>
        <w:drawing>
          <wp:inline>
            <wp:extent cx="5943600" cy="3900556"/>
            <wp:effectExtent b="0" l="0" r="0" t="0"/>
            <wp:docPr descr="Figure 2. Distribution of 97 papers across the five-domain Research Orientation Typology." title="" id="41" name="Picture"/>
            <a:graphic>
              <a:graphicData uri="http://schemas.openxmlformats.org/drawingml/2006/picture">
                <pic:pic>
                  <pic:nvPicPr>
                    <pic:cNvPr descr="figures/figure2_domain_typology.png" id="42" name="Picture"/>
                    <pic:cNvPicPr>
                      <a:picLocks noChangeArrowheads="1" noChangeAspect="1"/>
                    </pic:cNvPicPr>
                  </pic:nvPicPr>
                  <pic:blipFill>
                    <a:blip r:embed="rId38"/>
                    <a:stretch>
                      <a:fillRect/>
                    </a:stretch>
                  </pic:blipFill>
                  <pic:spPr bwMode="auto">
                    <a:xfrm>
                      <a:off x="0" y="0"/>
                      <a:ext cx="5943600" cy="3900556"/>
                    </a:xfrm>
                    <a:prstGeom prst="rect">
                      <a:avLst/>
                    </a:prstGeom>
                    <a:noFill/>
                    <a:ln w="9525">
                      <a:noFill/>
                      <a:headEnd/>
                      <a:tailEnd/>
                    </a:ln>
                  </pic:spPr>
                </pic:pic>
              </a:graphicData>
            </a:graphic>
          </wp:inline>
        </w:drawing>
      </w:r>
    </w:p>
    <w:p>
      <w:pPr>
        <w:pStyle w:val="Definition"/>
      </w:pPr>
      <w:r>
        <w:t xml:space="preserve">D1 (Trust Adoption, n=5, 5.2%), D2 (Trust Conceptualization, n=11, 11.3%), D3 (Trust Design, n=24, 24.7%), D4 (Trust Awareness, n=41, 42.3%), and D5 (Trust Calibration, n=16, 16.5%). Together, 83.5% of the corpus (D1–D4) operates without explicit calibration engagement. Only 16.5% reaches D5—and of those, 13 of 16 papers were identified through supplementary citation tracking from adjacent disciplines, not from the original educational AI databases. The corpus is temporally concentrated: 64.9% of papers were published in 2025, reflecting the rapid growth of GenAI-related trust scholarship.</w:t>
      </w:r>
    </w:p>
    <w:bookmarkEnd w:id="43"/>
    <w:bookmarkStart w:id="44" w:name="d1-trust-adoption-n5-5.2"/>
    <w:p>
      <w:pPr>
        <w:pStyle w:val="Heading3"/>
      </w:pPr>
      <w:r>
        <w:t xml:space="preserve">4.2 D1: Trust Adoption (n=5, 5.2%)</w:t>
      </w:r>
    </w:p>
    <w:p>
      <w:pPr>
        <w:pStyle w:val="FirstParagraph"/>
      </w:pPr>
      <w:r>
        <w:t xml:space="preserve">Domain 1 encompasses studies that employ technology acceptance frameworks (TAM, UTAUT, DOI) as their sole theoretical orientation, treating trust exclusively as a predictor of AI adoption. In these studies, the research question is whether learners will</w:t>
      </w:r>
      <w:r>
        <w:t xml:space="preserve"> </w:t>
      </w:r>
      <w:r>
        <w:rPr>
          <w:i/>
          <w:iCs/>
        </w:rPr>
        <w:t xml:space="preserve">adopt</w:t>
      </w:r>
      <w:r>
        <w:t xml:space="preserve"> </w:t>
      </w:r>
      <w:r>
        <w:t xml:space="preserve">AI tools, with trust positioned alongside perceived usefulness, ease of use, and social influence as an antecedent of adoption intention. Representative D1 papers examine university students’ intentions to use AI tools through survey instruments measuring acceptance constructs, reporting path coefficients from trust to behavioral intention.</w:t>
      </w:r>
    </w:p>
    <w:p>
      <w:pPr>
        <w:pStyle w:val="BodyText"/>
      </w:pPr>
      <w:r>
        <w:t xml:space="preserve">The D1 orientation is structurally unable to address calibration because its dependent variable—adoption—is unidirectional. Higher trust leads to greater adoption, and the framework provides no mechanism for evaluating whether that trust is warranted. A student who trusts ChatGPT completely and adopts it for all tasks would score maximally on trust and adoption scales, regardless of whether the AI is reliable for those tasks. The limitation is not empirical but architectural: the framework’s structure renders calibration invisible. The D1 papers constitute a methodologically rigorous but theoretically constrained tradition that, by design, cannot ask the question this review identifies as central. While their contributions to understanding adoption antecedents are valuable, their exclusive focus on acceptance means they cannot contribute to the calibration agenda without fundamental theoretical extension.</w:t>
      </w:r>
    </w:p>
    <w:bookmarkEnd w:id="44"/>
    <w:bookmarkStart w:id="45" w:name="d2-trust-conceptualization-n11-11.3"/>
    <w:p>
      <w:pPr>
        <w:pStyle w:val="Heading3"/>
      </w:pPr>
      <w:r>
        <w:t xml:space="preserve">4.3 D2: Trust Conceptualization (n=11, 11.3%)</w:t>
      </w:r>
    </w:p>
    <w:p>
      <w:pPr>
        <w:pStyle w:val="FirstParagraph"/>
      </w:pPr>
      <w:r>
        <w:t xml:space="preserve">Domain 2 includes studies that discuss trust in educational AI at a general conceptual level without proposing design interventions, identifying specific miscalibration problems, or employing systematic theoretical frameworks. These papers acknowledge trust as a relevant variable in educational AI but treat it as self-evident rather than requiring operationalization. D2 papers typically review existing literature, identify trust as a concern in AI-mediated learning, and call for further research without specifying what form that research should take.</w:t>
      </w:r>
    </w:p>
    <w:p>
      <w:pPr>
        <w:pStyle w:val="BodyText"/>
      </w:pPr>
      <w:r>
        <w:t xml:space="preserve">This domain reflects a broader pattern in the corpus: 84.5% of all 97 papers provided no explicit definition of trust, treating it as a concept requiring no specification. Only 9 papers (9.3%) offered an explicit operational definition, while 6 (6.2%) employed implicit definitions discernible from context. Yet trust is a documented multidimensional construct in both organizational (Mayer et al., 1995) and human factors traditions (Lee &amp; See, 2004; Hoff &amp; Bashir, 2015). The absence of definitional precision in D2 papers—and across much of the corpus—means that fundamentally different phenomena (dispositional tendencies, context-specific judgments, accumulated experiential assessments) are collapsed into a single undifferentiated variable, obscuring the kind of fine-grained analysis required for calibration research. The vast majority of the corpus—86 of 97 papers (88.7%)—conceptualized trust as</w:t>
      </w:r>
      <w:r>
        <w:t xml:space="preserve"> </w:t>
      </w:r>
      <w:r>
        <w:t xml:space="preserve">“trust in AI”</w:t>
      </w:r>
      <w:r>
        <w:t xml:space="preserve"> </w:t>
      </w:r>
      <w:r>
        <w:t xml:space="preserve">as a general construct, while only 6 papers (6.2%) employed the more specialized trust-in-automation framing from human factors research.</w:t>
      </w:r>
    </w:p>
    <w:bookmarkEnd w:id="45"/>
    <w:bookmarkStart w:id="46" w:name="d3-trust-design-n24-24.7"/>
    <w:p>
      <w:pPr>
        <w:pStyle w:val="Heading3"/>
      </w:pPr>
      <w:r>
        <w:t xml:space="preserve">4.4 D3: Trust Design (n=24, 24.7%)</w:t>
      </w:r>
    </w:p>
    <w:p>
      <w:pPr>
        <w:pStyle w:val="FirstParagraph"/>
      </w:pPr>
      <w:r>
        <w:t xml:space="preserve">Domain 3 represents a substantial portion of the corpus: studies that propose scaffolds, design features, or interventions related to trust in AI-assisted learning. These papers go beyond conceptual discussion to recommend concrete design approaches. Overall, 63 papers (64.9%) across the corpus proposed some form of scaffold, with transparency mechanisms being the most common type (24 papers, 24.7%), followed by multiple scaffold combinations (24 papers, 24.7%), and other approaches (9 papers, 9.3%). The 24 D3 papers are those whose scaffold proposals are their primary contribution but which lack calibration criteria or trust direction awareness.</w:t>
      </w:r>
    </w:p>
    <w:p>
      <w:pPr>
        <w:pStyle w:val="BodyText"/>
      </w:pPr>
      <w:r>
        <w:t xml:space="preserve">The critical limitation of D3 research is the absence of calibration criteria. When a D3 paper proposes</w:t>
      </w:r>
      <w:r>
        <w:t xml:space="preserve"> </w:t>
      </w:r>
      <w:r>
        <w:t xml:space="preserve">“increasing transparency to build trust,”</w:t>
      </w:r>
      <w:r>
        <w:t xml:space="preserve"> </w:t>
      </w:r>
      <w:r>
        <w:t xml:space="preserve">it implicitly assumes that higher trust is always desirable. But transparency can paradoxically</w:t>
      </w:r>
      <w:r>
        <w:t xml:space="preserve"> </w:t>
      </w:r>
      <w:r>
        <w:rPr>
          <w:i/>
          <w:iCs/>
        </w:rPr>
        <w:t xml:space="preserve">worsen</w:t>
      </w:r>
      <w:r>
        <w:t xml:space="preserve"> </w:t>
      </w:r>
      <w:r>
        <w:t xml:space="preserve">calibration: if an AI system presents a confidently wrong answer with a clear, fluent explanation of its reasoning process, transparency may increase trust in an unreliable output. Consider an AI writing assistant that explains its essay structure with articulate reasoning—this transparency may lead a student to accept prose that sounds authoritative but contains factual errors. The design question should not be</w:t>
      </w:r>
      <w:r>
        <w:t xml:space="preserve"> </w:t>
      </w:r>
      <w:r>
        <w:t xml:space="preserve">“How do we increase trust?”</w:t>
      </w:r>
      <w:r>
        <w:t xml:space="preserve"> </w:t>
      </w:r>
      <w:r>
        <w:t xml:space="preserve">but</w:t>
      </w:r>
      <w:r>
        <w:t xml:space="preserve"> </w:t>
      </w:r>
      <w:r>
        <w:t xml:space="preserve">“How do we align trust with reliability?”</w:t>
      </w:r>
      <w:r>
        <w:t xml:space="preserve">—a question that D3 research, by definition, does not ask.</w:t>
      </w:r>
    </w:p>
    <w:p>
      <w:pPr>
        <w:pStyle w:val="BodyText"/>
      </w:pPr>
      <w:r>
        <w:t xml:space="preserve">Notably, metacognitive scaffolds—arguably the most directly relevant to calibration—appeared in only 3 papers (3.1%) of the total corpus, compared to 24 papers proposing transparency scaffolds. This asymmetry is consequential: transparency addresses the</w:t>
      </w:r>
      <w:r>
        <w:t xml:space="preserve"> </w:t>
      </w:r>
      <w:r>
        <w:rPr>
          <w:i/>
          <w:iCs/>
        </w:rPr>
        <w:t xml:space="preserve">information available</w:t>
      </w:r>
      <w:r>
        <w:t xml:space="preserve"> </w:t>
      </w:r>
      <w:r>
        <w:t xml:space="preserve">for trust judgments, while metacognitive scaffolds address the</w:t>
      </w:r>
      <w:r>
        <w:t xml:space="preserve"> </w:t>
      </w:r>
      <w:r>
        <w:rPr>
          <w:i/>
          <w:iCs/>
        </w:rPr>
        <w:t xml:space="preserve">process</w:t>
      </w:r>
      <w:r>
        <w:t xml:space="preserve"> </w:t>
      </w:r>
      <w:r>
        <w:t xml:space="preserve">by which learners evaluate that information. Calibration requires both, but the field overwhelmingly emphasizes the former. The near-absence of metacognitive scaffolds suggests that the field’s design thinking is oriented toward giving learners more information about AI systems rather than developing learners’ capacity to evaluate that information—a distinction that maps directly onto the difference between transparency-driven and calibration-driven design.</w:t>
      </w:r>
    </w:p>
    <w:bookmarkEnd w:id="46"/>
    <w:bookmarkStart w:id="47" w:name="d4-trust-awareness-n41-42.3"/>
    <w:p>
      <w:pPr>
        <w:pStyle w:val="Heading3"/>
      </w:pPr>
      <w:r>
        <w:t xml:space="preserve">4.5 D4: Trust Awareness (n=41, 42.3%)</w:t>
      </w:r>
    </w:p>
    <w:p>
      <w:pPr>
        <w:pStyle w:val="FirstParagraph"/>
      </w:pPr>
      <w:r>
        <w:t xml:space="preserve">Domain 4 is the largest in the corpus, comprising 42.3% of all coded papers. These studies recognize and discuss overtrust and/or undertrust as problems, engage partially with calibration, but stop short of explicitly measuring or systematically addressing trust calibration. D4 represents the field’s growing awareness that trust can be miscalibrated—coupled with an inability to move from problem recognition to problem measurement.</w:t>
      </w:r>
    </w:p>
    <w:p>
      <w:pPr>
        <w:pStyle w:val="BodyText"/>
      </w:pPr>
      <w:r>
        <w:t xml:space="preserve">The D4 subcategories reveal the directionality of the field’s trust awareness (Table 2). D4a (Overtrust Recognition, n=16, 16.5%) includes papers that discuss overreliance, uncritical acceptance, or automation complacency without addressing undertrust. These papers typically warn about students copying AI-generated content without verification or accepting AI recommendations uncritically, but they do not measure whether the observed reliance exceeds the AI’s actual reliability—a measurement that would be required to confirm overtrust rather than merely infer it.</w:t>
      </w:r>
    </w:p>
    <w:p>
      <w:pPr>
        <w:pStyle w:val="BodyText"/>
      </w:pPr>
      <w:r>
        <w:t xml:space="preserve">D4b (Undertrust Recognition, n=18, 18.6%) includes papers discussing AI skepticism, rejection, or resistance without addressing overtrust. These papers often frame learner reluctance to adopt AI tools as a barrier to be overcome, reflecting the adoption-oriented framing characteristic of the broader field.</w:t>
      </w:r>
    </w:p>
    <w:p>
      <w:pPr>
        <w:pStyle w:val="BodyText"/>
      </w:pPr>
      <w:r>
        <w:t xml:space="preserve">D4c (Bidirectional Awareness, n=7, 7.2%) includes papers recognizing both directions of miscalibration. These papers are the most theoretically sophisticated within D4, acknowledging that trust can be both excessive and insufficient, but they remain below the D5 threshold because they do not measure or systematically address calibration.</w:t>
      </w:r>
    </w:p>
    <w:p>
      <w:pPr>
        <w:pStyle w:val="BodyText"/>
      </w:pPr>
      <w:r>
        <w:t xml:space="preserve">The finding that D4b slightly exceeds D4a is notable: in the educational AI discourse, concerns about learners</w:t>
      </w:r>
      <w:r>
        <w:t xml:space="preserve"> </w:t>
      </w:r>
      <w:r>
        <w:rPr>
          <w:i/>
          <w:iCs/>
        </w:rPr>
        <w:t xml:space="preserve">rejecting</w:t>
      </w:r>
      <w:r>
        <w:t xml:space="preserve"> </w:t>
      </w:r>
      <w:r>
        <w:t xml:space="preserve">AI (undertrust) are marginally more common than concerns about learners</w:t>
      </w:r>
      <w:r>
        <w:t xml:space="preserve"> </w:t>
      </w:r>
      <w:r>
        <w:rPr>
          <w:i/>
          <w:iCs/>
        </w:rPr>
        <w:t xml:space="preserve">overrelying</w:t>
      </w:r>
      <w:r>
        <w:t xml:space="preserve"> </w:t>
      </w:r>
      <w:r>
        <w:t xml:space="preserve">on AI (overtrust). This asymmetry may reflect the field’s prevailing interest in promoting AI adoption—a framing in which resistance to AI is coded as a problem to be solved. Yet the calibration perspective suggests that whether rejection or acceptance is problematic depends entirely on the AI’s actual reliability for the given task. A learner who rejects an unreliable AI recommendation is exhibiting calibrated avoidance, not a problem requiring intervention.</w:t>
      </w:r>
    </w:p>
    <w:p>
      <w:pPr>
        <w:pStyle w:val="BodyText"/>
      </w:pPr>
      <w:r>
        <w:t xml:space="preserve">The D4c papers—those recognizing both overtrust and undertrust—are theoretically closest to calibration research yet remain below the threshold because they identify the two failure modes without establishing measurement approaches for determining which mode applies in a given context. The 7 D4c papers acknowledge that trust can be both too high and too low, but none proposes methods for assessing whether a specific learner’s trust is appropriate relative to the AI’s actual capability.</w:t>
      </w:r>
    </w:p>
    <w:p>
      <w:pPr>
        <w:pStyle w:val="BodyText"/>
      </w:pPr>
      <w:r>
        <w:t xml:space="preserve">The central insight from D4 is that recognizing a problem is not the same as measuring it. A paper that warns about student overreliance on ChatGPT for essay writing but does not assess whether students’ trust in ChatGPT’s writing ability corresponds to ChatGPT’s actual writing reliability has identified a</w:t>
      </w:r>
      <w:r>
        <w:t xml:space="preserve"> </w:t>
      </w:r>
      <w:r>
        <w:rPr>
          <w:i/>
          <w:iCs/>
        </w:rPr>
        <w:t xml:space="preserve">potential</w:t>
      </w:r>
      <w:r>
        <w:t xml:space="preserve"> </w:t>
      </w:r>
      <w:r>
        <w:t xml:space="preserve">miscalibration without establishing whether one exists. This distinction—between awareness and measurement—is the threshold separating D4 from D5. The D4 cluster’s dominance (42.3% of the corpus) indicates that the field is acutely aware of trust miscalibration as a problem but lacks the conceptual and measurement infrastructure to move from problem recognition to problem measurement.</w:t>
      </w:r>
    </w:p>
    <w:bookmarkEnd w:id="47"/>
    <w:bookmarkStart w:id="48" w:name="d5-trust-calibration-n16-16.5"/>
    <w:p>
      <w:pPr>
        <w:pStyle w:val="Heading3"/>
      </w:pPr>
      <w:r>
        <w:t xml:space="preserve">4.6 D5: Trust Calibration (n=16, 16.5%)</w:t>
      </w:r>
    </w:p>
    <w:p>
      <w:pPr>
        <w:pStyle w:val="FirstParagraph"/>
      </w:pPr>
      <w:r>
        <w:t xml:space="preserve">Domain 5 encompasses the 16 papers that explicitly address trust calibration as a construct, measurement target, or intervention goal (Table 3). These papers engage directly with the correspondence between trust and system reliability, whether through experimental manipulation of calibration conditions, development of calibration measures, or systematic review of calibration methods.</w:t>
      </w:r>
    </w:p>
    <w:p>
      <w:pPr>
        <w:pStyle w:val="BodyText"/>
      </w:pPr>
      <w:r>
        <w:t xml:space="preserve">The disciplinary composition of D5 is the most consequential finding for the calibration gap argument. Only 3 of the 16 D5 papers (#12 Safarov et al., 2026; #13 Wang et al., 2026; #101 Carter et al., 2024) were identified through the original educational AI database searches. The remaining 13 came from supplementary citation tracking targeting the human factors, HCI, and cognitive science literatures. In percentage terms: only 3 of 81 database-sourced papers (3.7%) reached D5, compared to 13 of 16 supplementary papers (81.3%). This asymmetry is not a methodological artifact; the supplementary search was purposively designed to find calibration-relevant work. Rather, the asymmetry</w:t>
      </w:r>
      <w:r>
        <w:t xml:space="preserve"> </w:t>
      </w:r>
      <w:r>
        <w:rPr>
          <w:i/>
          <w:iCs/>
        </w:rPr>
        <w:t xml:space="preserve">is</w:t>
      </w:r>
      <w:r>
        <w:t xml:space="preserve"> </w:t>
      </w:r>
      <w:r>
        <w:t xml:space="preserve">the finding: trust calibration is being studied productively in adjacent disciplines but has barely penetrated educational AI research.</w:t>
      </w:r>
    </w:p>
    <w:p>
      <w:pPr>
        <w:pStyle w:val="BodyText"/>
      </w:pPr>
      <w:r>
        <w:t xml:space="preserve">The three database-sourced D5 papers share an important characteristic: all three employ Lee and See’s (2004) or Hoff and Bashir’s (2015) trust-in-automation framework, suggesting that explicit adoption of calibration-oriented theoretical frameworks is a necessary condition for calibration-focused research in educational AI. Carter et al. (2024) applied the Human-Automation Trust Expectation Model to educational contexts; Safarov et al. (2026) and Wang et al. (2026) both drew on Lee and See’s framework combined with trust-in-automation constructs. This pattern reinforces the TAM lock-in argument: the theoretical framework researchers choose determines whether calibration becomes visible as a research question.</w:t>
      </w:r>
    </w:p>
    <w:p>
      <w:pPr>
        <w:pStyle w:val="BodyText"/>
      </w:pPr>
      <w:r>
        <w:t xml:space="preserve">Key D5 exemplars illuminate what calibration research looks like (Table 3). Okamura and Yamada (2020) used behavioral dependence switching as a calibration proxy in human-AI collaboration tasks, demonstrating that adaptive calibration interventions can shift reliance patterns. Ma et al. (2024) demonstrated that self-confidence calibration prompts improve reliance behavior in AI-assisted decision making, providing direct evidence that metacognitive interventions can affect calibration. Li et al. (2024) directly manipulated AI confidence calibration levels to assess their effects on user trust, establishing a causal pathway from system-level calibration cues to user-level trust responses. Lee et al. (2025) established metacognitive sensitivity as a mechanism linking metacognition to trust calibration, providing the most direct conceptual bridge between SRL and trust calibration literatures. Vasconcelos et al. (2023) showed that explanations can reduce overreliance on AI systems during decision-making, though the effect operates through increased cognitive engagement rather than calibration per se. Wischnewski et al. (2023) surveyed 96 studies on trust calibration measurement for automated systems—a comprehensive mapping that notably identified zero studies from educational contexts. Mehrotra et al. (2024) systematically reviewed approaches to fostering appropriate trust in human-AI interaction, identifying the measurement gap as a central obstacle.</w:t>
      </w:r>
    </w:p>
    <w:p>
      <w:pPr>
        <w:pStyle w:val="BodyText"/>
      </w:pPr>
      <w:r>
        <w:t xml:space="preserve">These D5 studies demonstrate three important points. First, calibration measurement methods exist and have been productively applied in adjacent disciplines. Second, these methods have not been adopted in educational AI research—the gap is one of disciplinary disconnection, not methodological impossibility. Third, the emerging metacognition-calibration bridge (Lee et al., 2025; Lee &amp; Bosch, 2025; Steyvers &amp; Peters, 2025) suggests that educational researchers are uniquely positioned to advance calibration research by connecting established SRL traditions with the trust calibration construct.</w:t>
      </w:r>
    </w:p>
    <w:bookmarkEnd w:id="48"/>
    <w:bookmarkStart w:id="52" w:name="cross-cutting-observations"/>
    <w:p>
      <w:pPr>
        <w:pStyle w:val="Heading3"/>
      </w:pPr>
      <w:r>
        <w:t xml:space="preserve">4.7 Cross-Cutting Observations</w:t>
      </w:r>
    </w:p>
    <w:p>
      <w:pPr>
        <w:pStyle w:val="FirstParagraph"/>
      </w:pPr>
      <w:r>
        <w:t xml:space="preserve">Four patterns cut across all five domains and provide additional context for the calibration gap argument.</w:t>
      </w:r>
    </w:p>
    <w:p>
      <w:pPr>
        <w:pStyle w:val="BodyText"/>
      </w:pPr>
      <w:r>
        <w:t xml:space="preserve">First, the theoretical landscape is profoundly fragmented (Figure 5).</w:t>
      </w:r>
    </w:p>
    <w:p>
      <w:pPr>
        <w:pStyle w:val="CaptionedFigure"/>
      </w:pPr>
      <w:r>
        <w:drawing>
          <wp:inline>
            <wp:extent cx="5943600" cy="4179210"/>
            <wp:effectExtent b="0" l="0" r="0" t="0"/>
            <wp:docPr descr="Figure 5. Theoretical framework landscape across the 97-paper corpus." title="" id="50" name="Picture"/>
            <a:graphic>
              <a:graphicData uri="http://schemas.openxmlformats.org/drawingml/2006/picture">
                <pic:pic>
                  <pic:nvPicPr>
                    <pic:cNvPr descr="figures/figure5_framework_landscape.png" id="51" name="Picture"/>
                    <pic:cNvPicPr>
                      <a:picLocks noChangeArrowheads="1" noChangeAspect="1"/>
                    </pic:cNvPicPr>
                  </pic:nvPicPr>
                  <pic:blipFill>
                    <a:blip r:embed="rId49"/>
                    <a:stretch>
                      <a:fillRect/>
                    </a:stretch>
                  </pic:blipFill>
                  <pic:spPr bwMode="auto">
                    <a:xfrm>
                      <a:off x="0" y="0"/>
                      <a:ext cx="5943600" cy="4179210"/>
                    </a:xfrm>
                    <a:prstGeom prst="rect">
                      <a:avLst/>
                    </a:prstGeom>
                    <a:noFill/>
                    <a:ln w="9525">
                      <a:noFill/>
                      <a:headEnd/>
                      <a:tailEnd/>
                    </a:ln>
                  </pic:spPr>
                </pic:pic>
              </a:graphicData>
            </a:graphic>
          </wp:inline>
        </w:drawing>
      </w:r>
    </w:p>
    <w:p>
      <w:pPr>
        <w:pStyle w:val="ImageCaption"/>
      </w:pPr>
      <w:r>
        <w:t xml:space="preserve">Figure 5. Theoretical framework landscape across the 97-paper corpus.</w:t>
      </w:r>
    </w:p>
    <w:p>
      <w:pPr>
        <w:pStyle w:val="BodyText"/>
      </w:pPr>
      <w:r>
        <w:t xml:space="preserve">Nearly half (49.5%) of papers employed no identifiable theoretical framework, proceeding directly from research questions to investigation without anchoring their inquiry in established theory. Among papers that did employ a framework, TAM/UTAUT variants constituted the largest cluster (22.7%), followed by DOI (13.4%) and AIED-specific frameworks (13.4%). Calibration-relevant frameworks—Lee and See’s trust-in-automation model (7.2%) and Hoff and Bashir’s three-layer model (2.1%)—appeared in a combined 9.3% of papers, less than half the prevalence of TAM/UTAUT alone. SRL frameworks, which are pedagogically most relevant to calibration given their emphasis on metacognitive monitoring, appeared in only 5 papers (5.2%). The calibration-relevant frameworks are marginalized precisely in the field where calibration matters most.</w:t>
      </w:r>
    </w:p>
    <w:p>
      <w:pPr>
        <w:pStyle w:val="BodyText"/>
      </w:pPr>
      <w:r>
        <w:t xml:space="preserve">Second, the measurement infrastructure is sparse. Only 7 papers (7.2%) measured trust empirically in any form, only 1 (1.0%) measured calibration accuracy, and none measured both simultaneously. Among measurement approaches, the prevailing strategy relies on Likert-type self-report instruments administered as cross-sectional surveys. Behavioral measures of trust—examining AI output acceptance rates, usage frequency, or task delegation patterns—remain rare. Process-level measures (time spent verifying AI outputs, modification patterns, information-seeking behaviors) are entirely absent from the corpus. Yet process measures are precisely what would be needed to assess trust calibration in real time.</w:t>
      </w:r>
    </w:p>
    <w:p>
      <w:pPr>
        <w:pStyle w:val="BodyText"/>
      </w:pPr>
      <w:r>
        <w:t xml:space="preserve">Third, the study types reveal a field heavy on synthesis and light on primary data: 50.5% of papers were reviews (narrative or systematic), 37.1% were empirical, 8.2% theoretical, and 4.1% mixed methods. D5 stands out as the most empirically active domain (56% empirical), while D2 is the most review-heavy (73%). The predominance of reviews across the corpus is not inherently problematic, but it means the field’s conclusions about trust are built more on synthesis of existing knowledge than on new empirical evidence—particularly problematic when the existing knowledge base lacks calibration measurement.</w:t>
      </w:r>
    </w:p>
    <w:p>
      <w:pPr>
        <w:pStyle w:val="BodyText"/>
      </w:pPr>
      <w:r>
        <w:t xml:space="preserve">Fourth, the corpus is temporally concentrated: 64.9% of papers were published in 2025, reflecting the rapid growth of GenAI-related trust scholarship following ChatGPT’s public release. This recency suggests the field is in a formative period where paradigmatic choices—including whether to adopt a calibration lens—are still being made. The window for shifting the field’s orientation from trust-level to trust-calibration research may be particularly open during this formative phase.</w:t>
      </w:r>
    </w:p>
    <w:bookmarkEnd w:id="52"/>
    <w:bookmarkEnd w:id="53"/>
    <w:bookmarkStart w:id="64" w:name="the-calibration-gap"/>
    <w:p>
      <w:pPr>
        <w:pStyle w:val="Heading2"/>
      </w:pPr>
      <w:r>
        <w:t xml:space="preserve">5. The Calibration Gap</w:t>
      </w:r>
    </w:p>
    <w:bookmarkStart w:id="57" w:name="Xd2fed76169013a5d7a40af6889d23fba1d27825"/>
    <w:p>
      <w:pPr>
        <w:pStyle w:val="Heading3"/>
      </w:pPr>
      <w:r>
        <w:t xml:space="preserve">5.1 What the Field Has Built—and What It Has Not</w:t>
      </w:r>
    </w:p>
    <w:p>
      <w:pPr>
        <w:pStyle w:val="FirstParagraph"/>
      </w:pPr>
      <w:r>
        <w:t xml:space="preserve">Before diagnosing the gap, it is worth recognizing what 97 papers have accomplished. The field has built a substantial awareness infrastructure: 42.3% of studies (D4) recognize that trust in AI can be miscalibrated, discussing overtrust, undertrust, or both. A majority (64.9%) propose some form of scaffold or design intervention. Researchers are asking important questions about learner-AI relationships, and the rapid growth of the literature (64.9% published in 2025 alone) signals that the community recognizes trust as a central concern.</w:t>
      </w:r>
    </w:p>
    <w:p>
      <w:pPr>
        <w:pStyle w:val="BodyText"/>
      </w:pPr>
      <w:r>
        <w:t xml:space="preserve">Yet four patterns within this productive activity reveal a structural disconnection between awareness and measurement—between</w:t>
      </w:r>
      <w:r>
        <w:t xml:space="preserve"> </w:t>
      </w:r>
      <w:r>
        <w:rPr>
          <w:i/>
          <w:iCs/>
        </w:rPr>
        <w:t xml:space="preserve">recognizing</w:t>
      </w:r>
      <w:r>
        <w:t xml:space="preserve"> </w:t>
      </w:r>
      <w:r>
        <w:t xml:space="preserve">that trust matters and</w:t>
      </w:r>
      <w:r>
        <w:t xml:space="preserve"> </w:t>
      </w:r>
      <w:r>
        <w:rPr>
          <w:i/>
          <w:iCs/>
        </w:rPr>
        <w:t xml:space="preserve">assessing</w:t>
      </w:r>
      <w:r>
        <w:t xml:space="preserve"> </w:t>
      </w:r>
      <w:r>
        <w:t xml:space="preserve">whether it is accurate.</w:t>
      </w:r>
    </w:p>
    <w:p>
      <w:pPr>
        <w:pStyle w:val="BodyText"/>
      </w:pPr>
      <w:r>
        <w:rPr>
          <w:i/>
          <w:iCs/>
        </w:rPr>
        <w:t xml:space="preserve">Pattern 1: The awareness-tool gap.</w:t>
      </w:r>
      <w:r>
        <w:t xml:space="preserve"> </w:t>
      </w:r>
      <w:r>
        <w:t xml:space="preserve">D4 is the largest domain (42.3%), yet 56% of D4 papers employ no theoretical framework. The field’s most active researchers—those who recognize miscalibration as a problem—lack the conceptual tools to move from recognition to measurement.</w:t>
      </w:r>
    </w:p>
    <w:p>
      <w:pPr>
        <w:pStyle w:val="BodyText"/>
      </w:pPr>
      <w:r>
        <w:rPr>
          <w:i/>
          <w:iCs/>
        </w:rPr>
        <w:t xml:space="preserve">Pattern 2: The cross-disciplinary disconnect.</w:t>
      </w:r>
      <w:r>
        <w:t xml:space="preserve"> </w:t>
      </w:r>
      <w:r>
        <w:t xml:space="preserve">Lee and See’s (2004) trust calibration framework appears in 7 papers, with 6 concentrated in D5 (86%). SRL frameworks appear in 5 papers, with zero in D5. The two research traditions closest to trust calibration—one providing the measurement logic, the other providing the metacognitive theory—have not converged.</w:t>
      </w:r>
    </w:p>
    <w:p>
      <w:pPr>
        <w:pStyle w:val="BodyText"/>
      </w:pPr>
      <w:r>
        <w:rPr>
          <w:i/>
          <w:iCs/>
        </w:rPr>
        <w:t xml:space="preserve">Pattern 3: The scaffold asymmetry.</w:t>
      </w:r>
      <w:r>
        <w:t xml:space="preserve"> </w:t>
      </w:r>
      <w:r>
        <w:t xml:space="preserve">Transparency scaffolds appear in 24.7% of the corpus; metacognitive scaffolds in only 3.1%. The field invests heavily in giving learners information about AI (transparency) but rarely in developing learners’ capacity to evaluate that information (metacognition)—yet calibration requires the latter.</w:t>
      </w:r>
    </w:p>
    <w:p>
      <w:pPr>
        <w:pStyle w:val="BodyText"/>
      </w:pPr>
      <w:r>
        <w:rPr>
          <w:i/>
          <w:iCs/>
        </w:rPr>
        <w:t xml:space="preserve">Pattern 4: The D5 source asymmetry.</w:t>
      </w:r>
      <w:r>
        <w:t xml:space="preserve"> </w:t>
      </w:r>
      <w:r>
        <w:t xml:space="preserve">Of 16 papers reaching D5, only 3 (3.7% of database-sourced papers) came from educational AI databases; 13 came from supplementary citation tracking targeting adjacent disciplines. Trust calibration research exists—but outside education’s disciplinary boundaries.</w:t>
      </w:r>
    </w:p>
    <w:p>
      <w:pPr>
        <w:pStyle w:val="BodyText"/>
      </w:pPr>
      <w:r>
        <w:t xml:space="preserve">These four patterns converge on a single conclusion: the field has reached the threshold of calibration awareness without crossing into calibration measurement. The gap is not at the periphery but at the core of the measurement enterprise.</w:t>
      </w:r>
    </w:p>
    <w:p>
      <w:pPr>
        <w:pStyle w:val="BodyText"/>
      </w:pPr>
      <w:r>
        <w:rPr>
          <w:b/>
          <w:bCs/>
        </w:rPr>
        <w:t xml:space="preserve">The definitional dimension.</w:t>
      </w:r>
      <w:r>
        <w:t xml:space="preserve"> </w:t>
      </w:r>
      <w:r>
        <w:t xml:space="preserve">Of 97 papers, 82 (84.5%) provided no explicit definition of trust. Without definitional precision, the field cannot distinguish between trust as an attitude (Lee &amp; See, 2004), trust as a belief about trustee characteristics (Mayer et al., 1995), and trust as behavioral intention (Davis, 1989)—constructs with different measurement requirements, antecedents, and implications for calibration. The absence of definition is not merely a scholarly oversight; it reflects a field treating trust as self-evident, which precludes the kind of construct refinement necessary for calibration research.</w:t>
      </w:r>
    </w:p>
    <w:p>
      <w:pPr>
        <w:pStyle w:val="BodyText"/>
      </w:pPr>
      <w:r>
        <w:rPr>
          <w:b/>
          <w:bCs/>
        </w:rPr>
        <w:t xml:space="preserve">The measurement dimension.</w:t>
      </w:r>
      <w:r>
        <w:t xml:space="preserve"> </w:t>
      </w:r>
      <w:r>
        <w:t xml:space="preserve">The progressive attrition from acknowledgment to measurement reveals the gap’s empirical depth</w:t>
      </w:r>
    </w:p>
    <w:p>
      <w:pPr>
        <w:pStyle w:val="CaptionedFigure"/>
      </w:pPr>
      <w:r>
        <w:drawing>
          <wp:inline>
            <wp:extent cx="5943600" cy="3702272"/>
            <wp:effectExtent b="0" l="0" r="0" t="0"/>
            <wp:docPr descr="Figure 3. The Calibration Gap: Progressive attrition from trust acknowledgment to calibration measurement." title="" id="55" name="Picture"/>
            <a:graphic>
              <a:graphicData uri="http://schemas.openxmlformats.org/drawingml/2006/picture">
                <pic:pic>
                  <pic:nvPicPr>
                    <pic:cNvPr descr="figures/figure3_calibration_gap.png" id="56" name="Picture"/>
                    <pic:cNvPicPr>
                      <a:picLocks noChangeArrowheads="1" noChangeAspect="1"/>
                    </pic:cNvPicPr>
                  </pic:nvPicPr>
                  <pic:blipFill>
                    <a:blip r:embed="rId54"/>
                    <a:stretch>
                      <a:fillRect/>
                    </a:stretch>
                  </pic:blipFill>
                  <pic:spPr bwMode="auto">
                    <a:xfrm>
                      <a:off x="0" y="0"/>
                      <a:ext cx="5943600" cy="3702272"/>
                    </a:xfrm>
                    <a:prstGeom prst="rect">
                      <a:avLst/>
                    </a:prstGeom>
                    <a:noFill/>
                    <a:ln w="9525">
                      <a:noFill/>
                      <a:headEnd/>
                      <a:tailEnd/>
                    </a:ln>
                  </pic:spPr>
                </pic:pic>
              </a:graphicData>
            </a:graphic>
          </wp:inline>
        </w:drawing>
      </w:r>
    </w:p>
    <w:p>
      <w:pPr>
        <w:pStyle w:val="ImageCaption"/>
      </w:pPr>
      <w:r>
        <w:t xml:space="preserve">Figure 3. The Calibration Gap: Progressive attrition from trust acknowledgment to calibration measurement.</w:t>
      </w:r>
    </w:p>
    <w:p>
      <w:pPr>
        <w:pStyle w:val="BodyText"/>
      </w:pPr>
      <w:r>
        <w:t xml:space="preserve">(Figure 3; Table 4). While 51 papers (52.6%) discussed overtrust or undertrust and 42 (43.3%) partially addressed calibration, only 16 (16.5%) explicitly engaged with calibration as a construct—and of those, only 3 came from educational AI databases. Most critically, only 7 papers (7.2%) measured trust empirically in any form, and only 1 measured calibration accuracy. No paper in the corpus measured both trust level and AI reliability simultaneously. The funnel from 97 to 0 illustrates that the gap is not merely at the periphery but at the core of the measurement enterprise. The contrast with adjacent disciplines quantifies the disconnection (Table Y).</w:t>
      </w:r>
    </w:p>
    <w:p>
      <w:pPr>
        <w:pStyle w:val="BodyText"/>
      </w:pPr>
      <w:r>
        <w:rPr>
          <w:b/>
          <w:bCs/>
        </w:rPr>
        <w:t xml:space="preserve">Table Y.</w:t>
      </w:r>
      <w:r>
        <w:t xml:space="preserve"> </w:t>
      </w:r>
      <w:r>
        <w:rPr>
          <w:i/>
          <w:iCs/>
        </w:rPr>
        <w:t xml:space="preserve">Trust Calibration Measurement: Educational AI Versus Automation/HCI</w:t>
      </w:r>
    </w:p>
    <w:tbl>
      <w:tblPr>
        <w:tblStyle w:val="Table"/>
        <w:tblW w:type="pct" w:w="5000"/>
        <w:tblLayout w:type="fixed"/>
        <w:tblLook w:firstRow="1" w:lastRow="0" w:firstColumn="0" w:lastColumn="0" w:noHBand="0" w:noVBand="0" w:val="0020"/>
      </w:tblPr>
      <w:tblGrid>
        <w:gridCol w:w="1827"/>
        <w:gridCol w:w="3046"/>
        <w:gridCol w:w="3046"/>
      </w:tblGrid>
      <w:tr>
        <w:trPr>
          <w:tblHeader w:val="on"/>
        </w:trPr>
        <w:tc>
          <w:tcPr/>
          <w:p>
            <w:pPr>
              <w:pStyle w:val="Compact"/>
            </w:pPr>
            <w:r>
              <w:t xml:space="preserve">Measurement type</w:t>
            </w:r>
          </w:p>
        </w:tc>
        <w:tc>
          <w:tcPr/>
          <w:p>
            <w:pPr>
              <w:pStyle w:val="Compact"/>
              <w:jc w:val="center"/>
            </w:pPr>
            <w:r>
              <w:t xml:space="preserve">Automation/HCI (Wischnewski et al., 2023)</w:t>
            </w:r>
          </w:p>
        </w:tc>
        <w:tc>
          <w:tcPr/>
          <w:p>
            <w:pPr>
              <w:pStyle w:val="Compact"/>
              <w:jc w:val="center"/>
            </w:pPr>
            <w:r>
              <w:t xml:space="preserve">Educational AI (present review, N=97)</w:t>
            </w:r>
          </w:p>
        </w:tc>
      </w:tr>
      <w:tr>
        <w:tc>
          <w:tcPr/>
          <w:p>
            <w:pPr>
              <w:pStyle w:val="Compact"/>
            </w:pPr>
            <w:r>
              <w:t xml:space="preserve">Trust level measured</w:t>
            </w:r>
          </w:p>
        </w:tc>
        <w:tc>
          <w:tcPr/>
          <w:p>
            <w:pPr>
              <w:pStyle w:val="Compact"/>
              <w:jc w:val="center"/>
            </w:pPr>
            <w:r>
              <w:t xml:space="preserve">96 studies</w:t>
            </w:r>
          </w:p>
        </w:tc>
        <w:tc>
          <w:tcPr/>
          <w:p>
            <w:pPr>
              <w:pStyle w:val="Compact"/>
              <w:jc w:val="center"/>
            </w:pPr>
            <w:r>
              <w:t xml:space="preserve">7 (7.2%)</w:t>
            </w:r>
          </w:p>
        </w:tc>
      </w:tr>
      <w:tr>
        <w:tc>
          <w:tcPr/>
          <w:p>
            <w:pPr>
              <w:pStyle w:val="Compact"/>
            </w:pPr>
            <w:r>
              <w:t xml:space="preserve">AI system reliability measured</w:t>
            </w:r>
          </w:p>
        </w:tc>
        <w:tc>
          <w:tcPr/>
          <w:p>
            <w:pPr>
              <w:pStyle w:val="Compact"/>
              <w:jc w:val="center"/>
            </w:pPr>
            <w:r>
              <w:t xml:space="preserve">96 studies</w:t>
            </w:r>
          </w:p>
        </w:tc>
        <w:tc>
          <w:tcPr/>
          <w:p>
            <w:pPr>
              <w:pStyle w:val="Compact"/>
              <w:jc w:val="center"/>
            </w:pPr>
            <w:r>
              <w:t xml:space="preserve">0</w:t>
            </w:r>
          </w:p>
        </w:tc>
      </w:tr>
      <w:tr>
        <w:tc>
          <w:tcPr/>
          <w:p>
            <w:pPr>
              <w:pStyle w:val="Compact"/>
            </w:pPr>
            <w:r>
              <w:t xml:space="preserve">Both variables measured simultaneously</w:t>
            </w:r>
          </w:p>
        </w:tc>
        <w:tc>
          <w:tcPr/>
          <w:p>
            <w:pPr>
              <w:pStyle w:val="Compact"/>
              <w:jc w:val="center"/>
            </w:pPr>
            <w:r>
              <w:rPr>
                <w:b/>
                <w:bCs/>
              </w:rPr>
              <w:t xml:space="preserve">96</w:t>
            </w:r>
          </w:p>
        </w:tc>
        <w:tc>
          <w:tcPr/>
          <w:p>
            <w:pPr>
              <w:pStyle w:val="Compact"/>
              <w:jc w:val="center"/>
            </w:pPr>
            <w:r>
              <w:rPr>
                <w:b/>
                <w:bCs/>
              </w:rPr>
              <w:t xml:space="preserve">0</w:t>
            </w:r>
          </w:p>
        </w:tc>
      </w:tr>
      <w:tr>
        <w:tc>
          <w:tcPr/>
          <w:p>
            <w:pPr>
              <w:pStyle w:val="Compact"/>
            </w:pPr>
            <w:r>
              <w:t xml:space="preserve">Calibration accuracy computed</w:t>
            </w:r>
          </w:p>
        </w:tc>
        <w:tc>
          <w:tcPr/>
          <w:p>
            <w:pPr>
              <w:pStyle w:val="Compact"/>
              <w:jc w:val="center"/>
            </w:pPr>
            <w:r>
              <w:t xml:space="preserve">96</w:t>
            </w:r>
          </w:p>
        </w:tc>
        <w:tc>
          <w:tcPr/>
          <w:p>
            <w:pPr>
              <w:pStyle w:val="Compact"/>
              <w:jc w:val="center"/>
            </w:pPr>
            <w:r>
              <w:t xml:space="preserve">1 (1.0%)</w:t>
            </w:r>
          </w:p>
        </w:tc>
      </w:tr>
    </w:tbl>
    <w:p>
      <w:pPr>
        <w:pStyle w:val="BodyText"/>
      </w:pPr>
      <w:r>
        <w:t xml:space="preserve">This is analogous to measuring a student’s confidence without measuring their actual performance: one can quantify the attitude but cannot determine whether it is warranted—a state that would be unthinkable in SRL calibration research, where the comparison of judgment to criterion is the entire methodological foundation. A learner who reports high trust in an AI system that is, in fact, highly reliable for the given task is well-calibrated. A learner who reports equally high trust in a system that is unreliable for the given task is dangerously miscalibrated. Current measurement approaches cannot distinguish between these two states because they assess trust level without reference to the reliability baseline against which trust should be evaluated.</w:t>
      </w:r>
    </w:p>
    <w:p>
      <w:pPr>
        <w:pStyle w:val="BodyText"/>
      </w:pPr>
      <w:r>
        <w:rPr>
          <w:b/>
          <w:bCs/>
        </w:rPr>
        <w:t xml:space="preserve">The disciplinary dimension.</w:t>
      </w:r>
      <w:r>
        <w:t xml:space="preserve"> </w:t>
      </w:r>
      <w:r>
        <w:t xml:space="preserve">The D5 source analysis reveals a striking asymmetry: 13 of 16 calibration-focused papers originated from adjacent disciplines (human factors, HCI, cognitive science), not from educational AI databases. This pattern indicates not a methodological impossibility but a disciplinary disconnection. The contrast with Wischnewski et al.’s (2023) finding is instructive: their survey identified 96 studies measuring trust calibration for automated systems, demonstrating that calibration measurement is a mature research area in human factors. Yet none of those 96 studies addressed educational contexts.</w:t>
      </w:r>
    </w:p>
    <w:p>
      <w:pPr>
        <w:pStyle w:val="BodyText"/>
      </w:pPr>
      <w:r>
        <w:t xml:space="preserve">We acknowledge that our supplementary search was designed to find calibration-relevant work, and therefore the 13:3 ratio partly reflects search strategy. However, the fact that only 3 of 81 database-sourced papers (3.7%) reached D5 is itself the evidence: the original educational AI databases, searched with broad trust-related terms, yielded almost no calibration-focused work. The gap is in the field, not in the search. This disciplinary disconnection means that educational AI researchers are, in effect, working on trust without access to the most developed body of calibration theory and measurement—a disconnection that the present review aims to make visible and actionable. The bridge-building work of Lee et al. (2025) and Lee and Bosch (2025), who explicitly connect metacognitive calibration from the SRL tradition with trust calibration from the automation tradition, demonstrates that disciplinary integration is both possible and productive. Yet these papers remain exceptional rather than representative.</w:t>
      </w:r>
    </w:p>
    <w:bookmarkEnd w:id="57"/>
    <w:bookmarkStart w:id="58" w:name="why-the-gap-persists-tam-lock-in"/>
    <w:p>
      <w:pPr>
        <w:pStyle w:val="Heading3"/>
      </w:pPr>
      <w:r>
        <w:t xml:space="preserve">5.2 Why the Gap Persists: TAM Lock-In</w:t>
      </w:r>
    </w:p>
    <w:p>
      <w:pPr>
        <w:pStyle w:val="FirstParagraph"/>
      </w:pPr>
      <w:r>
        <w:t xml:space="preserve">The persistence of the calibration gap is not random; it reflects a structural relationship between the field’s dominant theoretical framework and the questions it can ask. TAM/UTAUT variants appeared in 22.7% of the corpus—the most common named framework family—and their structural design systematically directs attention toward adoption while rendering calibration invisible.</w:t>
      </w:r>
    </w:p>
    <w:p>
      <w:pPr>
        <w:pStyle w:val="BodyText"/>
      </w:pPr>
      <w:r>
        <w:t xml:space="preserve">In TAM, trust functions as an independent variable predicting adoption intention. This creates what we term</w:t>
      </w:r>
      <w:r>
        <w:t xml:space="preserve"> </w:t>
      </w:r>
      <w:r>
        <w:rPr>
          <w:i/>
          <w:iCs/>
        </w:rPr>
        <w:t xml:space="preserve">TAM lock-in</w:t>
      </w:r>
      <w:r>
        <w:t xml:space="preserve">: a self-reinforcing cycle in which (a) researchers adopt TAM because it is established and widely published, (b) TAM structures research around adoption questions, (c) adoption-focused research produces findings about trust</w:t>
      </w:r>
      <w:r>
        <w:t xml:space="preserve"> </w:t>
      </w:r>
      <w:r>
        <w:rPr>
          <w:i/>
          <w:iCs/>
        </w:rPr>
        <w:t xml:space="preserve">level</w:t>
      </w:r>
      <w:r>
        <w:t xml:space="preserve"> </w:t>
      </w:r>
      <w:r>
        <w:t xml:space="preserve">but not trust</w:t>
      </w:r>
      <w:r>
        <w:t xml:space="preserve"> </w:t>
      </w:r>
      <w:r>
        <w:rPr>
          <w:i/>
          <w:iCs/>
        </w:rPr>
        <w:t xml:space="preserve">calibration</w:t>
      </w:r>
      <w:r>
        <w:t xml:space="preserve">, and (d) the absence of calibration findings reinforces the perception that calibration is not a productive research direction. The result is a form of what Kuhn (1962) described as</w:t>
      </w:r>
      <w:r>
        <w:t xml:space="preserve"> </w:t>
      </w:r>
      <w:r>
        <w:t xml:space="preserve">“normal science”</w:t>
      </w:r>
      <w:r>
        <w:t xml:space="preserve"> </w:t>
      </w:r>
      <w:r>
        <w:t xml:space="preserve">operating within a paradigm that makes certain questions invisible—not because they are unimportant, but because the paradigm’s assumptions do not accommodate them.</w:t>
      </w:r>
    </w:p>
    <w:p>
      <w:pPr>
        <w:pStyle w:val="BodyText"/>
      </w:pPr>
      <w:r>
        <w:t xml:space="preserve">The domain × framework cross-tabulation supports this interpretation (Figure 5). Calibration-relevant frameworks (Lee &amp; See, Hoff &amp; Bashir) are concentrated in D5, appearing in 6 of the 7 Lee &amp; See papers that reached D5 but in zero D1, D2, or D3 papers. Conversely, TAM dominates D1 (by definition) and is prevalent in D3. The theoretical frameworks researchers choose shape which questions they can ask—and by extension, which domain of the typology their work inhabits.</w:t>
      </w:r>
    </w:p>
    <w:p>
      <w:pPr>
        <w:pStyle w:val="BodyText"/>
      </w:pPr>
      <w:r>
        <w:t xml:space="preserve">The 49.5% of papers without any theoretical framework may paradoxically represent an opportunity: atheoretical research is not locked into TAM’s structural limitations and could potentially be redirected toward calibration-oriented inquiry if appropriate frameworks were available and accessible. However, the depth of framework engagement further qualifies the prospects for such redirection: among papers employing a framework, 24 (24.7%) engaged at a superficial level, 21 (21.6%) at an applied level, and only 4 (4.1%) at a foundational level contributing to framework development. The predominance of superficial engagement suggests that even where frameworks are present, they often serve a legitimating function rather than a generative one.</w:t>
      </w:r>
    </w:p>
    <w:bookmarkEnd w:id="58"/>
    <w:bookmarkStart w:id="59" w:name="the-cost-of-the-gap"/>
    <w:p>
      <w:pPr>
        <w:pStyle w:val="Heading3"/>
      </w:pPr>
      <w:r>
        <w:t xml:space="preserve">5.3 The Cost of the Gap</w:t>
      </w:r>
    </w:p>
    <w:p>
      <w:pPr>
        <w:pStyle w:val="FirstParagraph"/>
      </w:pPr>
      <w:r>
        <w:t xml:space="preserve">The calibration gap is not merely an academic oversight; it carries concrete costs for educational practice and policy.</w:t>
      </w:r>
    </w:p>
    <w:p>
      <w:pPr>
        <w:pStyle w:val="BodyText"/>
      </w:pPr>
      <w:r>
        <w:t xml:space="preserve">Bastani et al. (2025) documented one cost directly: 17% lower performance among students with unrestricted AI access, attributable to uncalibrated overtrust. Without calibration measurement infrastructure, educational institutions cannot distinguish between productive AI use (calibrated trust) and harmful AI dependence (overtrust)—and therefore cannot intervene before harm occurs. This cost is likely to scale: as AI tools become more integrated into curricula, the proportion of learner-AI interactions subject to potential miscalibration grows, yet the measurement infrastructure for detecting miscalibration remains absent.</w:t>
      </w:r>
    </w:p>
    <w:p>
      <w:pPr>
        <w:pStyle w:val="BodyText"/>
      </w:pPr>
      <w:r>
        <w:t xml:space="preserve">In medical education, the cost takes on additional urgency. Kıyak et al. (2026) demonstrated that ChatGPT warnings fail to reduce overreliance on AI-generated clinical advice in randomized controlled conditions, suggesting that surface-level interventions are insufficient to correct trust miscalibration in high-stakes domains. If future physicians develop uncalibrated trust in AI diagnostic tools during training, the consequences extend far beyond educational outcomes.</w:t>
      </w:r>
    </w:p>
    <w:p>
      <w:pPr>
        <w:pStyle w:val="BodyText"/>
      </w:pPr>
      <w:r>
        <w:t xml:space="preserve">The cost extends beyond individual learners to institutional and policy domains. The EU AI Act (European Union, 2024) classifies educational AI as high-risk (Annex III), requiring human oversight mechanisms and transparency provisions. UNESCO (2023) guidelines for generative AI in education emphasize the need for critical evaluation skills and appropriate learner-AI relationships. The UNESCO AI Competency Framework for Teachers (UNESCO, 2024) explicitly includes helping students critically evaluate AI outputs as a core competency. Yet all these frameworks implicitly require what the field currently lacks: methods to assess whether learners’ trust in AI is appropriate. Policy mandates for</w:t>
      </w:r>
      <w:r>
        <w:t xml:space="preserve"> </w:t>
      </w:r>
      <w:r>
        <w:t xml:space="preserve">“trustworthy AI”</w:t>
      </w:r>
      <w:r>
        <w:t xml:space="preserve"> </w:t>
      </w:r>
      <w:r>
        <w:t xml:space="preserve">without calibration infrastructure risk creating compliance frameworks that cannot operationalize their stated goals.</w:t>
      </w:r>
    </w:p>
    <w:p>
      <w:pPr>
        <w:pStyle w:val="BodyText"/>
      </w:pPr>
      <w:r>
        <w:t xml:space="preserve">The emerging literature on cognitive offloading (Risko &amp; Gilbert, 2016; Sparrow et al., 2011) suggests an additional, more insidious cost: when learners delegate cognitive effort to AI systems without calibrated trust, they may experience not just performance decrements on specific tasks but broader erosion of the metacognitive skills needed for independent learning. If trust miscalibration becomes habitual, the cost is not merely a worse grade on a single assessment but a fundamentally diminished capacity for autonomous intellectual engagement. The cumulative effect of uncalibrated trust across thousands of student-AI interactions per semester—multiplied across millions of learners worldwide—represents a systemic risk to educational quality that the current research infrastructure is unequipped to monitor, measure, or mitigate.</w:t>
      </w:r>
    </w:p>
    <w:bookmarkEnd w:id="59"/>
    <w:bookmarkStart w:id="63" w:name="X2e63bdbc0d247ac93db2d15599b0233fedc1f8e"/>
    <w:p>
      <w:pPr>
        <w:pStyle w:val="Heading3"/>
      </w:pPr>
      <w:r>
        <w:t xml:space="preserve">5.4 The Trust–AI Reliability Matrix: A Diagnostic Tool</w:t>
      </w:r>
    </w:p>
    <w:p>
      <w:pPr>
        <w:pStyle w:val="FirstParagraph"/>
      </w:pPr>
      <w:r>
        <w:t xml:space="preserve">To operationalize the calibration concept, we propose the Trust–AI Reliability Matrix</w:t>
      </w:r>
    </w:p>
    <w:p>
      <w:pPr>
        <w:pStyle w:val="CaptionedFigure"/>
      </w:pPr>
      <w:r>
        <w:drawing>
          <wp:inline>
            <wp:extent cx="5349240" cy="4109882"/>
            <wp:effectExtent b="0" l="0" r="0" t="0"/>
            <wp:docPr descr="Figure 4. The Trust–AI Reliability Matrix." title="" id="61" name="Picture"/>
            <a:graphic>
              <a:graphicData uri="http://schemas.openxmlformats.org/drawingml/2006/picture">
                <pic:pic>
                  <pic:nvPicPr>
                    <pic:cNvPr descr="figures/figure4_trust_reliability_matrix.png" id="62" name="Picture"/>
                    <pic:cNvPicPr>
                      <a:picLocks noChangeArrowheads="1" noChangeAspect="1"/>
                    </pic:cNvPicPr>
                  </pic:nvPicPr>
                  <pic:blipFill>
                    <a:blip r:embed="rId60"/>
                    <a:stretch>
                      <a:fillRect/>
                    </a:stretch>
                  </pic:blipFill>
                  <pic:spPr bwMode="auto">
                    <a:xfrm>
                      <a:off x="0" y="0"/>
                      <a:ext cx="5349240" cy="4109882"/>
                    </a:xfrm>
                    <a:prstGeom prst="rect">
                      <a:avLst/>
                    </a:prstGeom>
                    <a:noFill/>
                    <a:ln w="9525">
                      <a:noFill/>
                      <a:headEnd/>
                      <a:tailEnd/>
                    </a:ln>
                  </pic:spPr>
                </pic:pic>
              </a:graphicData>
            </a:graphic>
          </wp:inline>
        </w:drawing>
      </w:r>
    </w:p>
    <w:p>
      <w:pPr>
        <w:pStyle w:val="ImageCaption"/>
      </w:pPr>
      <w:r>
        <w:t xml:space="preserve">Figure 4. The Trust–AI Reliability Matrix.</w:t>
      </w:r>
    </w:p>
    <w:p>
      <w:pPr>
        <w:pStyle w:val="BodyText"/>
      </w:pPr>
      <w:r>
        <w:t xml:space="preserve">(Figure 4), a 2×2 framework mapping learner trust (high vs. low) against AI reliability (high vs. low) for a given task.</w:t>
      </w:r>
    </w:p>
    <w:p>
      <w:pPr>
        <w:pStyle w:val="BodyText"/>
      </w:pPr>
      <w:r>
        <w:rPr>
          <w:i/>
          <w:iCs/>
        </w:rPr>
        <w:t xml:space="preserve">Quadrant I: High Trust + High Reliability = Calibrated Appropriate Use.</w:t>
      </w:r>
      <w:r>
        <w:t xml:space="preserve"> </w:t>
      </w:r>
      <w:r>
        <w:t xml:space="preserve">Trust is warranted; the learner’s reliance on the AI system is productive.</w:t>
      </w:r>
    </w:p>
    <w:p>
      <w:pPr>
        <w:pStyle w:val="BodyText"/>
      </w:pPr>
      <w:r>
        <w:rPr>
          <w:i/>
          <w:iCs/>
        </w:rPr>
        <w:t xml:space="preserve">Quadrant II: High Trust + Low Reliability = Overtrust (</w:t>
      </w:r>
      <w:r>
        <w:rPr>
          <w:i/>
          <w:iCs/>
        </w:rPr>
        <w:t xml:space="preserve">“The Bastani Trap”</w:t>
      </w:r>
      <w:r>
        <w:rPr>
          <w:i/>
          <w:iCs/>
        </w:rPr>
        <w:t xml:space="preserve">).</w:t>
      </w:r>
      <w:r>
        <w:t xml:space="preserve"> </w:t>
      </w:r>
      <w:r>
        <w:t xml:space="preserve">The most dangerous miscalibration. The learner trusts unreliable AI outputs, resulting in cognitive offloading and skill atrophy—the condition documented by Bastani et al. (2025). Kıyak et al. (2026) demonstrated that even explicit</w:t>
      </w:r>
      <w:r>
        <w:t xml:space="preserve"> </w:t>
      </w:r>
      <w:r>
        <w:t xml:space="preserve">“ChatGPT can make mistakes”</w:t>
      </w:r>
      <w:r>
        <w:t xml:space="preserve"> </w:t>
      </w:r>
      <w:r>
        <w:t xml:space="preserve">warnings fail to correct this miscalibration in medical education contexts.</w:t>
      </w:r>
    </w:p>
    <w:p>
      <w:pPr>
        <w:pStyle w:val="BodyText"/>
      </w:pPr>
      <w:r>
        <w:rPr>
          <w:i/>
          <w:iCs/>
        </w:rPr>
        <w:t xml:space="preserve">Quadrant III: Low Trust + High Reliability = Undertrust / Missed Benefit.</w:t>
      </w:r>
      <w:r>
        <w:t xml:space="preserve"> </w:t>
      </w:r>
      <w:r>
        <w:t xml:space="preserve">Skepticism that is virtuous in Quadrant II is maladaptive here. The learner forgoes beneficial AI assistance.</w:t>
      </w:r>
    </w:p>
    <w:p>
      <w:pPr>
        <w:pStyle w:val="BodyText"/>
      </w:pPr>
      <w:r>
        <w:rPr>
          <w:i/>
          <w:iCs/>
        </w:rPr>
        <w:t xml:space="preserve">Quadrant IV: Low Trust + Low Reliability = Calibrated Avoidance.</w:t>
      </w:r>
      <w:r>
        <w:t xml:space="preserve"> </w:t>
      </w:r>
      <w:r>
        <w:t xml:space="preserve">Low trust accurately reflects low reliability. The learner’s decision to avoid or critically scrutinize AI outputs is appropriate and should be reinforced rather than corrected.</w:t>
      </w:r>
    </w:p>
    <w:p>
      <w:pPr>
        <w:pStyle w:val="BodyText"/>
      </w:pPr>
      <w:r>
        <w:t xml:space="preserve">The matrix’s power as a diagnostic tool lies in requiring</w:t>
      </w:r>
      <w:r>
        <w:t xml:space="preserve"> </w:t>
      </w:r>
      <w:r>
        <w:rPr>
          <w:i/>
          <w:iCs/>
        </w:rPr>
        <w:t xml:space="preserve">both</w:t>
      </w:r>
      <w:r>
        <w:t xml:space="preserve"> </w:t>
      </w:r>
      <w:r>
        <w:t xml:space="preserve">axes. Current research overwhelmingly measures only the vertical axis (learner trust) without the horizontal axis (AI reliability for the given task). Without both measurements, the field cannot determine which quadrant a learner occupies—and therefore cannot distinguish warranted trust from dangerous overreliance.</w:t>
      </w:r>
    </w:p>
    <w:bookmarkEnd w:id="63"/>
    <w:bookmarkEnd w:id="64"/>
    <w:bookmarkStart w:id="68" w:name="discussion-toward-a-paradigm-shift"/>
    <w:p>
      <w:pPr>
        <w:pStyle w:val="Heading2"/>
      </w:pPr>
      <w:r>
        <w:t xml:space="preserve">6. Discussion: Toward a Paradigm Shift</w:t>
      </w:r>
    </w:p>
    <w:bookmarkStart w:id="65" w:name="the-required-reframing"/>
    <w:p>
      <w:pPr>
        <w:pStyle w:val="Heading3"/>
      </w:pPr>
      <w:r>
        <w:t xml:space="preserve">6.1 The Required Reframing</w:t>
      </w:r>
    </w:p>
    <w:p>
      <w:pPr>
        <w:pStyle w:val="FirstParagraph"/>
      </w:pPr>
      <w:r>
        <w:t xml:space="preserve">The calibration gap documented in this review calls for a fundamental reframing of trust research in educational AI. The dominant question—</w:t>
      </w:r>
      <w:r>
        <w:t xml:space="preserve">“Do learners trust AI?”</w:t>
      </w:r>
      <w:r>
        <w:t xml:space="preserve">—must give way to</w:t>
      </w:r>
      <w:r>
        <w:t xml:space="preserve"> </w:t>
      </w:r>
      <w:r>
        <w:t xml:space="preserve">“Is their trust calibrated?”</w:t>
      </w:r>
      <w:r>
        <w:t xml:space="preserve"> </w:t>
      </w:r>
      <w:r>
        <w:t xml:space="preserve">This is not merely a refinement; it represents what Kuhn (1962) termed a paradigm shift: a change in the questions a field asks, the variables it measures, and the assumptions it takes for granted.</w:t>
      </w:r>
    </w:p>
    <w:p>
      <w:pPr>
        <w:pStyle w:val="BodyText"/>
      </w:pPr>
      <w:r>
        <w:t xml:space="preserve">Under the current paradigm, a finding that</w:t>
      </w:r>
      <w:r>
        <w:t xml:space="preserve"> </w:t>
      </w:r>
      <w:r>
        <w:t xml:space="preserve">“students report moderate trust in ChatGPT”</w:t>
      </w:r>
      <w:r>
        <w:t xml:space="preserve"> </w:t>
      </w:r>
      <w:r>
        <w:t xml:space="preserve">is treated as a complete result. Under the calibration paradigm, this finding is incomplete without a companion measurement:</w:t>
      </w:r>
      <w:r>
        <w:t xml:space="preserve"> </w:t>
      </w:r>
      <w:r>
        <w:t xml:space="preserve">“ChatGPT’s reliability for the assessed tasks was X%.”</w:t>
      </w:r>
      <w:r>
        <w:t xml:space="preserve"> </w:t>
      </w:r>
      <w:r>
        <w:t xml:space="preserve">Only with both measurements can the field determine whether moderate trust is appropriate (calibrated), insufficient (undertrust), or excessive (overtrust).</w:t>
      </w:r>
    </w:p>
    <w:p>
      <w:pPr>
        <w:pStyle w:val="BodyText"/>
      </w:pPr>
      <w:r>
        <w:t xml:space="preserve">This reframing has precedent in education’s own history. The transition from measuring learner confidence to measuring calibration accuracy—from asking</w:t>
      </w:r>
      <w:r>
        <w:t xml:space="preserve"> </w:t>
      </w:r>
      <w:r>
        <w:t xml:space="preserve">“How confident is this student?”</w:t>
      </w:r>
      <w:r>
        <w:t xml:space="preserve"> </w:t>
      </w:r>
      <w:r>
        <w:t xml:space="preserve">to</w:t>
      </w:r>
      <w:r>
        <w:t xml:space="preserve"> </w:t>
      </w:r>
      <w:r>
        <w:t xml:space="preserve">“Does their confidence match their actual performance?”</w:t>
      </w:r>
      <w:r>
        <w:t xml:space="preserve">—was the founding move of SRL calibration research (Winne &amp; Hadwin, 1998; Stone, 2000). That transition produced decades of productive inquiry with validated instruments, longitudinal evidence, and effective interventions (Dunlosky &amp; Rawson, 2012; Panadero, 2017). The trust-in-automation field underwent a parallel transition when researchers shifted from</w:t>
      </w:r>
      <w:r>
        <w:t xml:space="preserve"> </w:t>
      </w:r>
      <w:r>
        <w:t xml:space="preserve">“Do operators trust automated systems?”</w:t>
      </w:r>
      <w:r>
        <w:t xml:space="preserve"> </w:t>
      </w:r>
      <w:r>
        <w:t xml:space="preserve">to</w:t>
      </w:r>
      <w:r>
        <w:t xml:space="preserve"> </w:t>
      </w:r>
      <w:r>
        <w:t xml:space="preserve">“Is their trust calibrated to the system’s reliability?”</w:t>
      </w:r>
      <w:r>
        <w:t xml:space="preserve"> </w:t>
      </w:r>
      <w:r>
        <w:t xml:space="preserve">(Lee &amp; See, 2004; Parasuraman &amp; Riley, 1997), producing a mature research program spanning measurement development, intervention design, and system engineering (Wischnewski et al., 2023; Mehrotra et al., 2024). Educational AI research stands at the same juncture—with the advantage of being able to draw on both precedents simultaneously.</w:t>
      </w:r>
    </w:p>
    <w:p>
      <w:pPr>
        <w:pStyle w:val="BodyText"/>
      </w:pPr>
      <w:r>
        <w:t xml:space="preserve">The typology developed in this review provides a roadmap for this transition. D1–D2 research establishes the terrain; D3 research proposes design solutions; D4 research recognizes the calibration problem; D5 research addresses it. The field’s current center of gravity—D4, awareness without measurement—needs to shift toward D5, calibration with measurement.</w:t>
      </w:r>
    </w:p>
    <w:p>
      <w:pPr>
        <w:pStyle w:val="BodyText"/>
      </w:pPr>
      <w:r>
        <w:t xml:space="preserve">This transition does not require abandoning existing research traditions. TAM-based research has produced valuable knowledge about adoption factors; design-focused research has generated useful scaffold proposals. The calibration paradigm does not reject these contributions but recontextualizes them. Adoption research becomes the baseline from which calibration questions arise: once we know</w:t>
      </w:r>
      <w:r>
        <w:t xml:space="preserve"> </w:t>
      </w:r>
      <w:r>
        <w:rPr>
          <w:i/>
          <w:iCs/>
        </w:rPr>
        <w:t xml:space="preserve">that</w:t>
      </w:r>
      <w:r>
        <w:t xml:space="preserve"> </w:t>
      </w:r>
      <w:r>
        <w:t xml:space="preserve">learners adopt AI, we can ask</w:t>
      </w:r>
      <w:r>
        <w:t xml:space="preserve"> </w:t>
      </w:r>
      <w:r>
        <w:rPr>
          <w:i/>
          <w:iCs/>
        </w:rPr>
        <w:t xml:space="preserve">whether their trust in the adopted tool is calibrated</w:t>
      </w:r>
      <w:r>
        <w:t xml:space="preserve">. Design research becomes the intervention space: once we can measure calibration, we can test whether specific design features (transparency, metacognitive prompts, uncertainty displays) improve it. The paradigm shift enriches rather than replaces existing work.</w:t>
      </w:r>
    </w:p>
    <w:p>
      <w:pPr>
        <w:pStyle w:val="BodyText"/>
      </w:pPr>
      <w:r>
        <w:t xml:space="preserve">The cross-cutting analysis reveals why this integration has not occurred organically. The two research traditions closest to trust calibration—SRL calibration (providing the metacognitive theory) and trust-in-automation (providing the measurement logic)—have not converged within education. SRL frameworks appear in 5 papers but zero in D5; Lee and See’s framework appears in 7 papers with 6 concentrated in D5. AI literacy research (D3, n=24) investigates whether learners can critically evaluate AI but does not measure whether those evaluations are accurate. The structural cause of the calibration gap is not a failure of individual studies but a disciplinary architecture in which calibration-relevant knowledge is distributed across traditions that do not communicate. In AI-integrated learning environments, learners face what might be termed a</w:t>
      </w:r>
      <w:r>
        <w:t xml:space="preserve"> </w:t>
      </w:r>
      <w:r>
        <w:rPr>
          <w:i/>
          <w:iCs/>
        </w:rPr>
        <w:t xml:space="preserve">dual calibration challenge</w:t>
      </w:r>
      <w:r>
        <w:t xml:space="preserve">: they must simultaneously calibrate judgments about their own knowledge (SRL calibration) and judgments about AI capabilities (trust calibration). These are independent competencies—high SRL calibration does not guarantee high trust calibration—yet the field’s current frameworks address only the first.</w:t>
      </w:r>
    </w:p>
    <w:bookmarkEnd w:id="65"/>
    <w:bookmarkStart w:id="66" w:name="research-agenda"/>
    <w:p>
      <w:pPr>
        <w:pStyle w:val="Heading3"/>
      </w:pPr>
      <w:r>
        <w:t xml:space="preserve">6.2 Research Agenda</w:t>
      </w:r>
    </w:p>
    <w:p>
      <w:pPr>
        <w:pStyle w:val="FirstParagraph"/>
      </w:pPr>
      <w:r>
        <w:t xml:space="preserve">Five priority research directions emerge from the calibration gap:</w:t>
      </w:r>
    </w:p>
    <w:p>
      <w:pPr>
        <w:pStyle w:val="BodyText"/>
      </w:pPr>
      <w:r>
        <w:rPr>
          <w:b/>
          <w:bCs/>
        </w:rPr>
        <w:t xml:space="preserve">Priority 1: Measurement infrastructure.</w:t>
      </w:r>
      <w:r>
        <w:t xml:space="preserve"> </w:t>
      </w:r>
      <w:r>
        <w:t xml:space="preserve">The most urgent need is validated instruments for measuring trust calibration accuracy in educational AI contexts. The review’s finding that zero papers simultaneously measured both trust level and AI reliability means the field currently has no empirical basis for calibration assessment. This requires multimethod approaches that simultaneously assess (a) learner trust in AI for specific tasks, (b) AI reliability for those tasks, and (c) the correspondence between the two. Process-level indicators—verification frequency, modification rates, information-seeking patterns—offer promising proxies for real-time calibration assessment. Existing instruments from the automation trust literature (Jian et al., 2000; Scharowski et al., 2025) may serve as starting points, but they require adaptation to educational contexts where the definition of</w:t>
      </w:r>
      <w:r>
        <w:t xml:space="preserve"> </w:t>
      </w:r>
      <w:r>
        <w:t xml:space="preserve">“appropriate”</w:t>
      </w:r>
      <w:r>
        <w:t xml:space="preserve"> </w:t>
      </w:r>
      <w:r>
        <w:t xml:space="preserve">trust includes pedagogical considerations absent from industrial settings.</w:t>
      </w:r>
    </w:p>
    <w:p>
      <w:pPr>
        <w:pStyle w:val="BodyText"/>
      </w:pPr>
      <w:r>
        <w:rPr>
          <w:b/>
          <w:bCs/>
        </w:rPr>
        <w:t xml:space="preserve">Priority 2: Domain-specific calibration profiles.</w:t>
      </w:r>
      <w:r>
        <w:t xml:space="preserve"> </w:t>
      </w:r>
      <w:r>
        <w:t xml:space="preserve">AI reliability varies dramatically across domains: ChatGPT may be highly reliable for summarizing well-documented topics, moderately reliable for essay feedback, and unreliable for mathematical proofs or clinical reasoning. Calibration research must therefore be domain-specific, mapping trust-reliability correspondences across subject areas (e.g., mathematics vs. writing vs. coding vs. science) and task types (e.g., factual retrieval vs. reasoning vs. creative generation). A learner who has developed calibrated trust in one domain cannot be assumed calibrated in another. The Trust–AI Reliability Matrix should be applied domain by domain, generating calibration profiles that capture the granularity of learner trust across the tasks they encounter.</w:t>
      </w:r>
    </w:p>
    <w:p>
      <w:pPr>
        <w:pStyle w:val="BodyText"/>
      </w:pPr>
      <w:r>
        <w:rPr>
          <w:b/>
          <w:bCs/>
        </w:rPr>
        <w:t xml:space="preserve">Priority 3: Calibration interventions.</w:t>
      </w:r>
      <w:r>
        <w:t xml:space="preserve"> </w:t>
      </w:r>
      <w:r>
        <w:t xml:space="preserve">Evidence from adjacent fields suggests promising intervention mechanisms—metacognitive prompting (Guo et al., 2022), productive failure (Kapur, 2008, 2016), uncertainty transparency (Lee &amp; See, 2004), and desirable difficulties (Bjork &amp; Bjork, 2011)—but these have not been tested specifically for trust calibration in educational AI. The finding that metacognitive scaffolds appear in only 3.1% of the corpus while transparency scaffolds appear in 24.7% suggests that the most calibration-relevant intervention type is the least explored. Experimental studies comparing intervention types across quadrants of the Trust–AI Reliability Matrix would advance the field from principled recommendation to evidence-based prescription. Ma et al. (2024) and Vasconcelos et al. (2023) provide methodological templates from HCI that could be adapted for educational contexts.</w:t>
      </w:r>
    </w:p>
    <w:p>
      <w:pPr>
        <w:pStyle w:val="BodyText"/>
      </w:pPr>
      <w:r>
        <w:rPr>
          <w:b/>
          <w:bCs/>
        </w:rPr>
        <w:t xml:space="preserve">Priority 4: Longitudinal calibration development.</w:t>
      </w:r>
      <w:r>
        <w:t xml:space="preserve"> </w:t>
      </w:r>
      <w:r>
        <w:t xml:space="preserve">How does trust calibration develop over time? Cross-sectional snapshots cannot capture the dynamic process by which learners develop (or fail to develop) calibrated trust across a semester of AI-assisted learning. Hoff and Bashir’s (2015) three-layer model suggests that dispositional, situational, and learned trust evolve on different timescales; longitudinal designs are needed to trace how these layers interact in shaping calibration trajectories. Critical questions include: When do learners first develop differentiated trust across AI domains? What experiences trigger recalibration? Does calibration improve naturally with exposure, or does it require explicit intervention? Answering these questions requires tracking individual learners across extended periods of AI-assisted learning—a research design that none of the 97 coded papers employed.</w:t>
      </w:r>
    </w:p>
    <w:p>
      <w:pPr>
        <w:pStyle w:val="BodyText"/>
      </w:pPr>
      <w:r>
        <w:rPr>
          <w:b/>
          <w:bCs/>
        </w:rPr>
        <w:t xml:space="preserve">Priority 5: Cultural and contextual variation.</w:t>
      </w:r>
      <w:r>
        <w:t xml:space="preserve"> </w:t>
      </w:r>
      <w:r>
        <w:t xml:space="preserve">Trust dynamics operate differently across cultural contexts with varying power distance and uncertainty avoidance (Hofstede, 2001). Calibration research must investigate whether these cultural dimensions moderate calibration processes and whether interventions require culturally sensitive adaptation. The present corpus is heavily concentrated in Western educational contexts and English-language publications; calibration norms, trust formation patterns, and appropriate intervention strategies may differ substantially in East Asian, South Asian, or Sub-Saharan African educational systems where authority relationships and technology attitudes carry different cultural meanings (Table 5).</w:t>
      </w:r>
    </w:p>
    <w:bookmarkEnd w:id="66"/>
    <w:bookmarkStart w:id="67" w:name="practical-implications"/>
    <w:p>
      <w:pPr>
        <w:pStyle w:val="Heading3"/>
      </w:pPr>
      <w:r>
        <w:t xml:space="preserve">6.3 Practical Implications</w:t>
      </w:r>
    </w:p>
    <w:p>
      <w:pPr>
        <w:pStyle w:val="FirstParagraph"/>
      </w:pPr>
      <w:r>
        <w:rPr>
          <w:b/>
          <w:bCs/>
        </w:rPr>
        <w:t xml:space="preserve">For educators.</w:t>
      </w:r>
      <w:r>
        <w:t xml:space="preserve"> </w:t>
      </w:r>
      <w:r>
        <w:t xml:space="preserve">Trust calibration should be recognized as a distinct learning objective alongside content mastery—the capacity to assess AI reliability for a given task and adjust reliance accordingly is an epistemic competence requiring explicit instruction (Long &amp; Magerko, 2020; Ng et al., 2021). Educators can serve as trust calibration agents, using the Trust–AI Reliability Matrix to diagnose whether learners operate in calibrated or miscalibrated states and deploying targeted interventions: AI evaluation exercises for overtrusting learners, guided comparison tasks for undertrusting ones. Critically, AI literacy—including instruction on the probabilistic nature of LLM outputs and their domain-dependent accuracy variability—should be treated as a prerequisite for AI tool deployment, not an afterthought. The field’s finding that 84.5% of papers provided no trust definition suggests that even researchers struggle with construct precision; educators will need structured support to operationalize calibration concepts in classroom practice.</w:t>
      </w:r>
    </w:p>
    <w:p>
      <w:pPr>
        <w:pStyle w:val="BodyText"/>
      </w:pPr>
      <w:r>
        <w:rPr>
          <w:b/>
          <w:bCs/>
        </w:rPr>
        <w:t xml:space="preserve">For AI system designers.</w:t>
      </w:r>
      <w:r>
        <w:t xml:space="preserve"> </w:t>
      </w:r>
      <w:r>
        <w:t xml:space="preserve">The central design principle this review supports is:</w:t>
      </w:r>
      <w:r>
        <w:t xml:space="preserve"> </w:t>
      </w:r>
      <w:r>
        <w:rPr>
          <w:i/>
          <w:iCs/>
        </w:rPr>
        <w:t xml:space="preserve">design for calibration, not for trust</w:t>
      </w:r>
      <w:r>
        <w:t xml:space="preserve">. The dominant design logic treats higher trust as a success metric; the calibration paradigm reframes trust as a calibration target. Educational AI systems should aim not to increase trust but to align it with actual capability for specific tasks. Under conditions of low AI reliability, the design goal should be to</w:t>
      </w:r>
      <w:r>
        <w:t xml:space="preserve"> </w:t>
      </w:r>
      <w:r>
        <w:rPr>
          <w:i/>
          <w:iCs/>
        </w:rPr>
        <w:t xml:space="preserve">reduce</w:t>
      </w:r>
      <w:r>
        <w:t xml:space="preserve"> </w:t>
      </w:r>
      <w:r>
        <w:t xml:space="preserve">trust to a level commensurate with capability. This requires embedding both axes of the Trust–AI Reliability Matrix: learner trust monitoring (e.g., behavioral indicators of reliance patterns) and AI reliability benchmarking (e.g., domain-specific accuracy metrics). Transparency mechanisms should be complemented by metacognitive scaffolds that activate the evaluative processes learners need for calibrated trust judgments—the review’s finding that metacognitive scaffolds appear in only 3.1% of the corpus, versus 24.7% for transparency scaffolds, suggests a critical design gap.</w:t>
      </w:r>
    </w:p>
    <w:p>
      <w:pPr>
        <w:pStyle w:val="BodyText"/>
      </w:pPr>
      <w:r>
        <w:rPr>
          <w:b/>
          <w:bCs/>
        </w:rPr>
        <w:t xml:space="preserve">For policymakers.</w:t>
      </w:r>
      <w:r>
        <w:t xml:space="preserve"> </w:t>
      </w:r>
      <w:r>
        <w:t xml:space="preserve">Regulatory frameworks for educational AI (European Union, 2024; UNESCO, 2023) mandate human oversight and appropriate trust, but the field currently lacks the measurement infrastructure to assess</w:t>
      </w:r>
      <w:r>
        <w:t xml:space="preserve"> </w:t>
      </w:r>
      <w:r>
        <w:t xml:space="preserve">“appropriate trust.”</w:t>
      </w:r>
      <w:r>
        <w:t xml:space="preserve"> </w:t>
      </w:r>
      <w:r>
        <w:t xml:space="preserve">The EU AI Act’s classification of educational AI as high-risk (Annex III) implies that learner trust calibration should be an evaluable criterion, yet no validated instruments exist for this purpose. Policy should explicitly acknowledge this infrastructure gap and incentivize the development of calibration assessment tools that can operationalize the regulatory intent. Without such tools, policy goals remain aspirational rather than enforceable.</w:t>
      </w:r>
    </w:p>
    <w:bookmarkEnd w:id="67"/>
    <w:bookmarkEnd w:id="68"/>
    <w:bookmarkStart w:id="71" w:name="limitations-and-conclusion"/>
    <w:p>
      <w:pPr>
        <w:pStyle w:val="Heading2"/>
      </w:pPr>
      <w:r>
        <w:t xml:space="preserve">7. Limitations and Conclusion</w:t>
      </w:r>
    </w:p>
    <w:bookmarkStart w:id="69" w:name="limitations"/>
    <w:p>
      <w:pPr>
        <w:pStyle w:val="Heading3"/>
      </w:pPr>
      <w:r>
        <w:t xml:space="preserve">7.1 Limitations</w:t>
      </w:r>
    </w:p>
    <w:p>
      <w:pPr>
        <w:pStyle w:val="FirstParagraph"/>
      </w:pPr>
      <w:r>
        <w:t xml:space="preserve">Several limitations warrant acknowledgment. First, this paper adopted a critical review approach (Grant &amp; Booth, 2009) rather than a full systematic review following PRISMA-ScR protocols (Peters et al., 2020). This enabled deeper theoretical synthesis and typology development but means the literature search, while systematic in its use of defined databases and search terms, was not exhaustive. Related work published outside our search terms or in non-indexed venues may have been missed.</w:t>
      </w:r>
    </w:p>
    <w:p>
      <w:pPr>
        <w:pStyle w:val="BodyText"/>
      </w:pPr>
      <w:r>
        <w:t xml:space="preserve">Second, while coding involved two researchers—the first author coding all 97 papers and the second author independently coding a random 20–30% subsample—this remains a limitation compared to full dual coding of the entire corpus. Cohen’s kappa values for key categorical variables are reported; the domain classification, as a derived variable computed algorithmically from existing coded fields, inherits the reliability of its input variables.</w:t>
      </w:r>
    </w:p>
    <w:p>
      <w:pPr>
        <w:pStyle w:val="BodyText"/>
      </w:pPr>
      <w:r>
        <w:t xml:space="preserve">Third, the search was limited to English-language publications, potentially excluding relevant work from non-Anglophone research traditions where cultural dimensions such as power distance and uncertainty avoidance may shape trust dynamics differently (Hofstede, 2001).</w:t>
      </w:r>
    </w:p>
    <w:p>
      <w:pPr>
        <w:pStyle w:val="BodyText"/>
      </w:pPr>
      <w:r>
        <w:t xml:space="preserve">Fourth, 50 of 147 identified papers could not be coded due to full-text access limitations at the time of analysis, representing a potential source of selection bias. These papers may include calibration-relevant work that would alter the domain distribution.</w:t>
      </w:r>
    </w:p>
    <w:p>
      <w:pPr>
        <w:pStyle w:val="BodyText"/>
      </w:pPr>
      <w:r>
        <w:t xml:space="preserve">Fifth, 13 of 16 D5 papers came from supplementary citation tracking rather than database searches. We have argued that this asymmetry is itself evidence of the calibration gap rather than a methodological limitation, but we acknowledge that the supplementary search was designed to find calibration-relevant work. The finding that only 3 of 81 database-sourced papers (3.7%) reached D5 is the robust, design-independent evidence; the supplementary papers contextualize rather than inflate the gap. We report this transparently and encourage readers to weight the 3.7% finding as the primary evidence.</w:t>
      </w:r>
    </w:p>
    <w:p>
      <w:pPr>
        <w:pStyle w:val="BodyText"/>
      </w:pPr>
      <w:r>
        <w:t xml:space="preserve">Sixth, the 5-domain Research Orientation Typology is a post-hoc classification applied to existing coded data. While the priority rules are deterministic, reproducible, and documented in Appendix D, the domain labels and boundaries represent analytic choices. Alternative priority orderings or boundary conditions could produce different distributions. The typology should be treated as a diagnostic tool for mapping the field’s orientation landscape, not as a definitive taxonomy. External validation through independent application to new corpora would strengthen its utility.</w:t>
      </w:r>
    </w:p>
    <w:p>
      <w:pPr>
        <w:pStyle w:val="BodyText"/>
      </w:pPr>
      <w:r>
        <w:t xml:space="preserve">Seventh, the paradigm shift argument from trust-level to trust-calibration research is a conceptual contribution that, while grounded in the empirical calibration gap, has not itself been empirically tested. Whether the reframing we propose actually produces better educational outcomes than trust-level research remains an open question requiring the empirical program outlined in Section 6.2.</w:t>
      </w:r>
    </w:p>
    <w:p>
      <w:pPr>
        <w:pStyle w:val="BodyText"/>
      </w:pPr>
      <w:r>
        <w:t xml:space="preserve">Eighth, operationalizing AI reliability—the second axis required for calibration assessment—presents domain-specific challenges. AI reliability is readily quantifiable for tasks with verifiable answers (mathematics, coding, factual recall) but progressively harder to operationalize for tasks requiring qualitative judgment (essay feedback, creative writing support, clinical reasoning). This creates what might be called a measurement feasibility paradox: trust calibration may be easiest to study in domains where the educational stakes of miscalibration are moderate, and hardest to study in domains where the stakes are highest. SRL calibration research navigated a similar challenge by beginning with binary-outcome items and progressively extending to more complex performance assessments (Stone, 2000). A parallel trajectory—starting with verifiable AI tasks and extending toward open-ended ones—may represent the most productive research roadmap for trust calibration, with the acknowledged limitation that the most educationally consequential domains may be the last to yield to calibration measurement. Stone’s (2000) finding of a hard-easy effect in SRL calibration—overconfidence on hard items, underconfidence on easy ones—generates a testable prediction for trust calibration: learners may overtrust AI in domains where it performs poorly (hard tasks) and undertrust it in domains where it performs well (easy tasks), mirroring the Bastani Trap mechanism.</w:t>
      </w:r>
    </w:p>
    <w:bookmarkEnd w:id="69"/>
    <w:bookmarkStart w:id="70" w:name="conclusion"/>
    <w:p>
      <w:pPr>
        <w:pStyle w:val="Heading3"/>
      </w:pPr>
      <w:r>
        <w:t xml:space="preserve">7.2 Conclusion</w:t>
      </w:r>
    </w:p>
    <w:p>
      <w:pPr>
        <w:pStyle w:val="FirstParagraph"/>
      </w:pPr>
      <w:r>
        <w:t xml:space="preserve">This paper has advanced a core argument: the field of educational AI trust research is concentrated below the calibration threshold. Through a critical review of 97 studies on trust in educational AI (2015–2026), we documented a structural calibration gap manifesting across definitional, measurement, and disciplinary dimensions—a gap that existing theoretical frameworks, particularly technology acceptance models, are not designed to address.</w:t>
      </w:r>
    </w:p>
    <w:p>
      <w:pPr>
        <w:pStyle w:val="BodyText"/>
      </w:pPr>
      <w:r>
        <w:t xml:space="preserve">The paper makes two contributions. First, the 5-domain Research Orientation Typology provides a diagnostic lens for this gap, classifying the corpus along a calibration maturity spectrum and revealing that 83.5% of research operates without explicit calibration engagement. The finding that the field’s center of gravity resides in D4 (Trust Awareness)—problem recognition without problem measurement—identifies the precise transition point where investment could yield the greatest returns. Second, the paradigm shift argument—from</w:t>
      </w:r>
      <w:r>
        <w:t xml:space="preserve"> </w:t>
      </w:r>
      <w:r>
        <w:t xml:space="preserve">“Do learners trust AI?”</w:t>
      </w:r>
      <w:r>
        <w:t xml:space="preserve"> </w:t>
      </w:r>
      <w:r>
        <w:t xml:space="preserve">to</w:t>
      </w:r>
      <w:r>
        <w:t xml:space="preserve"> </w:t>
      </w:r>
      <w:r>
        <w:t xml:space="preserve">“Is their trust calibrated?”</w:t>
      </w:r>
      <w:r>
        <w:t xml:space="preserve">—is grounded in the empirical evidence of the gap and operationalized through the Trust–AI Reliability Matrix, a diagnostic tool requiring both learner trust and AI reliability measurement.</w:t>
      </w:r>
    </w:p>
    <w:p>
      <w:pPr>
        <w:pStyle w:val="BodyText"/>
      </w:pPr>
      <w:r>
        <w:t xml:space="preserve">As educational AI becomes increasingly embedded in learning environments worldwide, the stakes of this transition grow. Bastani et al. (2025) documented what happens when trust is uncalibrated in a controlled experimental setting; the uncontrolled deployment of AI tools across global education systems amplifies both the potential benefits of calibrated trust and the potential harms of miscalibration. The path forward requires what the field currently lacks: calibration-oriented measurement, theory, and intervention design. This review provides the diagnostic foundation; the empirical work remains to be done.</w:t>
      </w:r>
    </w:p>
    <w:p>
      <w:pPr>
        <w:pStyle w:val="BodyText"/>
      </w:pPr>
      <w:r>
        <w:t xml:space="preserve">ewpage</w:t>
      </w:r>
    </w:p>
    <w:bookmarkEnd w:id="70"/>
    <w:bookmarkEnd w:id="71"/>
    <w:bookmarkStart w:id="72" w:name="references"/>
    <w:p>
      <w:pPr>
        <w:pStyle w:val="Heading2"/>
      </w:pPr>
      <w:r>
        <w:t xml:space="preserve">References</w:t>
      </w:r>
    </w:p>
    <w:p>
      <w:pPr>
        <w:pStyle w:val="FirstParagraph"/>
      </w:pPr>
      <w:r>
        <w:t xml:space="preserve">Al-Adwan, A. S., Li, N., Al-Adwan, A., Abbasi, G. A., Albelbisi, N. A., &amp; Habibi, A. (2023). Extending the technology acceptance model (TAM) to predict university students’ intentions to use metaverse-based learning platforms.</w:t>
      </w:r>
      <w:r>
        <w:t xml:space="preserve"> </w:t>
      </w:r>
      <w:r>
        <w:rPr>
          <w:i/>
          <w:iCs/>
        </w:rPr>
        <w:t xml:space="preserve">Education and Information Technologies</w:t>
      </w:r>
      <w:r>
        <w:t xml:space="preserve">,</w:t>
      </w:r>
      <w:r>
        <w:t xml:space="preserve"> </w:t>
      </w:r>
      <w:r>
        <w:rPr>
          <w:i/>
          <w:iCs/>
        </w:rPr>
        <w:t xml:space="preserve">28</w:t>
      </w:r>
      <w:r>
        <w:t xml:space="preserve">(9), 11823–11850. https://doi.org/10.1007/s10639-023-11816-3</w:t>
      </w:r>
    </w:p>
    <w:p>
      <w:pPr>
        <w:pStyle w:val="BodyText"/>
      </w:pPr>
      <w:r>
        <w:t xml:space="preserve">Amershi, S., Weld, D., Vorvoreanu, M., Fourney, A., Nushi, B., Collisson, P., Suh, J., Iqbal, S., Bennett, P. N., Inkpen, K., Teevan, J., Kiber, R., &amp; Horvitz, E. (2019). Guidelines for human-AI interaction.</w:t>
      </w:r>
      <w:r>
        <w:t xml:space="preserve"> </w:t>
      </w:r>
      <w:r>
        <w:rPr>
          <w:i/>
          <w:iCs/>
        </w:rPr>
        <w:t xml:space="preserve">Proceedings of the 2019 CHI Conference on Human Factors in Computing Systems</w:t>
      </w:r>
      <w:r>
        <w:t xml:space="preserve">, 1–13. https://doi.org/10.1145/3290605.3300233</w:t>
      </w:r>
    </w:p>
    <w:p>
      <w:pPr>
        <w:pStyle w:val="BodyText"/>
      </w:pPr>
      <w:r>
        <w:t xml:space="preserve">Anderson, T., &amp; Shattuck, J. (2012). Design-based research: A decade of progress in education research?</w:t>
      </w:r>
      <w:r>
        <w:t xml:space="preserve"> </w:t>
      </w:r>
      <w:r>
        <w:rPr>
          <w:i/>
          <w:iCs/>
        </w:rPr>
        <w:t xml:space="preserve">Educational Researcher</w:t>
      </w:r>
      <w:r>
        <w:t xml:space="preserve">,</w:t>
      </w:r>
      <w:r>
        <w:t xml:space="preserve"> </w:t>
      </w:r>
      <w:r>
        <w:rPr>
          <w:i/>
          <w:iCs/>
        </w:rPr>
        <w:t xml:space="preserve">41</w:t>
      </w:r>
      <w:r>
        <w:t xml:space="preserve">(1), 16–25. https://doi.org/10.3102/0013189X11428813</w:t>
      </w:r>
    </w:p>
    <w:p>
      <w:pPr>
        <w:pStyle w:val="BodyText"/>
      </w:pPr>
      <w:r>
        <w:t xml:space="preserve">Arrieta, A. B., Diaz-Rodriguez, N., Del Ser, J., Bennetot, A., Tabik, S., Barbado, A., Garcia, S., Gil-Lopez, S., Molina, D., Benjamins, R., Chatila, R., &amp; Herrera, F. (2020). Explainable artificial intelligence (XAI): Concepts, taxonomies, opportunities and challenges toward responsible AI.</w:t>
      </w:r>
      <w:r>
        <w:t xml:space="preserve"> </w:t>
      </w:r>
      <w:r>
        <w:rPr>
          <w:i/>
          <w:iCs/>
        </w:rPr>
        <w:t xml:space="preserve">Information Fusion</w:t>
      </w:r>
      <w:r>
        <w:t xml:space="preserve">,</w:t>
      </w:r>
      <w:r>
        <w:t xml:space="preserve"> </w:t>
      </w:r>
      <w:r>
        <w:rPr>
          <w:i/>
          <w:iCs/>
        </w:rPr>
        <w:t xml:space="preserve">58</w:t>
      </w:r>
      <w:r>
        <w:t xml:space="preserve">, 82–115. https://doi.org/10.1016/j.inffus.2019.12.012</w:t>
      </w:r>
    </w:p>
    <w:p>
      <w:pPr>
        <w:pStyle w:val="BodyText"/>
      </w:pPr>
      <w:r>
        <w:t xml:space="preserve">Azevedo, R., &amp; Cromley, J. G. (2004). Does training on self-regulated learning facilitate students’ learning with hypermedia?</w:t>
      </w:r>
      <w:r>
        <w:t xml:space="preserve"> </w:t>
      </w:r>
      <w:r>
        <w:rPr>
          <w:i/>
          <w:iCs/>
        </w:rPr>
        <w:t xml:space="preserve">Journal of Educational Psychology</w:t>
      </w:r>
      <w:r>
        <w:t xml:space="preserve">,</w:t>
      </w:r>
      <w:r>
        <w:t xml:space="preserve"> </w:t>
      </w:r>
      <w:r>
        <w:rPr>
          <w:i/>
          <w:iCs/>
        </w:rPr>
        <w:t xml:space="preserve">96</w:t>
      </w:r>
      <w:r>
        <w:t xml:space="preserve">(3), 523–535. https://doi.org/10.1037/0022-0663.96.3.523</w:t>
      </w:r>
    </w:p>
    <w:p>
      <w:pPr>
        <w:pStyle w:val="BodyText"/>
      </w:pPr>
      <w:r>
        <w:t xml:space="preserve">Bailey, K. D. (1994).</w:t>
      </w:r>
      <w:r>
        <w:t xml:space="preserve"> </w:t>
      </w:r>
      <w:r>
        <w:rPr>
          <w:i/>
          <w:iCs/>
        </w:rPr>
        <w:t xml:space="preserve">Typologies and taxonomies: An introduction to classification techniques</w:t>
      </w:r>
      <w:r>
        <w:t xml:space="preserve">. Sage Publications.</w:t>
      </w:r>
    </w:p>
    <w:p>
      <w:pPr>
        <w:pStyle w:val="BodyText"/>
      </w:pPr>
      <w:r>
        <w:t xml:space="preserve">Baidoo-Anu, D., &amp; Ansah, L. O. (2023). Education in the era of generative artificial intelligence (AI): Understanding the potential benefits of ChatGPT in promoting teaching and learning.</w:t>
      </w:r>
      <w:r>
        <w:t xml:space="preserve"> </w:t>
      </w:r>
      <w:r>
        <w:rPr>
          <w:i/>
          <w:iCs/>
        </w:rPr>
        <w:t xml:space="preserve">Journal of AI</w:t>
      </w:r>
      <w:r>
        <w:t xml:space="preserve">,</w:t>
      </w:r>
      <w:r>
        <w:t xml:space="preserve"> </w:t>
      </w:r>
      <w:r>
        <w:rPr>
          <w:i/>
          <w:iCs/>
        </w:rPr>
        <w:t xml:space="preserve">7</w:t>
      </w:r>
      <w:r>
        <w:t xml:space="preserve">(1), 52–62. https://doi.org/10.61969/jai.1337500</w:t>
      </w:r>
    </w:p>
    <w:p>
      <w:pPr>
        <w:pStyle w:val="BodyText"/>
      </w:pPr>
      <w:r>
        <w:t xml:space="preserve">Bandura, A. (1997).</w:t>
      </w:r>
      <w:r>
        <w:t xml:space="preserve"> </w:t>
      </w:r>
      <w:r>
        <w:rPr>
          <w:i/>
          <w:iCs/>
        </w:rPr>
        <w:t xml:space="preserve">Self-efficacy: The exercise of control</w:t>
      </w:r>
      <w:r>
        <w:t xml:space="preserve">. W. H. Freeman.</w:t>
      </w:r>
    </w:p>
    <w:p>
      <w:pPr>
        <w:pStyle w:val="BodyText"/>
      </w:pPr>
      <w:r>
        <w:t xml:space="preserve">Bannert, M., Reimann, P., &amp; Sonnenberg, C. (2009). Process mining techniques for analysing patterns and strategies in students’ self-regulated learning.</w:t>
      </w:r>
      <w:r>
        <w:t xml:space="preserve"> </w:t>
      </w:r>
      <w:r>
        <w:rPr>
          <w:i/>
          <w:iCs/>
        </w:rPr>
        <w:t xml:space="preserve">Metacognition and Learning</w:t>
      </w:r>
      <w:r>
        <w:t xml:space="preserve">,</w:t>
      </w:r>
      <w:r>
        <w:t xml:space="preserve"> </w:t>
      </w:r>
      <w:r>
        <w:rPr>
          <w:i/>
          <w:iCs/>
        </w:rPr>
        <w:t xml:space="preserve">4</w:t>
      </w:r>
      <w:r>
        <w:t xml:space="preserve">(2), 131–161. https://doi.org/10.1007/s11409-009-9040-2</w:t>
      </w:r>
    </w:p>
    <w:p>
      <w:pPr>
        <w:pStyle w:val="BodyText"/>
      </w:pPr>
      <w:r>
        <w:t xml:space="preserve">Bannert, M., Sonnenberg, C., Mengelkamp, C., &amp; Pieger, E. (2015). Short- and long-term effects of students’ self-directed metacognitive prompts on mathematical problem-solving.</w:t>
      </w:r>
      <w:r>
        <w:t xml:space="preserve"> </w:t>
      </w:r>
      <w:r>
        <w:rPr>
          <w:i/>
          <w:iCs/>
        </w:rPr>
        <w:t xml:space="preserve">Computers in Human Behavior</w:t>
      </w:r>
      <w:r>
        <w:t xml:space="preserve">,</w:t>
      </w:r>
      <w:r>
        <w:t xml:space="preserve"> </w:t>
      </w:r>
      <w:r>
        <w:rPr>
          <w:i/>
          <w:iCs/>
        </w:rPr>
        <w:t xml:space="preserve">52</w:t>
      </w:r>
      <w:r>
        <w:t xml:space="preserve">, 293–306. https://doi.org/10.1016/j.chb.2015.05.038</w:t>
      </w:r>
    </w:p>
    <w:p>
      <w:pPr>
        <w:pStyle w:val="BodyText"/>
      </w:pPr>
      <w:r>
        <w:t xml:space="preserve">Bastani, H., Bastani, O., Sungu, A., Ge, H., Kabakcı, O., &amp; Mariman, R. (2025). Generative AI can harm learning.</w:t>
      </w:r>
      <w:r>
        <w:t xml:space="preserve"> </w:t>
      </w:r>
      <w:r>
        <w:rPr>
          <w:i/>
          <w:iCs/>
        </w:rPr>
        <w:t xml:space="preserve">Proceedings of the National Academy of Sciences</w:t>
      </w:r>
      <w:r>
        <w:t xml:space="preserve">,</w:t>
      </w:r>
      <w:r>
        <w:t xml:space="preserve"> </w:t>
      </w:r>
      <w:r>
        <w:rPr>
          <w:i/>
          <w:iCs/>
        </w:rPr>
        <w:t xml:space="preserve">122</w:t>
      </w:r>
      <w:r>
        <w:t xml:space="preserve">(2), e2412617122. https://doi.org/10.1073/pnas.2412617122</w:t>
      </w:r>
    </w:p>
    <w:p>
      <w:pPr>
        <w:pStyle w:val="BodyText"/>
      </w:pPr>
      <w:r>
        <w:t xml:space="preserve">Belland, B. R. (2014). Scaffolding: Definition, current debates, and future directions. In J. M. Spector, M. D. Merrill, J. Elen, &amp; M. J. Bishop (Eds.),</w:t>
      </w:r>
      <w:r>
        <w:t xml:space="preserve"> </w:t>
      </w:r>
      <w:r>
        <w:rPr>
          <w:i/>
          <w:iCs/>
        </w:rPr>
        <w:t xml:space="preserve">Handbook of research on educational communications and technology</w:t>
      </w:r>
      <w:r>
        <w:t xml:space="preserve"> </w:t>
      </w:r>
      <w:r>
        <w:t xml:space="preserve">(4th ed., pp. 505–518). Springer. https://doi.org/10.1007/978-1-4614-3185-5_39</w:t>
      </w:r>
    </w:p>
    <w:p>
      <w:pPr>
        <w:pStyle w:val="BodyText"/>
      </w:pPr>
      <w:r>
        <w:t xml:space="preserve">Bjork, R. A., &amp; Bjork, E. L. (2011). Making things hard on yourself, but in a good way: Creating desirable difficulties to enhance learning. In M. A. Gernsbacher, R. W. Pew, L. M. Hough, &amp; J. R. Pomerantz (Eds.),</w:t>
      </w:r>
      <w:r>
        <w:t xml:space="preserve"> </w:t>
      </w:r>
      <w:r>
        <w:rPr>
          <w:i/>
          <w:iCs/>
        </w:rPr>
        <w:t xml:space="preserve">Psychology and the real world: Essays illustrating fundamental contributions to society</w:t>
      </w:r>
      <w:r>
        <w:t xml:space="preserve"> </w:t>
      </w:r>
      <w:r>
        <w:t xml:space="preserve">(pp. 56–64). Worth Publishers.</w:t>
      </w:r>
    </w:p>
    <w:p>
      <w:pPr>
        <w:pStyle w:val="BodyText"/>
      </w:pPr>
      <w:r>
        <w:t xml:space="preserve">Black, P., &amp; Wiliam, D. (1998). Assessment and classroom learning.</w:t>
      </w:r>
      <w:r>
        <w:t xml:space="preserve"> </w:t>
      </w:r>
      <w:r>
        <w:rPr>
          <w:i/>
          <w:iCs/>
        </w:rPr>
        <w:t xml:space="preserve">Assessment in Education: Principles, Policy &amp; Practice</w:t>
      </w:r>
      <w:r>
        <w:t xml:space="preserve">,</w:t>
      </w:r>
      <w:r>
        <w:t xml:space="preserve"> </w:t>
      </w:r>
      <w:r>
        <w:rPr>
          <w:i/>
          <w:iCs/>
        </w:rPr>
        <w:t xml:space="preserve">5</w:t>
      </w:r>
      <w:r>
        <w:t xml:space="preserve">(1), 7–74. https://doi.org/10.1080/0969595980050102</w:t>
      </w:r>
    </w:p>
    <w:p>
      <w:pPr>
        <w:pStyle w:val="BodyText"/>
      </w:pPr>
      <w:r>
        <w:t xml:space="preserve">Carter, O. B. J., Loft, S., &amp; Visser, T. A. W. (2024). Meaningful communication but not superficial anthropomorphism facilitates human-automation trust calibration: The Human-Automation Trust Expectation Model (HATEM).</w:t>
      </w:r>
      <w:r>
        <w:t xml:space="preserve"> </w:t>
      </w:r>
      <w:r>
        <w:rPr>
          <w:i/>
          <w:iCs/>
        </w:rPr>
        <w:t xml:space="preserve">Human Factors</w:t>
      </w:r>
      <w:r>
        <w:t xml:space="preserve">,</w:t>
      </w:r>
      <w:r>
        <w:t xml:space="preserve"> </w:t>
      </w:r>
      <w:r>
        <w:rPr>
          <w:i/>
          <w:iCs/>
        </w:rPr>
        <w:t xml:space="preserve">66</w:t>
      </w:r>
      <w:r>
        <w:t xml:space="preserve">(11), 2485–2502. https://doi.org/10.1177/00187208231218156</w:t>
      </w:r>
    </w:p>
    <w:p>
      <w:pPr>
        <w:pStyle w:val="BodyText"/>
      </w:pPr>
      <w:r>
        <w:t xml:space="preserve">Chen, X., Zou, D., Xie, H., Cheng, G., &amp; Liu, C. (2022). Two decades of artificial intelligence in education: Contributors, collaborations, research topics, challenges, and future directions.</w:t>
      </w:r>
      <w:r>
        <w:t xml:space="preserve"> </w:t>
      </w:r>
      <w:r>
        <w:rPr>
          <w:i/>
          <w:iCs/>
        </w:rPr>
        <w:t xml:space="preserve">Educational Technology &amp; Society</w:t>
      </w:r>
      <w:r>
        <w:t xml:space="preserve">,</w:t>
      </w:r>
      <w:r>
        <w:t xml:space="preserve"> </w:t>
      </w:r>
      <w:r>
        <w:rPr>
          <w:i/>
          <w:iCs/>
        </w:rPr>
        <w:t xml:space="preserve">25</w:t>
      </w:r>
      <w:r>
        <w:t xml:space="preserve">(1), 28–47.</w:t>
      </w:r>
    </w:p>
    <w:p>
      <w:pPr>
        <w:pStyle w:val="BodyText"/>
      </w:pPr>
      <w:r>
        <w:t xml:space="preserve">Cotton, D. R. E., Cotton, P. A., &amp; Shipway, J. R. (2024). Chatting and cheating: Ensuring academic integrity in the era of ChatGPT.</w:t>
      </w:r>
      <w:r>
        <w:t xml:space="preserve"> </w:t>
      </w:r>
      <w:r>
        <w:rPr>
          <w:i/>
          <w:iCs/>
        </w:rPr>
        <w:t xml:space="preserve">Innovations in Education and Teaching International</w:t>
      </w:r>
      <w:r>
        <w:t xml:space="preserve">,</w:t>
      </w:r>
      <w:r>
        <w:t xml:space="preserve"> </w:t>
      </w:r>
      <w:r>
        <w:rPr>
          <w:i/>
          <w:iCs/>
        </w:rPr>
        <w:t xml:space="preserve">61</w:t>
      </w:r>
      <w:r>
        <w:t xml:space="preserve">(2), 228–239. https://doi.org/10.1080/14703297.2023.2190148</w:t>
      </w:r>
    </w:p>
    <w:p>
      <w:pPr>
        <w:pStyle w:val="BodyText"/>
      </w:pPr>
      <w:r>
        <w:t xml:space="preserve">Darvishi, A., Khosravi, H., Sadiq, S., Gasevic, D., &amp; Siemens, G. (2024). Impact of AI assistance on student agency.</w:t>
      </w:r>
      <w:r>
        <w:t xml:space="preserve"> </w:t>
      </w:r>
      <w:r>
        <w:rPr>
          <w:i/>
          <w:iCs/>
        </w:rPr>
        <w:t xml:space="preserve">Computers &amp; Education</w:t>
      </w:r>
      <w:r>
        <w:t xml:space="preserve">,</w:t>
      </w:r>
      <w:r>
        <w:t xml:space="preserve"> </w:t>
      </w:r>
      <w:r>
        <w:rPr>
          <w:i/>
          <w:iCs/>
        </w:rPr>
        <w:t xml:space="preserve">210</w:t>
      </w:r>
      <w:r>
        <w:t xml:space="preserve">, 104967. https://doi.org/10.1016/j.compedu.2023.104967</w:t>
      </w:r>
    </w:p>
    <w:p>
      <w:pPr>
        <w:pStyle w:val="BodyText"/>
      </w:pPr>
      <w:r>
        <w:t xml:space="preserve">Davis, F. D. (1989). Perceived usefulness, perceived ease of use, and user acceptance of information technology.</w:t>
      </w:r>
      <w:r>
        <w:t xml:space="preserve"> </w:t>
      </w:r>
      <w:r>
        <w:rPr>
          <w:i/>
          <w:iCs/>
        </w:rPr>
        <w:t xml:space="preserve">MIS Quarterly</w:t>
      </w:r>
      <w:r>
        <w:t xml:space="preserve">,</w:t>
      </w:r>
      <w:r>
        <w:t xml:space="preserve"> </w:t>
      </w:r>
      <w:r>
        <w:rPr>
          <w:i/>
          <w:iCs/>
        </w:rPr>
        <w:t xml:space="preserve">13</w:t>
      </w:r>
      <w:r>
        <w:t xml:space="preserve">(3), 319–340. https://doi.org/10.2307/249008</w:t>
      </w:r>
    </w:p>
    <w:p>
      <w:pPr>
        <w:pStyle w:val="BodyText"/>
      </w:pPr>
      <w:r>
        <w:t xml:space="preserve">de Visser, E. J., Peeters, M. M. M., Jung, M. F., Kohn, S., Shaw, T. H., Pak, R., &amp; Neerincx, M. A. (2020). Towards a theory of longitudinal trust calibration in human–robot teams.</w:t>
      </w:r>
      <w:r>
        <w:t xml:space="preserve"> </w:t>
      </w:r>
      <w:r>
        <w:rPr>
          <w:i/>
          <w:iCs/>
        </w:rPr>
        <w:t xml:space="preserve">International Journal of Social Robotics</w:t>
      </w:r>
      <w:r>
        <w:t xml:space="preserve">,</w:t>
      </w:r>
      <w:r>
        <w:t xml:space="preserve"> </w:t>
      </w:r>
      <w:r>
        <w:rPr>
          <w:i/>
          <w:iCs/>
        </w:rPr>
        <w:t xml:space="preserve">12</w:t>
      </w:r>
      <w:r>
        <w:t xml:space="preserve">(2), 459–478. https://doi.org/10.1007/s12369-019-00596-x</w:t>
      </w:r>
    </w:p>
    <w:p>
      <w:pPr>
        <w:pStyle w:val="BodyText"/>
      </w:pPr>
      <w:r>
        <w:t xml:space="preserve">Doty, D. H., &amp; Glick, W. H. (1994). Typologies as a unique form of theory building: Toward improved understanding and modeling.</w:t>
      </w:r>
      <w:r>
        <w:t xml:space="preserve"> </w:t>
      </w:r>
      <w:r>
        <w:rPr>
          <w:i/>
          <w:iCs/>
        </w:rPr>
        <w:t xml:space="preserve">Academy of Management Review</w:t>
      </w:r>
      <w:r>
        <w:t xml:space="preserve">,</w:t>
      </w:r>
      <w:r>
        <w:t xml:space="preserve"> </w:t>
      </w:r>
      <w:r>
        <w:rPr>
          <w:i/>
          <w:iCs/>
        </w:rPr>
        <w:t xml:space="preserve">19</w:t>
      </w:r>
      <w:r>
        <w:t xml:space="preserve">(2), 230–251. https://doi.org/10.5465/amr.1994.9410210748</w:t>
      </w:r>
    </w:p>
    <w:p>
      <w:pPr>
        <w:pStyle w:val="BodyText"/>
      </w:pPr>
      <w:r>
        <w:t xml:space="preserve">Dunlosky, J., &amp; Rawson, K. A. (2012). Overconfidence produces underachievement: Inaccurate self evaluations undermine students’ learning and retention of material.</w:t>
      </w:r>
      <w:r>
        <w:t xml:space="preserve"> </w:t>
      </w:r>
      <w:r>
        <w:rPr>
          <w:i/>
          <w:iCs/>
        </w:rPr>
        <w:t xml:space="preserve">Learning and Instruction</w:t>
      </w:r>
      <w:r>
        <w:t xml:space="preserve">,</w:t>
      </w:r>
      <w:r>
        <w:t xml:space="preserve"> </w:t>
      </w:r>
      <w:r>
        <w:rPr>
          <w:i/>
          <w:iCs/>
        </w:rPr>
        <w:t xml:space="preserve">22</w:t>
      </w:r>
      <w:r>
        <w:t xml:space="preserve">(4), 271–280. https://doi.org/10.1016/j.learninstruc.2011.08.003</w:t>
      </w:r>
    </w:p>
    <w:p>
      <w:pPr>
        <w:pStyle w:val="BodyText"/>
      </w:pPr>
      <w:r>
        <w:t xml:space="preserve">Dzindolet, M. T., Peterson, S. A., Pomranky, R. A., Pierce, L. G., &amp; Beck, H. P. (2003). The role of trust in automation reliance.</w:t>
      </w:r>
      <w:r>
        <w:t xml:space="preserve"> </w:t>
      </w:r>
      <w:r>
        <w:rPr>
          <w:i/>
          <w:iCs/>
        </w:rPr>
        <w:t xml:space="preserve">International Journal of Human-Computer Studies</w:t>
      </w:r>
      <w:r>
        <w:t xml:space="preserve">,</w:t>
      </w:r>
      <w:r>
        <w:t xml:space="preserve"> </w:t>
      </w:r>
      <w:r>
        <w:rPr>
          <w:i/>
          <w:iCs/>
        </w:rPr>
        <w:t xml:space="preserve">58</w:t>
      </w:r>
      <w:r>
        <w:t xml:space="preserve">(6), 697–718. https://doi.org/10.1016/S1071-5819(03)00038-7</w:t>
      </w:r>
    </w:p>
    <w:p>
      <w:pPr>
        <w:pStyle w:val="BodyText"/>
      </w:pPr>
      <w:r>
        <w:t xml:space="preserve">European Union. (2024).</w:t>
      </w:r>
      <w:r>
        <w:t xml:space="preserve"> </w:t>
      </w:r>
      <w:r>
        <w:rPr>
          <w:i/>
          <w:iCs/>
        </w:rPr>
        <w:t xml:space="preserve">Regulation (EU) 2024/1689 of the European Parliament and of the Council laying down harmonised rules on artificial intelligence (Artificial Intelligence Act)</w:t>
      </w:r>
      <w:r>
        <w:t xml:space="preserve">. Official Journal of the European Union. https://eur-lex.europa.eu/eli/reg/2024/1689</w:t>
      </w:r>
    </w:p>
    <w:p>
      <w:pPr>
        <w:pStyle w:val="BodyText"/>
      </w:pPr>
      <w:r>
        <w:t xml:space="preserve">Flavell, J. H. (1979). Metacognition and cognitive monitoring: A new area of cognitive-developmental inquiry.</w:t>
      </w:r>
      <w:r>
        <w:t xml:space="preserve"> </w:t>
      </w:r>
      <w:r>
        <w:rPr>
          <w:i/>
          <w:iCs/>
        </w:rPr>
        <w:t xml:space="preserve">American Psychologist</w:t>
      </w:r>
      <w:r>
        <w:t xml:space="preserve">,</w:t>
      </w:r>
      <w:r>
        <w:t xml:space="preserve"> </w:t>
      </w:r>
      <w:r>
        <w:rPr>
          <w:i/>
          <w:iCs/>
        </w:rPr>
        <w:t xml:space="preserve">34</w:t>
      </w:r>
      <w:r>
        <w:t xml:space="preserve">(10), 906–911. https://doi.org/10.1037/0003-066X.34.10.906</w:t>
      </w:r>
    </w:p>
    <w:p>
      <w:pPr>
        <w:pStyle w:val="BodyText"/>
      </w:pPr>
      <w:r>
        <w:t xml:space="preserve">Grant, M. J., &amp; Booth, A. (2009). A typology of reviews: An analysis of 14 review types and associated methodologies.</w:t>
      </w:r>
      <w:r>
        <w:t xml:space="preserve"> </w:t>
      </w:r>
      <w:r>
        <w:rPr>
          <w:i/>
          <w:iCs/>
        </w:rPr>
        <w:t xml:space="preserve">Health Information &amp; Libraries Journal</w:t>
      </w:r>
      <w:r>
        <w:t xml:space="preserve">,</w:t>
      </w:r>
      <w:r>
        <w:t xml:space="preserve"> </w:t>
      </w:r>
      <w:r>
        <w:rPr>
          <w:i/>
          <w:iCs/>
        </w:rPr>
        <w:t xml:space="preserve">26</w:t>
      </w:r>
      <w:r>
        <w:t xml:space="preserve">(2), 91–108. https://doi.org/10.1111/j.1471-1842.2009.00848.x</w:t>
      </w:r>
    </w:p>
    <w:p>
      <w:pPr>
        <w:pStyle w:val="BodyText"/>
      </w:pPr>
      <w:r>
        <w:t xml:space="preserve">Greene, J. A., &amp; Azevedo, R. (2007). A theoretical review of Winne and Hadwin’s model of self-regulated learning: New perspectives and directions.</w:t>
      </w:r>
      <w:r>
        <w:t xml:space="preserve"> </w:t>
      </w:r>
      <w:r>
        <w:rPr>
          <w:i/>
          <w:iCs/>
        </w:rPr>
        <w:t xml:space="preserve">Review of Educational Research</w:t>
      </w:r>
      <w:r>
        <w:t xml:space="preserve">,</w:t>
      </w:r>
      <w:r>
        <w:t xml:space="preserve"> </w:t>
      </w:r>
      <w:r>
        <w:rPr>
          <w:i/>
          <w:iCs/>
        </w:rPr>
        <w:t xml:space="preserve">77</w:t>
      </w:r>
      <w:r>
        <w:t xml:space="preserve">(3), 334–372. https://doi.org/10.3102/003465430303953</w:t>
      </w:r>
    </w:p>
    <w:p>
      <w:pPr>
        <w:pStyle w:val="BodyText"/>
      </w:pPr>
      <w:r>
        <w:t xml:space="preserve">Gunning, D., Stefik, M., Choi, J., Miller, T., Stumpf, S., &amp; Yang, G.-Z. (2019). XAI — Explainable artificial intelligence.</w:t>
      </w:r>
      <w:r>
        <w:t xml:space="preserve"> </w:t>
      </w:r>
      <w:r>
        <w:rPr>
          <w:i/>
          <w:iCs/>
        </w:rPr>
        <w:t xml:space="preserve">Science Robotics</w:t>
      </w:r>
      <w:r>
        <w:t xml:space="preserve">,</w:t>
      </w:r>
      <w:r>
        <w:t xml:space="preserve"> </w:t>
      </w:r>
      <w:r>
        <w:rPr>
          <w:i/>
          <w:iCs/>
        </w:rPr>
        <w:t xml:space="preserve">4</w:t>
      </w:r>
      <w:r>
        <w:t xml:space="preserve">(37), eaay7120. https://doi.org/10.1126/scirobotics.aay7120</w:t>
      </w:r>
    </w:p>
    <w:p>
      <w:pPr>
        <w:pStyle w:val="BodyText"/>
      </w:pPr>
      <w:r>
        <w:t xml:space="preserve">Guo, L., Wang, W., Liao, J., &amp; Cheng, S. (2022). Effects of metacognitive prompts on self-regulated learning: A meta-analysis.</w:t>
      </w:r>
      <w:r>
        <w:t xml:space="preserve"> </w:t>
      </w:r>
      <w:r>
        <w:rPr>
          <w:i/>
          <w:iCs/>
        </w:rPr>
        <w:t xml:space="preserve">Frontiers in Psychology</w:t>
      </w:r>
      <w:r>
        <w:t xml:space="preserve">,</w:t>
      </w:r>
      <w:r>
        <w:t xml:space="preserve"> </w:t>
      </w:r>
      <w:r>
        <w:rPr>
          <w:i/>
          <w:iCs/>
        </w:rPr>
        <w:t xml:space="preserve">13</w:t>
      </w:r>
      <w:r>
        <w:t xml:space="preserve">, 1001498. https://doi.org/10.3389/fpsyg.2022.1001498</w:t>
      </w:r>
    </w:p>
    <w:p>
      <w:pPr>
        <w:pStyle w:val="BodyText"/>
      </w:pPr>
      <w:r>
        <w:t xml:space="preserve">Hancock, P. A., Billings, D. R., Schaefer, K. E., Chen, J. Y. C., de Visser, E. J., &amp; Parasuraman, R. (2011). A meta-analysis of factors affecting trust in human-robot interaction.</w:t>
      </w:r>
      <w:r>
        <w:t xml:space="preserve"> </w:t>
      </w:r>
      <w:r>
        <w:rPr>
          <w:i/>
          <w:iCs/>
        </w:rPr>
        <w:t xml:space="preserve">Human Factors</w:t>
      </w:r>
      <w:r>
        <w:t xml:space="preserve">,</w:t>
      </w:r>
      <w:r>
        <w:t xml:space="preserve"> </w:t>
      </w:r>
      <w:r>
        <w:rPr>
          <w:i/>
          <w:iCs/>
        </w:rPr>
        <w:t xml:space="preserve">53</w:t>
      </w:r>
      <w:r>
        <w:t xml:space="preserve">(5), 517–527. https://doi.org/10.1177/0018720811417254</w:t>
      </w:r>
    </w:p>
    <w:p>
      <w:pPr>
        <w:pStyle w:val="BodyText"/>
      </w:pPr>
      <w:r>
        <w:t xml:space="preserve">Hannafin, M., Land, S., &amp; Oliver, K. (1999). Open learning environments: Foundations, methods, and models. In C. M. Reigeluth (Ed.),</w:t>
      </w:r>
      <w:r>
        <w:t xml:space="preserve"> </w:t>
      </w:r>
      <w:r>
        <w:rPr>
          <w:i/>
          <w:iCs/>
        </w:rPr>
        <w:t xml:space="preserve">Instructional-design theories and models: A new paradigm of instructional theory</w:t>
      </w:r>
      <w:r>
        <w:t xml:space="preserve"> </w:t>
      </w:r>
      <w:r>
        <w:t xml:space="preserve">(Vol. 2, pp. 115–140). Lawrence Erlbaum.</w:t>
      </w:r>
    </w:p>
    <w:p>
      <w:pPr>
        <w:pStyle w:val="BodyText"/>
      </w:pPr>
      <w:r>
        <w:t xml:space="preserve">Hattie, J. (2009).</w:t>
      </w:r>
      <w:r>
        <w:t xml:space="preserve"> </w:t>
      </w:r>
      <w:r>
        <w:rPr>
          <w:i/>
          <w:iCs/>
        </w:rPr>
        <w:t xml:space="preserve">Visible learning: A synthesis of over 800 meta-analyses relating to achievement</w:t>
      </w:r>
      <w:r>
        <w:t xml:space="preserve">. Routledge.</w:t>
      </w:r>
    </w:p>
    <w:p>
      <w:pPr>
        <w:pStyle w:val="BodyText"/>
      </w:pPr>
      <w:r>
        <w:t xml:space="preserve">Hoff, K. A., &amp; Bashir, M. (2015). Trust in automation: Integrating empirical evidence on factors that influence trust.</w:t>
      </w:r>
      <w:r>
        <w:t xml:space="preserve"> </w:t>
      </w:r>
      <w:r>
        <w:rPr>
          <w:i/>
          <w:iCs/>
        </w:rPr>
        <w:t xml:space="preserve">Human Factors</w:t>
      </w:r>
      <w:r>
        <w:t xml:space="preserve">,</w:t>
      </w:r>
      <w:r>
        <w:t xml:space="preserve"> </w:t>
      </w:r>
      <w:r>
        <w:rPr>
          <w:i/>
          <w:iCs/>
        </w:rPr>
        <w:t xml:space="preserve">57</w:t>
      </w:r>
      <w:r>
        <w:t xml:space="preserve">(3), 407–434. https://doi.org/10.1177/0018720814547570</w:t>
      </w:r>
    </w:p>
    <w:p>
      <w:pPr>
        <w:pStyle w:val="BodyText"/>
      </w:pPr>
      <w:r>
        <w:t xml:space="preserve">Hofstede, G. (2001).</w:t>
      </w:r>
      <w:r>
        <w:t xml:space="preserve"> </w:t>
      </w:r>
      <w:r>
        <w:rPr>
          <w:i/>
          <w:iCs/>
        </w:rPr>
        <w:t xml:space="preserve">Culture’s consequences: Comparing values, behaviors, institutions, and organizations across nations</w:t>
      </w:r>
      <w:r>
        <w:t xml:space="preserve"> </w:t>
      </w:r>
      <w:r>
        <w:t xml:space="preserve">(2nd ed.). Sage.</w:t>
      </w:r>
    </w:p>
    <w:p>
      <w:pPr>
        <w:pStyle w:val="BodyText"/>
      </w:pPr>
      <w:r>
        <w:t xml:space="preserve">Holmes, W., Bialik, M., &amp; Fadel, C. (2019).</w:t>
      </w:r>
      <w:r>
        <w:t xml:space="preserve"> </w:t>
      </w:r>
      <w:r>
        <w:rPr>
          <w:i/>
          <w:iCs/>
        </w:rPr>
        <w:t xml:space="preserve">Artificial intelligence in education: Promises and implications for teaching and learning</w:t>
      </w:r>
      <w:r>
        <w:t xml:space="preserve">. Center for Curriculum Redesign.</w:t>
      </w:r>
    </w:p>
    <w:p>
      <w:pPr>
        <w:pStyle w:val="BodyText"/>
      </w:pPr>
      <w:r>
        <w:t xml:space="preserve">Ji, Z., Lee, N., Frieske, R., Yu, T., Su, D., Xu, Y., Ishii, E., Bang, Y. J., Madotto, A., &amp; Fung, P. (2023). Survey of hallucination in natural language generation.</w:t>
      </w:r>
      <w:r>
        <w:t xml:space="preserve"> </w:t>
      </w:r>
      <w:r>
        <w:rPr>
          <w:i/>
          <w:iCs/>
        </w:rPr>
        <w:t xml:space="preserve">ACM Computing Surveys</w:t>
      </w:r>
      <w:r>
        <w:t xml:space="preserve">,</w:t>
      </w:r>
      <w:r>
        <w:t xml:space="preserve"> </w:t>
      </w:r>
      <w:r>
        <w:rPr>
          <w:i/>
          <w:iCs/>
        </w:rPr>
        <w:t xml:space="preserve">55</w:t>
      </w:r>
      <w:r>
        <w:t xml:space="preserve">(12), 1–38. https://doi.org/10.1145/3571730</w:t>
      </w:r>
    </w:p>
    <w:p>
      <w:pPr>
        <w:pStyle w:val="BodyText"/>
      </w:pPr>
      <w:r>
        <w:t xml:space="preserve">Jian, J.-Y., Bisantz, A. M., &amp; Drury, C. G. (2000). Foundations for an empirically determined scale of trust in automated systems.</w:t>
      </w:r>
      <w:r>
        <w:t xml:space="preserve"> </w:t>
      </w:r>
      <w:r>
        <w:rPr>
          <w:i/>
          <w:iCs/>
        </w:rPr>
        <w:t xml:space="preserve">International Journal of Cognitive Ergonomics</w:t>
      </w:r>
      <w:r>
        <w:t xml:space="preserve">,</w:t>
      </w:r>
      <w:r>
        <w:t xml:space="preserve"> </w:t>
      </w:r>
      <w:r>
        <w:rPr>
          <w:i/>
          <w:iCs/>
        </w:rPr>
        <w:t xml:space="preserve">4</w:t>
      </w:r>
      <w:r>
        <w:t xml:space="preserve">(1), 53–71. https://doi.org/10.1207/S15327566IJCE0401_04</w:t>
      </w:r>
    </w:p>
    <w:p>
      <w:pPr>
        <w:pStyle w:val="BodyText"/>
      </w:pPr>
      <w:r>
        <w:t xml:space="preserve">Kapur, M. (2008). Productive failure.</w:t>
      </w:r>
      <w:r>
        <w:t xml:space="preserve"> </w:t>
      </w:r>
      <w:r>
        <w:rPr>
          <w:i/>
          <w:iCs/>
        </w:rPr>
        <w:t xml:space="preserve">Cognition and Instruction</w:t>
      </w:r>
      <w:r>
        <w:t xml:space="preserve">,</w:t>
      </w:r>
      <w:r>
        <w:t xml:space="preserve"> </w:t>
      </w:r>
      <w:r>
        <w:rPr>
          <w:i/>
          <w:iCs/>
        </w:rPr>
        <w:t xml:space="preserve">26</w:t>
      </w:r>
      <w:r>
        <w:t xml:space="preserve">(3), 379–424. https://doi.org/10.1080/07370000802212669</w:t>
      </w:r>
    </w:p>
    <w:p>
      <w:pPr>
        <w:pStyle w:val="BodyText"/>
      </w:pPr>
      <w:r>
        <w:t xml:space="preserve">Kapur, M. (2016). Examining productive failure, productive success, and constructive failure as a framework for reconceptualizing how failure can be productive.</w:t>
      </w:r>
      <w:r>
        <w:t xml:space="preserve"> </w:t>
      </w:r>
      <w:r>
        <w:rPr>
          <w:i/>
          <w:iCs/>
        </w:rPr>
        <w:t xml:space="preserve">Instructional Science</w:t>
      </w:r>
      <w:r>
        <w:t xml:space="preserve">,</w:t>
      </w:r>
      <w:r>
        <w:t xml:space="preserve"> </w:t>
      </w:r>
      <w:r>
        <w:rPr>
          <w:i/>
          <w:iCs/>
        </w:rPr>
        <w:t xml:space="preserve">44</w:t>
      </w:r>
      <w:r>
        <w:t xml:space="preserve">(4), 321–338. https://doi.org/10.1007/s11251-016-9379-0</w:t>
      </w:r>
    </w:p>
    <w:p>
      <w:pPr>
        <w:pStyle w:val="BodyText"/>
      </w:pPr>
      <w:r>
        <w:t xml:space="preserve">Kasneci, E., Sessler, K., Kuchemann, S., Bannert, M., Dementieva, D., Fischer, F., Gasser, U., Groh, G., Gunnemann, S., Hullermeier, E., Kruber, S., Kuber, G., Sachs, S., Seidel, T., Stadler, M., Wachter, B., Weidlich, J., &amp; Kasneci, G. (2023). ChatGPT for good? On opportunities and challenges of large language models for education.</w:t>
      </w:r>
      <w:r>
        <w:t xml:space="preserve"> </w:t>
      </w:r>
      <w:r>
        <w:rPr>
          <w:i/>
          <w:iCs/>
        </w:rPr>
        <w:t xml:space="preserve">Learning and Individual Differences</w:t>
      </w:r>
      <w:r>
        <w:t xml:space="preserve">,</w:t>
      </w:r>
      <w:r>
        <w:t xml:space="preserve"> </w:t>
      </w:r>
      <w:r>
        <w:rPr>
          <w:i/>
          <w:iCs/>
        </w:rPr>
        <w:t xml:space="preserve">103</w:t>
      </w:r>
      <w:r>
        <w:t xml:space="preserve">, 102274. https://doi.org/10.1016/j.lindif.2023.102274</w:t>
      </w:r>
    </w:p>
    <w:p>
      <w:pPr>
        <w:pStyle w:val="BodyText"/>
      </w:pPr>
      <w:r>
        <w:t xml:space="preserve">Kıyak, Y. S., Coşkun, Ö., &amp; Budakoğlu, I. I. (2026).</w:t>
      </w:r>
      <w:r>
        <w:t xml:space="preserve"> </w:t>
      </w:r>
      <w:r>
        <w:t xml:space="preserve">‘ChatGPT can make mistakes’</w:t>
      </w:r>
      <w:r>
        <w:t xml:space="preserve"> </w:t>
      </w:r>
      <w:r>
        <w:t xml:space="preserve">warnings fail: A randomized controlled trial.</w:t>
      </w:r>
      <w:r>
        <w:t xml:space="preserve"> </w:t>
      </w:r>
      <w:r>
        <w:rPr>
          <w:i/>
          <w:iCs/>
        </w:rPr>
        <w:t xml:space="preserve">Medical Education</w:t>
      </w:r>
      <w:r>
        <w:t xml:space="preserve">,</w:t>
      </w:r>
      <w:r>
        <w:t xml:space="preserve"> </w:t>
      </w:r>
      <w:r>
        <w:rPr>
          <w:i/>
          <w:iCs/>
        </w:rPr>
        <w:t xml:space="preserve">60</w:t>
      </w:r>
      <w:r>
        <w:t xml:space="preserve">(2), 138–142. https://doi.org/10.1111/medu.70056</w:t>
      </w:r>
    </w:p>
    <w:p>
      <w:pPr>
        <w:pStyle w:val="BodyText"/>
      </w:pPr>
      <w:r>
        <w:t xml:space="preserve">Kuhn, T. S. (1962).</w:t>
      </w:r>
      <w:r>
        <w:t xml:space="preserve"> </w:t>
      </w:r>
      <w:r>
        <w:rPr>
          <w:i/>
          <w:iCs/>
        </w:rPr>
        <w:t xml:space="preserve">The structure of scientific revolutions</w:t>
      </w:r>
      <w:r>
        <w:t xml:space="preserve">. University of Chicago Press.</w:t>
      </w:r>
    </w:p>
    <w:p>
      <w:pPr>
        <w:pStyle w:val="BodyText"/>
      </w:pPr>
      <w:r>
        <w:t xml:space="preserve">Lankton, N. K., McKnight, D. H., &amp; Tripp, J. (2015). Technology, humanness, and trust: Rethinking trust in technology.</w:t>
      </w:r>
      <w:r>
        <w:t xml:space="preserve"> </w:t>
      </w:r>
      <w:r>
        <w:rPr>
          <w:i/>
          <w:iCs/>
        </w:rPr>
        <w:t xml:space="preserve">Journal of the Association for Information Systems</w:t>
      </w:r>
      <w:r>
        <w:t xml:space="preserve">,</w:t>
      </w:r>
      <w:r>
        <w:t xml:space="preserve"> </w:t>
      </w:r>
      <w:r>
        <w:rPr>
          <w:i/>
          <w:iCs/>
        </w:rPr>
        <w:t xml:space="preserve">16</w:t>
      </w:r>
      <w:r>
        <w:t xml:space="preserve">(10), 880–918. https://doi.org/10.17705/1jais.00411</w:t>
      </w:r>
    </w:p>
    <w:p>
      <w:pPr>
        <w:pStyle w:val="BodyText"/>
      </w:pPr>
      <w:r>
        <w:t xml:space="preserve">Lee, J. D., &amp; See, K. A. (2004). Trust in automation: Designing for appropriate reliance.</w:t>
      </w:r>
      <w:r>
        <w:t xml:space="preserve"> </w:t>
      </w:r>
      <w:r>
        <w:rPr>
          <w:i/>
          <w:iCs/>
        </w:rPr>
        <w:t xml:space="preserve">Human Factors</w:t>
      </w:r>
      <w:r>
        <w:t xml:space="preserve">,</w:t>
      </w:r>
      <w:r>
        <w:t xml:space="preserve"> </w:t>
      </w:r>
      <w:r>
        <w:rPr>
          <w:i/>
          <w:iCs/>
        </w:rPr>
        <w:t xml:space="preserve">46</w:t>
      </w:r>
      <w:r>
        <w:t xml:space="preserve">(1), 50–80. https://doi.org/10.1518/hfes.46.1.50.30392</w:t>
      </w:r>
    </w:p>
    <w:p>
      <w:pPr>
        <w:pStyle w:val="BodyText"/>
      </w:pPr>
      <w:r>
        <w:t xml:space="preserve">Li, X., Hess, T. J., &amp; Valacich, J. S. (2008). Why do we trust new technology? A study of initial trust formation with organizational information systems.</w:t>
      </w:r>
      <w:r>
        <w:t xml:space="preserve"> </w:t>
      </w:r>
      <w:r>
        <w:rPr>
          <w:i/>
          <w:iCs/>
        </w:rPr>
        <w:t xml:space="preserve">The Journal of Strategic Information Systems</w:t>
      </w:r>
      <w:r>
        <w:t xml:space="preserve">,</w:t>
      </w:r>
      <w:r>
        <w:t xml:space="preserve"> </w:t>
      </w:r>
      <w:r>
        <w:rPr>
          <w:i/>
          <w:iCs/>
        </w:rPr>
        <w:t xml:space="preserve">17</w:t>
      </w:r>
      <w:r>
        <w:t xml:space="preserve">(1), 39–71. https://doi.org/10.1016/j.jsis.2008.01.001</w:t>
      </w:r>
    </w:p>
    <w:p>
      <w:pPr>
        <w:pStyle w:val="BodyText"/>
      </w:pPr>
      <w:r>
        <w:t xml:space="preserve">Lo, C. K. (2023). What is the impact of ChatGPT on education? A rapid review of the literature.</w:t>
      </w:r>
      <w:r>
        <w:t xml:space="preserve"> </w:t>
      </w:r>
      <w:r>
        <w:rPr>
          <w:i/>
          <w:iCs/>
        </w:rPr>
        <w:t xml:space="preserve">Education Sciences</w:t>
      </w:r>
      <w:r>
        <w:t xml:space="preserve">,</w:t>
      </w:r>
      <w:r>
        <w:t xml:space="preserve"> </w:t>
      </w:r>
      <w:r>
        <w:rPr>
          <w:i/>
          <w:iCs/>
        </w:rPr>
        <w:t xml:space="preserve">13</w:t>
      </w:r>
      <w:r>
        <w:t xml:space="preserve">(4), 410. https://doi.org/10.3390/educsci13040410</w:t>
      </w:r>
    </w:p>
    <w:p>
      <w:pPr>
        <w:pStyle w:val="BodyText"/>
      </w:pPr>
      <w:r>
        <w:t xml:space="preserve">Loibl, K., Roll, I., &amp; Rummel, N. (2017). Towards a theory of when and how problem solving followed by instruction works: A meta-analysis.</w:t>
      </w:r>
      <w:r>
        <w:t xml:space="preserve"> </w:t>
      </w:r>
      <w:r>
        <w:rPr>
          <w:i/>
          <w:iCs/>
        </w:rPr>
        <w:t xml:space="preserve">Educational Psychology Review</w:t>
      </w:r>
      <w:r>
        <w:t xml:space="preserve">,</w:t>
      </w:r>
      <w:r>
        <w:t xml:space="preserve"> </w:t>
      </w:r>
      <w:r>
        <w:rPr>
          <w:i/>
          <w:iCs/>
        </w:rPr>
        <w:t xml:space="preserve">29</w:t>
      </w:r>
      <w:r>
        <w:t xml:space="preserve">(4), 693–715. https://doi.org/10.1007/s10648-016-9379-x</w:t>
      </w:r>
    </w:p>
    <w:p>
      <w:pPr>
        <w:pStyle w:val="BodyText"/>
      </w:pPr>
      <w:r>
        <w:t xml:space="preserve">Logg, J. M., Minson, J. A., &amp; Moore, D. A. (2019). Algorithm appreciation: People prefer algorithmic to human judgment.</w:t>
      </w:r>
      <w:r>
        <w:t xml:space="preserve"> </w:t>
      </w:r>
      <w:r>
        <w:rPr>
          <w:i/>
          <w:iCs/>
        </w:rPr>
        <w:t xml:space="preserve">Organizational Behavior and Human Decision Processes</w:t>
      </w:r>
      <w:r>
        <w:t xml:space="preserve">,</w:t>
      </w:r>
      <w:r>
        <w:t xml:space="preserve"> </w:t>
      </w:r>
      <w:r>
        <w:rPr>
          <w:i/>
          <w:iCs/>
        </w:rPr>
        <w:t xml:space="preserve">151</w:t>
      </w:r>
      <w:r>
        <w:t xml:space="preserve">, 90–103. https://doi.org/10.1016/j.obhdp.2018.12.005</w:t>
      </w:r>
    </w:p>
    <w:p>
      <w:pPr>
        <w:pStyle w:val="BodyText"/>
      </w:pPr>
      <w:r>
        <w:t xml:space="preserve">Long, D., &amp; Magerko, B. (2020). What is AI literacy? Competencies and design considerations.</w:t>
      </w:r>
      <w:r>
        <w:t xml:space="preserve"> </w:t>
      </w:r>
      <w:r>
        <w:rPr>
          <w:i/>
          <w:iCs/>
        </w:rPr>
        <w:t xml:space="preserve">Proceedings of the 2020 CHI Conference on Human Factors in Computing Systems</w:t>
      </w:r>
      <w:r>
        <w:t xml:space="preserve">, 1–16. https://doi.org/10.1145/3313831.3376727</w:t>
      </w:r>
    </w:p>
    <w:p>
      <w:pPr>
        <w:pStyle w:val="BodyText"/>
      </w:pPr>
      <w:r>
        <w:t xml:space="preserve">Mayer, R. C., Davis, J. H., &amp; Schoorman, F. D. (1995). An integrative model of organizational trust.</w:t>
      </w:r>
      <w:r>
        <w:t xml:space="preserve"> </w:t>
      </w:r>
      <w:r>
        <w:rPr>
          <w:i/>
          <w:iCs/>
        </w:rPr>
        <w:t xml:space="preserve">Academy of Management Review</w:t>
      </w:r>
      <w:r>
        <w:t xml:space="preserve">,</w:t>
      </w:r>
      <w:r>
        <w:t xml:space="preserve"> </w:t>
      </w:r>
      <w:r>
        <w:rPr>
          <w:i/>
          <w:iCs/>
        </w:rPr>
        <w:t xml:space="preserve">20</w:t>
      </w:r>
      <w:r>
        <w:t xml:space="preserve">(3), 709–734. https://doi.org/10.5465/amr.1995.9508080335</w:t>
      </w:r>
    </w:p>
    <w:p>
      <w:pPr>
        <w:pStyle w:val="BodyText"/>
      </w:pPr>
      <w:r>
        <w:t xml:space="preserve">McKenney, S., &amp; Reeves, T. C. (2019).</w:t>
      </w:r>
      <w:r>
        <w:t xml:space="preserve"> </w:t>
      </w:r>
      <w:r>
        <w:rPr>
          <w:i/>
          <w:iCs/>
        </w:rPr>
        <w:t xml:space="preserve">Conducting educational design research</w:t>
      </w:r>
      <w:r>
        <w:t xml:space="preserve"> </w:t>
      </w:r>
      <w:r>
        <w:t xml:space="preserve">(2nd ed.). Routledge. https://doi.org/10.4324/9781315105642</w:t>
      </w:r>
    </w:p>
    <w:p>
      <w:pPr>
        <w:pStyle w:val="BodyText"/>
      </w:pPr>
      <w:r>
        <w:t xml:space="preserve">Mollick, E. R., &amp; Mollick, L. (2023). Using AI to implement effective teaching strategies in classrooms: Five strategies, including prompts.</w:t>
      </w:r>
      <w:r>
        <w:t xml:space="preserve"> </w:t>
      </w:r>
      <w:r>
        <w:rPr>
          <w:i/>
          <w:iCs/>
        </w:rPr>
        <w:t xml:space="preserve">The Wharton School Research Paper</w:t>
      </w:r>
      <w:r>
        <w:t xml:space="preserve">. https://doi.org/10.2139/ssrn.4391243</w:t>
      </w:r>
    </w:p>
    <w:p>
      <w:pPr>
        <w:pStyle w:val="BodyText"/>
      </w:pPr>
      <w:r>
        <w:t xml:space="preserve">Ng, D. T. K., Leung, J. K. L., Chu, S. K. W., &amp; Qiao, M. S. (2021). Conceptualizing AI literacy: An exploratory review.</w:t>
      </w:r>
      <w:r>
        <w:t xml:space="preserve"> </w:t>
      </w:r>
      <w:r>
        <w:rPr>
          <w:i/>
          <w:iCs/>
        </w:rPr>
        <w:t xml:space="preserve">Computers and Education: Artificial Intelligence</w:t>
      </w:r>
      <w:r>
        <w:t xml:space="preserve">,</w:t>
      </w:r>
      <w:r>
        <w:t xml:space="preserve"> </w:t>
      </w:r>
      <w:r>
        <w:rPr>
          <w:i/>
          <w:iCs/>
        </w:rPr>
        <w:t xml:space="preserve">2</w:t>
      </w:r>
      <w:r>
        <w:t xml:space="preserve">, 100041. https://doi.org/10.1016/j.caeai.2021.100041</w:t>
      </w:r>
    </w:p>
    <w:p>
      <w:pPr>
        <w:pStyle w:val="BodyText"/>
      </w:pPr>
      <w:r>
        <w:t xml:space="preserve">OECD. (2024).</w:t>
      </w:r>
      <w:r>
        <w:t xml:space="preserve"> </w:t>
      </w:r>
      <w:r>
        <w:rPr>
          <w:i/>
          <w:iCs/>
        </w:rPr>
        <w:t xml:space="preserve">AI, data and trust: How AI can support trustworthy data governance in education</w:t>
      </w:r>
      <w:r>
        <w:t xml:space="preserve">. OECD Publishing.</w:t>
      </w:r>
    </w:p>
    <w:p>
      <w:pPr>
        <w:pStyle w:val="BodyText"/>
      </w:pPr>
      <w:r>
        <w:t xml:space="preserve">Panadero, E. (2017). A review of self-regulated learning: Six models and four directions for research.</w:t>
      </w:r>
      <w:r>
        <w:t xml:space="preserve"> </w:t>
      </w:r>
      <w:r>
        <w:rPr>
          <w:i/>
          <w:iCs/>
        </w:rPr>
        <w:t xml:space="preserve">Frontiers in Psychology</w:t>
      </w:r>
      <w:r>
        <w:t xml:space="preserve">,</w:t>
      </w:r>
      <w:r>
        <w:t xml:space="preserve"> </w:t>
      </w:r>
      <w:r>
        <w:rPr>
          <w:i/>
          <w:iCs/>
        </w:rPr>
        <w:t xml:space="preserve">8</w:t>
      </w:r>
      <w:r>
        <w:t xml:space="preserve">, 422. https://doi.org/10.3389/fpsyg.2017.00422</w:t>
      </w:r>
    </w:p>
    <w:p>
      <w:pPr>
        <w:pStyle w:val="BodyText"/>
      </w:pPr>
      <w:r>
        <w:t xml:space="preserve">Parasuraman, R., &amp; Riley, V. (1997). Humans and automation: Use, misuse, disuse, abuse.</w:t>
      </w:r>
      <w:r>
        <w:t xml:space="preserve"> </w:t>
      </w:r>
      <w:r>
        <w:rPr>
          <w:i/>
          <w:iCs/>
        </w:rPr>
        <w:t xml:space="preserve">Human Factors</w:t>
      </w:r>
      <w:r>
        <w:t xml:space="preserve">,</w:t>
      </w:r>
      <w:r>
        <w:t xml:space="preserve"> </w:t>
      </w:r>
      <w:r>
        <w:rPr>
          <w:i/>
          <w:iCs/>
        </w:rPr>
        <w:t xml:space="preserve">39</w:t>
      </w:r>
      <w:r>
        <w:t xml:space="preserve">(2), 230–253. https://doi.org/10.1518/001872097778543886</w:t>
      </w:r>
    </w:p>
    <w:p>
      <w:pPr>
        <w:pStyle w:val="BodyText"/>
      </w:pPr>
      <w:r>
        <w:t xml:space="preserve">Pea, R. D. (2004). The social and technological dimensions of scaffolding and related theoretical concepts for learning, education, and human activity.</w:t>
      </w:r>
      <w:r>
        <w:t xml:space="preserve"> </w:t>
      </w:r>
      <w:r>
        <w:rPr>
          <w:i/>
          <w:iCs/>
        </w:rPr>
        <w:t xml:space="preserve">The Journal of the Learning Sciences</w:t>
      </w:r>
      <w:r>
        <w:t xml:space="preserve">,</w:t>
      </w:r>
      <w:r>
        <w:t xml:space="preserve"> </w:t>
      </w:r>
      <w:r>
        <w:rPr>
          <w:i/>
          <w:iCs/>
        </w:rPr>
        <w:t xml:space="preserve">13</w:t>
      </w:r>
      <w:r>
        <w:t xml:space="preserve">(3), 423–451. https://doi.org/10.1207/s15327809jls1303_6</w:t>
      </w:r>
    </w:p>
    <w:p>
      <w:pPr>
        <w:pStyle w:val="BodyText"/>
      </w:pPr>
      <w:r>
        <w:t xml:space="preserve">Peters, M. D. J., Marnie, C., Tricco, A. C., Pollock, D., Munn, Z., Alexander, L., McInerney, P., Godfrey, C. M., &amp; Khalil, H. (2020). Updated methodological guidance for the conduct of scoping reviews.</w:t>
      </w:r>
      <w:r>
        <w:t xml:space="preserve"> </w:t>
      </w:r>
      <w:r>
        <w:rPr>
          <w:i/>
          <w:iCs/>
        </w:rPr>
        <w:t xml:space="preserve">JBI Evidence Synthesis</w:t>
      </w:r>
      <w:r>
        <w:t xml:space="preserve">,</w:t>
      </w:r>
      <w:r>
        <w:t xml:space="preserve"> </w:t>
      </w:r>
      <w:r>
        <w:rPr>
          <w:i/>
          <w:iCs/>
        </w:rPr>
        <w:t xml:space="preserve">18</w:t>
      </w:r>
      <w:r>
        <w:t xml:space="preserve">(10), 2119–2126. https://doi.org/10.11124/JBIES-20-00167</w:t>
      </w:r>
    </w:p>
    <w:p>
      <w:pPr>
        <w:pStyle w:val="BodyText"/>
      </w:pPr>
      <w:r>
        <w:t xml:space="preserve">Piaget, J. (1971).</w:t>
      </w:r>
      <w:r>
        <w:t xml:space="preserve"> </w:t>
      </w:r>
      <w:r>
        <w:rPr>
          <w:i/>
          <w:iCs/>
        </w:rPr>
        <w:t xml:space="preserve">Biology and knowledge: An essay on the relations between organic regulations and cognitive processes</w:t>
      </w:r>
      <w:r>
        <w:t xml:space="preserve">. University of Chicago Press.</w:t>
      </w:r>
    </w:p>
    <w:p>
      <w:pPr>
        <w:pStyle w:val="BodyText"/>
      </w:pPr>
      <w:r>
        <w:t xml:space="preserve">Pieschl, S. (2009). Metacognitive calibration — an extended conceptualization and potential applications.</w:t>
      </w:r>
      <w:r>
        <w:t xml:space="preserve"> </w:t>
      </w:r>
      <w:r>
        <w:rPr>
          <w:i/>
          <w:iCs/>
        </w:rPr>
        <w:t xml:space="preserve">Metacognition and Learning</w:t>
      </w:r>
      <w:r>
        <w:t xml:space="preserve">,</w:t>
      </w:r>
      <w:r>
        <w:t xml:space="preserve"> </w:t>
      </w:r>
      <w:r>
        <w:rPr>
          <w:i/>
          <w:iCs/>
        </w:rPr>
        <w:t xml:space="preserve">4</w:t>
      </w:r>
      <w:r>
        <w:t xml:space="preserve">(1), 3–31. https://doi.org/10.1007/s11409-008-9030-4</w:t>
      </w:r>
    </w:p>
    <w:p>
      <w:pPr>
        <w:pStyle w:val="BodyText"/>
      </w:pPr>
      <w:r>
        <w:t xml:space="preserve">Pintrich, P. R. (2000). The role of goal orientation in self-regulated learning. In M. Boekaerts, P. R. Pintrich, &amp; M. Zeidner (Eds.),</w:t>
      </w:r>
      <w:r>
        <w:t xml:space="preserve"> </w:t>
      </w:r>
      <w:r>
        <w:rPr>
          <w:i/>
          <w:iCs/>
        </w:rPr>
        <w:t xml:space="preserve">Handbook of self-regulation</w:t>
      </w:r>
      <w:r>
        <w:t xml:space="preserve"> </w:t>
      </w:r>
      <w:r>
        <w:t xml:space="preserve">(pp. 451–502). Academic Press. https://doi.org/10.1016/B978-012109890-2/50043-3</w:t>
      </w:r>
    </w:p>
    <w:p>
      <w:pPr>
        <w:pStyle w:val="BodyText"/>
      </w:pPr>
      <w:r>
        <w:t xml:space="preserve">Puntambekar, S., &amp; Hubscher, R. (2005). Tools for scaffolding students in a complex learning environment: What have we gained and what have we missed?</w:t>
      </w:r>
      <w:r>
        <w:t xml:space="preserve"> </w:t>
      </w:r>
      <w:r>
        <w:rPr>
          <w:i/>
          <w:iCs/>
        </w:rPr>
        <w:t xml:space="preserve">Educational Psychologist</w:t>
      </w:r>
      <w:r>
        <w:t xml:space="preserve">,</w:t>
      </w:r>
      <w:r>
        <w:t xml:space="preserve"> </w:t>
      </w:r>
      <w:r>
        <w:rPr>
          <w:i/>
          <w:iCs/>
        </w:rPr>
        <w:t xml:space="preserve">40</w:t>
      </w:r>
      <w:r>
        <w:t xml:space="preserve">(1), 1–12. https://doi.org/10.1207/s15326985ep4001_1</w:t>
      </w:r>
    </w:p>
    <w:p>
      <w:pPr>
        <w:pStyle w:val="BodyText"/>
      </w:pPr>
      <w:r>
        <w:t xml:space="preserve">Reiser, B. J. (2004). Scaffolding complex learning: The mechanisms of structuring and problematizing student work.</w:t>
      </w:r>
      <w:r>
        <w:t xml:space="preserve"> </w:t>
      </w:r>
      <w:r>
        <w:rPr>
          <w:i/>
          <w:iCs/>
        </w:rPr>
        <w:t xml:space="preserve">The Journal of the Learning Sciences</w:t>
      </w:r>
      <w:r>
        <w:t xml:space="preserve">,</w:t>
      </w:r>
      <w:r>
        <w:t xml:space="preserve"> </w:t>
      </w:r>
      <w:r>
        <w:rPr>
          <w:i/>
          <w:iCs/>
        </w:rPr>
        <w:t xml:space="preserve">13</w:t>
      </w:r>
      <w:r>
        <w:t xml:space="preserve">(3), 273–304. https://doi.org/10.1207/s15327809jls1303_2</w:t>
      </w:r>
    </w:p>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w:t>
      </w:r>
      <w:r>
        <w:t xml:space="preserve">,</w:t>
      </w:r>
      <w:r>
        <w:t xml:space="preserve"> </w:t>
      </w:r>
      <w:r>
        <w:rPr>
          <w:i/>
          <w:iCs/>
        </w:rPr>
        <w:t xml:space="preserve">55</w:t>
      </w:r>
      <w:r>
        <w:t xml:space="preserve">(1), 68–78. https://doi.org/10.1037/0003-066X.55.1.68</w:t>
      </w:r>
    </w:p>
    <w:p>
      <w:pPr>
        <w:pStyle w:val="BodyText"/>
      </w:pPr>
      <w:r>
        <w:t xml:space="preserve">Ryan, R. M., &amp; Deci, E. L. (2017).</w:t>
      </w:r>
      <w:r>
        <w:t xml:space="preserve"> </w:t>
      </w:r>
      <w:r>
        <w:rPr>
          <w:i/>
          <w:iCs/>
        </w:rPr>
        <w:t xml:space="preserve">Self-determination theory: Basic psychological needs in motivation, development, and wellness</w:t>
      </w:r>
      <w:r>
        <w:t xml:space="preserve">. Guilford Press. https://doi.org/10.1521/978.14625/28806</w:t>
      </w:r>
    </w:p>
    <w:p>
      <w:pPr>
        <w:pStyle w:val="BodyText"/>
      </w:pPr>
      <w:r>
        <w:t xml:space="preserve">Schaefer, K. E., Chen, J. Y. C., Szalma, J. L., &amp; Hancock, P. A. (2016). A meta-analysis of factors influencing the development of trust in automation: Implications for understanding autonomy in future systems.</w:t>
      </w:r>
      <w:r>
        <w:t xml:space="preserve"> </w:t>
      </w:r>
      <w:r>
        <w:rPr>
          <w:i/>
          <w:iCs/>
        </w:rPr>
        <w:t xml:space="preserve">Human Factors</w:t>
      </w:r>
      <w:r>
        <w:t xml:space="preserve">,</w:t>
      </w:r>
      <w:r>
        <w:t xml:space="preserve"> </w:t>
      </w:r>
      <w:r>
        <w:rPr>
          <w:i/>
          <w:iCs/>
        </w:rPr>
        <w:t xml:space="preserve">58</w:t>
      </w:r>
      <w:r>
        <w:t xml:space="preserve">(3), 377–400. https://doi.org/10.1177/0018720816634228</w:t>
      </w:r>
    </w:p>
    <w:p>
      <w:pPr>
        <w:pStyle w:val="BodyText"/>
      </w:pPr>
      <w:r>
        <w:t xml:space="preserve">Schraw, G. (1998). Promoting general metacognitive awareness.</w:t>
      </w:r>
      <w:r>
        <w:t xml:space="preserve"> </w:t>
      </w:r>
      <w:r>
        <w:rPr>
          <w:i/>
          <w:iCs/>
        </w:rPr>
        <w:t xml:space="preserve">Instructional Science</w:t>
      </w:r>
      <w:r>
        <w:t xml:space="preserve">,</w:t>
      </w:r>
      <w:r>
        <w:t xml:space="preserve"> </w:t>
      </w:r>
      <w:r>
        <w:rPr>
          <w:i/>
          <w:iCs/>
        </w:rPr>
        <w:t xml:space="preserve">26</w:t>
      </w:r>
      <w:r>
        <w:t xml:space="preserve">(1–2), 113–125. https://doi.org/10.1023/A:1003044231033</w:t>
      </w:r>
    </w:p>
    <w:p>
      <w:pPr>
        <w:pStyle w:val="BodyText"/>
      </w:pPr>
      <w:r>
        <w:t xml:space="preserve">Schraw, G., &amp; Dennison, R. S. (1994). Assessing metacognitive awareness.</w:t>
      </w:r>
      <w:r>
        <w:t xml:space="preserve"> </w:t>
      </w:r>
      <w:r>
        <w:rPr>
          <w:i/>
          <w:iCs/>
        </w:rPr>
        <w:t xml:space="preserve">Contemporary Educational Psychology</w:t>
      </w:r>
      <w:r>
        <w:t xml:space="preserve">,</w:t>
      </w:r>
      <w:r>
        <w:t xml:space="preserve"> </w:t>
      </w:r>
      <w:r>
        <w:rPr>
          <w:i/>
          <w:iCs/>
        </w:rPr>
        <w:t xml:space="preserve">19</w:t>
      </w:r>
      <w:r>
        <w:t xml:space="preserve">(4), 460–475. https://doi.org/10.1006/ceps.1994.1033</w:t>
      </w:r>
    </w:p>
    <w:p>
      <w:pPr>
        <w:pStyle w:val="BodyText"/>
      </w:pPr>
      <w:r>
        <w:t xml:space="preserve">Shneiderman, B. (2020). Human-centered artificial intelligence: Reliable, safe &amp; trustworthy.</w:t>
      </w:r>
      <w:r>
        <w:t xml:space="preserve"> </w:t>
      </w:r>
      <w:r>
        <w:rPr>
          <w:i/>
          <w:iCs/>
        </w:rPr>
        <w:t xml:space="preserve">International Journal of Human-Computer Interaction</w:t>
      </w:r>
      <w:r>
        <w:t xml:space="preserve">,</w:t>
      </w:r>
      <w:r>
        <w:t xml:space="preserve"> </w:t>
      </w:r>
      <w:r>
        <w:rPr>
          <w:i/>
          <w:iCs/>
        </w:rPr>
        <w:t xml:space="preserve">36</w:t>
      </w:r>
      <w:r>
        <w:t xml:space="preserve">(6), 495–504. https://doi.org/10.1080/10447318.2020.1741118</w:t>
      </w:r>
    </w:p>
    <w:p>
      <w:pPr>
        <w:pStyle w:val="BodyText"/>
      </w:pPr>
      <w:r>
        <w:t xml:space="preserve">Sparrow, B., Liu, J., &amp; Wegner, D. M. (2011). Google effects on memory: Cognitive consequences of having information at our fingertips.</w:t>
      </w:r>
      <w:r>
        <w:t xml:space="preserve"> </w:t>
      </w:r>
      <w:r>
        <w:rPr>
          <w:i/>
          <w:iCs/>
        </w:rPr>
        <w:t xml:space="preserve">Science</w:t>
      </w:r>
      <w:r>
        <w:t xml:space="preserve">,</w:t>
      </w:r>
      <w:r>
        <w:t xml:space="preserve"> </w:t>
      </w:r>
      <w:r>
        <w:rPr>
          <w:i/>
          <w:iCs/>
        </w:rPr>
        <w:t xml:space="preserve">333</w:t>
      </w:r>
      <w:r>
        <w:t xml:space="preserve">(6043), 776–778. https://doi.org/10.1126/science.1207745</w:t>
      </w:r>
    </w:p>
    <w:p>
      <w:pPr>
        <w:pStyle w:val="BodyText"/>
      </w:pPr>
      <w:r>
        <w:t xml:space="preserve">Stone, N. J. (2000). Exploring the relationship between calibration and self-regulated learning.</w:t>
      </w:r>
      <w:r>
        <w:t xml:space="preserve"> </w:t>
      </w:r>
      <w:r>
        <w:rPr>
          <w:i/>
          <w:iCs/>
        </w:rPr>
        <w:t xml:space="preserve">Educational Psychology Review</w:t>
      </w:r>
      <w:r>
        <w:t xml:space="preserve">,</w:t>
      </w:r>
      <w:r>
        <w:t xml:space="preserve"> </w:t>
      </w:r>
      <w:r>
        <w:rPr>
          <w:i/>
          <w:iCs/>
        </w:rPr>
        <w:t xml:space="preserve">12</w:t>
      </w:r>
      <w:r>
        <w:t xml:space="preserve">(4), 437–475. https://doi.org/10.1023/A:1009084430926</w:t>
      </w:r>
    </w:p>
    <w:p>
      <w:pPr>
        <w:pStyle w:val="BodyText"/>
      </w:pPr>
      <w:r>
        <w:t xml:space="preserve">Strzelecki, A. (2023). To use or not to use ChatGPT in higher education? A study of students’ acceptance and use of technology.</w:t>
      </w:r>
      <w:r>
        <w:t xml:space="preserve"> </w:t>
      </w:r>
      <w:r>
        <w:rPr>
          <w:i/>
          <w:iCs/>
        </w:rPr>
        <w:t xml:space="preserve">Interactive Learning Environments</w:t>
      </w:r>
      <w:r>
        <w:t xml:space="preserve">,</w:t>
      </w:r>
      <w:r>
        <w:t xml:space="preserve"> </w:t>
      </w:r>
      <w:r>
        <w:rPr>
          <w:i/>
          <w:iCs/>
        </w:rPr>
        <w:t xml:space="preserve">32</w:t>
      </w:r>
      <w:r>
        <w:t xml:space="preserve">(10), 5142–5155. https://doi.org/10.1080/10494820.2023.2209881</w:t>
      </w:r>
    </w:p>
    <w:p>
      <w:pPr>
        <w:pStyle w:val="BodyText"/>
      </w:pPr>
      <w:r>
        <w:t xml:space="preserve">Sweller, J. (2011). Cognitive load theory. In J. Mestre &amp; B. Ross (Eds.),</w:t>
      </w:r>
      <w:r>
        <w:t xml:space="preserve"> </w:t>
      </w:r>
      <w:r>
        <w:rPr>
          <w:i/>
          <w:iCs/>
        </w:rPr>
        <w:t xml:space="preserve">The psychology of learning and motivation</w:t>
      </w:r>
      <w:r>
        <w:t xml:space="preserve"> </w:t>
      </w:r>
      <w:r>
        <w:t xml:space="preserve">(Vol. 55, pp. 37–76). Academic Press. https://doi.org/10.1016/B978-0-12-387691-1.00002-8</w:t>
      </w:r>
    </w:p>
    <w:p>
      <w:pPr>
        <w:pStyle w:val="BodyText"/>
      </w:pPr>
      <w:r>
        <w:t xml:space="preserve">UNESCO. (2023).</w:t>
      </w:r>
      <w:r>
        <w:t xml:space="preserve"> </w:t>
      </w:r>
      <w:r>
        <w:rPr>
          <w:i/>
          <w:iCs/>
        </w:rPr>
        <w:t xml:space="preserve">Guidance for generative AI in education and research</w:t>
      </w:r>
      <w:r>
        <w:t xml:space="preserve">. UNESCO Publishing. https://doi.org/10.54675/EWZQ9535</w:t>
      </w:r>
    </w:p>
    <w:p>
      <w:pPr>
        <w:pStyle w:val="BodyText"/>
      </w:pPr>
      <w:r>
        <w:t xml:space="preserve">UNESCO. (2024).</w:t>
      </w:r>
      <w:r>
        <w:t xml:space="preserve"> </w:t>
      </w:r>
      <w:r>
        <w:rPr>
          <w:i/>
          <w:iCs/>
        </w:rPr>
        <w:t xml:space="preserve">AI competency framework for teachers</w:t>
      </w:r>
      <w:r>
        <w:t xml:space="preserve">. UNESCO Publishing. https://doi.org/10.54675/CCBF6077</w:t>
      </w:r>
    </w:p>
    <w:p>
      <w:pPr>
        <w:pStyle w:val="BodyText"/>
      </w:pPr>
      <w:r>
        <w:t xml:space="preserve">van de Pol, J., Volman, M., &amp; Beishuizen, J. (2010). Scaffolding in teacher–student interaction: A decade of research.</w:t>
      </w:r>
      <w:r>
        <w:t xml:space="preserve"> </w:t>
      </w:r>
      <w:r>
        <w:rPr>
          <w:i/>
          <w:iCs/>
        </w:rPr>
        <w:t xml:space="preserve">Educational Psychology Review</w:t>
      </w:r>
      <w:r>
        <w:t xml:space="preserve">,</w:t>
      </w:r>
      <w:r>
        <w:t xml:space="preserve"> </w:t>
      </w:r>
      <w:r>
        <w:rPr>
          <w:i/>
          <w:iCs/>
        </w:rPr>
        <w:t xml:space="preserve">22</w:t>
      </w:r>
      <w:r>
        <w:t xml:space="preserve">(3), 271–296. https://doi.org/10.1007/s10648-010-9127-6</w:t>
      </w:r>
    </w:p>
    <w:p>
      <w:pPr>
        <w:pStyle w:val="BodyText"/>
      </w:pPr>
      <w:r>
        <w:t xml:space="preserve">Venkatesh, V., Morris, M. G., Davis, G. B., &amp; Davis, F. D. (2003). User acceptance of information technology: Toward a unified view.</w:t>
      </w:r>
      <w:r>
        <w:t xml:space="preserve"> </w:t>
      </w:r>
      <w:r>
        <w:rPr>
          <w:i/>
          <w:iCs/>
        </w:rPr>
        <w:t xml:space="preserve">MIS Quarterly</w:t>
      </w:r>
      <w:r>
        <w:t xml:space="preserve">,</w:t>
      </w:r>
      <w:r>
        <w:t xml:space="preserve"> </w:t>
      </w:r>
      <w:r>
        <w:rPr>
          <w:i/>
          <w:iCs/>
        </w:rPr>
        <w:t xml:space="preserve">27</w:t>
      </w:r>
      <w:r>
        <w:t xml:space="preserve">(3), 425–478. https://doi.org/10.2307/30036540</w:t>
      </w:r>
    </w:p>
    <w:p>
      <w:pPr>
        <w:pStyle w:val="BodyText"/>
      </w:pPr>
      <w:r>
        <w:t xml:space="preserve">Vygotsky, L. S. (1978).</w:t>
      </w:r>
      <w:r>
        <w:t xml:space="preserve"> </w:t>
      </w:r>
      <w:r>
        <w:rPr>
          <w:i/>
          <w:iCs/>
        </w:rPr>
        <w:t xml:space="preserve">Mind in society: The development of higher psychological processes</w:t>
      </w:r>
      <w:r>
        <w:t xml:space="preserve"> </w:t>
      </w:r>
      <w:r>
        <w:t xml:space="preserve">(M. Cole, V. John-Steiner, S. Scribner, &amp; E. Souberman, Eds.). Harvard University Press.</w:t>
      </w:r>
    </w:p>
    <w:p>
      <w:pPr>
        <w:pStyle w:val="BodyText"/>
      </w:pPr>
      <w:r>
        <w:t xml:space="preserve">Wang, M., &amp; Zhang, J. (2026). AI-supported higher-order thinking and EFL writing quality: A mechanism-focused study.</w:t>
      </w:r>
      <w:r>
        <w:t xml:space="preserve"> </w:t>
      </w:r>
      <w:r>
        <w:rPr>
          <w:i/>
          <w:iCs/>
        </w:rPr>
        <w:t xml:space="preserve">Acta Psychologica</w:t>
      </w:r>
      <w:r>
        <w:t xml:space="preserve">,</w:t>
      </w:r>
      <w:r>
        <w:t xml:space="preserve"> </w:t>
      </w:r>
      <w:r>
        <w:rPr>
          <w:i/>
          <w:iCs/>
        </w:rPr>
        <w:t xml:space="preserve">263</w:t>
      </w:r>
      <w:r>
        <w:t xml:space="preserve">, 106239. https://doi.org/10.1016/j.actpsy.2026.106239</w:t>
      </w:r>
    </w:p>
    <w:p>
      <w:pPr>
        <w:pStyle w:val="BodyText"/>
      </w:pPr>
      <w:r>
        <w:t xml:space="preserve">Wiliam, D. (2011).</w:t>
      </w:r>
      <w:r>
        <w:t xml:space="preserve"> </w:t>
      </w:r>
      <w:r>
        <w:rPr>
          <w:i/>
          <w:iCs/>
        </w:rPr>
        <w:t xml:space="preserve">Embedded formative assessment</w:t>
      </w:r>
      <w:r>
        <w:t xml:space="preserve">. Solution Tree Press.</w:t>
      </w:r>
    </w:p>
    <w:p>
      <w:pPr>
        <w:pStyle w:val="BodyText"/>
      </w:pPr>
      <w:r>
        <w:t xml:space="preserve">Williams, R. (2025). Navigating the AI-enhanced learning landscape: A framework for integrating generative AI as a cognitive and metacognitive tool.</w:t>
      </w:r>
      <w:r>
        <w:t xml:space="preserve"> </w:t>
      </w:r>
      <w:r>
        <w:rPr>
          <w:i/>
          <w:iCs/>
        </w:rPr>
        <w:t xml:space="preserve">Information</w:t>
      </w:r>
      <w:r>
        <w:t xml:space="preserve">,</w:t>
      </w:r>
      <w:r>
        <w:t xml:space="preserve"> </w:t>
      </w:r>
      <w:r>
        <w:rPr>
          <w:i/>
          <w:iCs/>
        </w:rPr>
        <w:t xml:space="preserve">16</w:t>
      </w:r>
      <w:r>
        <w:t xml:space="preserve">(1), 28. https://doi.org/10.3390/info16010028</w:t>
      </w:r>
    </w:p>
    <w:p>
      <w:pPr>
        <w:pStyle w:val="BodyText"/>
      </w:pPr>
      <w:r>
        <w:t xml:space="preserve">Winne, P. H., &amp; Hadwin, A. F. (1998). Studying as self-regulated learning. In D. J. Hacker, J. Dunlosky, &amp; A. C. Graesner (Eds.),</w:t>
      </w:r>
      <w:r>
        <w:t xml:space="preserve"> </w:t>
      </w:r>
      <w:r>
        <w:rPr>
          <w:i/>
          <w:iCs/>
        </w:rPr>
        <w:t xml:space="preserve">Metacognition in educational theory and practice</w:t>
      </w:r>
      <w:r>
        <w:t xml:space="preserve"> </w:t>
      </w:r>
      <w:r>
        <w:t xml:space="preserve">(pp. 277–304). Lawrence Erlbaum.</w:t>
      </w:r>
    </w:p>
    <w:p>
      <w:pPr>
        <w:pStyle w:val="BodyText"/>
      </w:pPr>
      <w:r>
        <w:t xml:space="preserve">Wood, D., Bruner, J. S., &amp; Ross, G. (1976). The role of tutoring in problem solving.</w:t>
      </w:r>
      <w:r>
        <w:t xml:space="preserve"> </w:t>
      </w:r>
      <w:r>
        <w:rPr>
          <w:i/>
          <w:iCs/>
        </w:rPr>
        <w:t xml:space="preserve">Journal of Child Psychology and Psychiatry</w:t>
      </w:r>
      <w:r>
        <w:t xml:space="preserve">,</w:t>
      </w:r>
      <w:r>
        <w:t xml:space="preserve"> </w:t>
      </w:r>
      <w:r>
        <w:rPr>
          <w:i/>
          <w:iCs/>
        </w:rPr>
        <w:t xml:space="preserve">17</w:t>
      </w:r>
      <w:r>
        <w:t xml:space="preserve">(2), 89–100. https://doi.org/10.1111/j.1469-7610.1976.tb00381.x</w:t>
      </w:r>
    </w:p>
    <w:p>
      <w:pPr>
        <w:pStyle w:val="BodyText"/>
      </w:pPr>
      <w:r>
        <w:t xml:space="preserve">Woodworth, R. S. (1929).</w:t>
      </w:r>
      <w:r>
        <w:t xml:space="preserve"> </w:t>
      </w:r>
      <w:r>
        <w:rPr>
          <w:i/>
          <w:iCs/>
        </w:rPr>
        <w:t xml:space="preserve">Psychology</w:t>
      </w:r>
      <w:r>
        <w:t xml:space="preserve"> </w:t>
      </w:r>
      <w:r>
        <w:t xml:space="preserve">(Rev. ed.). Henry Holt.</w:t>
      </w:r>
    </w:p>
    <w:p>
      <w:pPr>
        <w:pStyle w:val="BodyText"/>
      </w:pPr>
      <w:r>
        <w:t xml:space="preserve">Zawacki-Richter, O., Marin, V. I., Bond, M., &amp; Gouverneur, F. (2019). Systematic review of research on artificial intelligence applications in higher education – Where are the educators?</w:t>
      </w:r>
      <w:r>
        <w:t xml:space="preserve"> </w:t>
      </w:r>
      <w:r>
        <w:rPr>
          <w:i/>
          <w:iCs/>
        </w:rPr>
        <w:t xml:space="preserve">International Journal of Educational Technology in Higher Education</w:t>
      </w:r>
      <w:r>
        <w:t xml:space="preserve">,</w:t>
      </w:r>
      <w:r>
        <w:t xml:space="preserve"> </w:t>
      </w:r>
      <w:r>
        <w:rPr>
          <w:i/>
          <w:iCs/>
        </w:rPr>
        <w:t xml:space="preserve">16</w:t>
      </w:r>
      <w:r>
        <w:t xml:space="preserve">(1), 39. https://doi.org/10.1186/s41239-019-0171-0</w:t>
      </w:r>
    </w:p>
    <w:p>
      <w:pPr>
        <w:pStyle w:val="BodyText"/>
      </w:pPr>
      <w:r>
        <w:t xml:space="preserve">Zimmerman, B. J. (2000). Attaining self-regulation: A social cognitive perspective. In M. Boekaerts, P. R. Pintrich, &amp; M. Zeidner (Eds.),</w:t>
      </w:r>
      <w:r>
        <w:t xml:space="preserve"> </w:t>
      </w:r>
      <w:r>
        <w:rPr>
          <w:i/>
          <w:iCs/>
        </w:rPr>
        <w:t xml:space="preserve">Handbook of self-regulation</w:t>
      </w:r>
      <w:r>
        <w:t xml:space="preserve"> </w:t>
      </w:r>
      <w:r>
        <w:t xml:space="preserve">(pp. 13–39). Academic Press. https://doi.org/10.1016/B978-012109890-2/50031-7</w:t>
      </w:r>
    </w:p>
    <w:p>
      <w:pPr>
        <w:pStyle w:val="BodyText"/>
      </w:pPr>
      <w:r>
        <w:t xml:space="preserve">Zimmerman, B. J. (2002). Becoming a self-regulated learner: An overview.</w:t>
      </w:r>
      <w:r>
        <w:t xml:space="preserve"> </w:t>
      </w:r>
      <w:r>
        <w:rPr>
          <w:i/>
          <w:iCs/>
        </w:rPr>
        <w:t xml:space="preserve">Theory Into Practice</w:t>
      </w:r>
      <w:r>
        <w:t xml:space="preserve">,</w:t>
      </w:r>
      <w:r>
        <w:t xml:space="preserve"> </w:t>
      </w:r>
      <w:r>
        <w:rPr>
          <w:i/>
          <w:iCs/>
        </w:rPr>
        <w:t xml:space="preserve">41</w:t>
      </w:r>
      <w:r>
        <w:t xml:space="preserve">(2), 64–70. https://doi.org/10.1207/s15430421tip4102_2</w:t>
      </w:r>
    </w:p>
    <w:p>
      <w:r>
        <w:pict>
          <v:rect style="width:0;height:1.5pt" o:hralign="center" o:hrstd="t" o:hr="t"/>
        </w:pict>
      </w:r>
    </w:p>
    <w:bookmarkEnd w:id="72"/>
    <w:bookmarkStart w:id="73" w:name="additional-references-priority-ad-papers"/>
    <w:p>
      <w:pPr>
        <w:pStyle w:val="Heading2"/>
      </w:pPr>
      <w:r>
        <w:t xml:space="preserve">Additional References (Priority A–D Papers)</w:t>
      </w:r>
    </w:p>
    <w:p>
      <w:pPr>
        <w:pStyle w:val="FirstParagraph"/>
      </w:pPr>
      <w:r>
        <w:t xml:space="preserve">Chi, M. T. H., Siler, S. A., Jeong, H., Yamauchi, T., &amp; Hausmann, R. G. (2001). Learning from human tutoring.</w:t>
      </w:r>
      <w:r>
        <w:t xml:space="preserve"> </w:t>
      </w:r>
      <w:r>
        <w:rPr>
          <w:i/>
          <w:iCs/>
        </w:rPr>
        <w:t xml:space="preserve">Cognitive Science</w:t>
      </w:r>
      <w:r>
        <w:t xml:space="preserve">,</w:t>
      </w:r>
      <w:r>
        <w:t xml:space="preserve"> </w:t>
      </w:r>
      <w:r>
        <w:rPr>
          <w:i/>
          <w:iCs/>
        </w:rPr>
        <w:t xml:space="preserve">25</w:t>
      </w:r>
      <w:r>
        <w:t xml:space="preserve">(4), 471–533. https://doi.org/10.1207/s15516709cog2504_1</w:t>
      </w:r>
    </w:p>
    <w:p>
      <w:pPr>
        <w:pStyle w:val="BodyText"/>
      </w:pPr>
      <w:r>
        <w:t xml:space="preserve">Sakamoto, T., Hasan, R., Lennon, M., Cody, J., Krumholz, H. M., &amp; Schulz, W. L. (2024). Facilitating trust calibration in artificial intelligence–driven diagnostic decision support systems.</w:t>
      </w:r>
      <w:r>
        <w:t xml:space="preserve"> </w:t>
      </w:r>
      <w:r>
        <w:rPr>
          <w:i/>
          <w:iCs/>
        </w:rPr>
        <w:t xml:space="preserve">Journal of Medical Internet Research</w:t>
      </w:r>
      <w:r>
        <w:t xml:space="preserve">,</w:t>
      </w:r>
      <w:r>
        <w:t xml:space="preserve"> </w:t>
      </w:r>
      <w:r>
        <w:rPr>
          <w:i/>
          <w:iCs/>
        </w:rPr>
        <w:t xml:space="preserve">26</w:t>
      </w:r>
      <w:r>
        <w:t xml:space="preserve">, e58666. https://doi.org/10.2196/58666</w:t>
      </w:r>
    </w:p>
    <w:p>
      <w:pPr>
        <w:pStyle w:val="BodyText"/>
      </w:pPr>
      <w:r>
        <w:t xml:space="preserve">Ma, S., Kimani, E., Rowan, K., Feuerriegel, S., &amp; Perer, A. (2024). Are you really sure? Understanding the effects of human self-confidence calibration prompts on trust, reliance, and task performance in AI-assisted decision making.</w:t>
      </w:r>
      <w:r>
        <w:t xml:space="preserve"> </w:t>
      </w:r>
      <w:r>
        <w:rPr>
          <w:i/>
          <w:iCs/>
        </w:rPr>
        <w:t xml:space="preserve">Proceedings of the 2024 CHI Conference on Human Factors in Computing Systems</w:t>
      </w:r>
      <w:r>
        <w:t xml:space="preserve">, Article 671. https://doi.org/10.1145/3613904.3642671</w:t>
      </w:r>
    </w:p>
    <w:p>
      <w:pPr>
        <w:pStyle w:val="BodyText"/>
      </w:pPr>
      <w:r>
        <w:t xml:space="preserve">Lee, J., Lee, S., &amp; Steyvers, M. (2025). Metacognitive sensitivity: Key to calibrating trust with AI.</w:t>
      </w:r>
      <w:r>
        <w:t xml:space="preserve"> </w:t>
      </w:r>
      <w:r>
        <w:rPr>
          <w:i/>
          <w:iCs/>
        </w:rPr>
        <w:t xml:space="preserve">PNAS Nexus</w:t>
      </w:r>
      <w:r>
        <w:t xml:space="preserve">,</w:t>
      </w:r>
      <w:r>
        <w:t xml:space="preserve"> </w:t>
      </w:r>
      <w:r>
        <w:rPr>
          <w:i/>
          <w:iCs/>
        </w:rPr>
        <w:t xml:space="preserve">4</w:t>
      </w:r>
      <w:r>
        <w:t xml:space="preserve">(3), pgaf133. https://doi.org/10.1093/pnasnexus/pgaf133</w:t>
      </w:r>
    </w:p>
    <w:p>
      <w:pPr>
        <w:pStyle w:val="BodyText"/>
      </w:pPr>
      <w:r>
        <w:t xml:space="preserve">Lee, S., &amp; Bosch, N. (2025). Calibration discrepancy predicts students’ subsequent metacognitive strategy use in AI-supported learning.</w:t>
      </w:r>
      <w:r>
        <w:t xml:space="preserve"> </w:t>
      </w:r>
      <w:r>
        <w:rPr>
          <w:i/>
          <w:iCs/>
        </w:rPr>
        <w:t xml:space="preserve">International Journal of Artificial Intelligence in Education</w:t>
      </w:r>
      <w:r>
        <w:t xml:space="preserve">. https://doi.org/10.1007/s40593-025-00514-5</w:t>
      </w:r>
    </w:p>
    <w:p>
      <w:pPr>
        <w:pStyle w:val="BodyText"/>
      </w:pPr>
      <w:r>
        <w:t xml:space="preserve">Lee, S., Lee, S., &amp; Bosch, N. (2025). Learning behaviors mediate the effects of metacognitive calibration in AI-supported learning.</w:t>
      </w:r>
      <w:r>
        <w:t xml:space="preserve"> </w:t>
      </w:r>
      <w:r>
        <w:rPr>
          <w:i/>
          <w:iCs/>
        </w:rPr>
        <w:t xml:space="preserve">Proceedings of the 15th International Learning Analytics and Knowledge Conference (LAK ’25)</w:t>
      </w:r>
      <w:r>
        <w:t xml:space="preserve">. https://doi.org/10.1145/3706468.3706513</w:t>
      </w:r>
    </w:p>
    <w:p>
      <w:pPr>
        <w:pStyle w:val="BodyText"/>
      </w:pPr>
      <w:r>
        <w:t xml:space="preserve">Li, Y., Chen, M., &amp; Liao, Q. V. (2024). Understanding the effects of miscalibrated AI confidence on user trust.</w:t>
      </w:r>
      <w:r>
        <w:t xml:space="preserve"> </w:t>
      </w:r>
      <w:r>
        <w:rPr>
          <w:i/>
          <w:iCs/>
        </w:rPr>
        <w:t xml:space="preserve">Proceedings of the 2024 CHI Conference on Human Factors in Computing Systems</w:t>
      </w:r>
      <w:r>
        <w:t xml:space="preserve">. https://doi.org/10.48550/arXiv.2402.07632</w:t>
      </w:r>
    </w:p>
    <w:p>
      <w:pPr>
        <w:pStyle w:val="BodyText"/>
      </w:pPr>
      <w:r>
        <w:t xml:space="preserve">Wischnewski, M., Krämer, N., &amp; Müller, E. (2023). Measuring and understanding trust calibrations for automated systems: A survey of the state-of-the-art and future directions.</w:t>
      </w:r>
      <w:r>
        <w:t xml:space="preserve"> </w:t>
      </w:r>
      <w:r>
        <w:rPr>
          <w:i/>
          <w:iCs/>
        </w:rPr>
        <w:t xml:space="preserve">Proceedings of the 2023 CHI Conference on Human Factors in Computing Systems</w:t>
      </w:r>
      <w:r>
        <w:t xml:space="preserve">, Article 197. https://doi.org/10.1145/3544548.3581197</w:t>
      </w:r>
    </w:p>
    <w:p>
      <w:pPr>
        <w:pStyle w:val="BodyText"/>
      </w:pPr>
      <w:r>
        <w:t xml:space="preserve">Mehrotra, S., Jonker, C. M., &amp; Tielman, M. L. (2024). A systematic review of the research on fostering appropriate trust in human-AI interaction.</w:t>
      </w:r>
      <w:r>
        <w:t xml:space="preserve"> </w:t>
      </w:r>
      <w:r>
        <w:rPr>
          <w:i/>
          <w:iCs/>
        </w:rPr>
        <w:t xml:space="preserve">ACM Computing Surveys</w:t>
      </w:r>
      <w:r>
        <w:t xml:space="preserve">,</w:t>
      </w:r>
      <w:r>
        <w:t xml:space="preserve"> </w:t>
      </w:r>
      <w:r>
        <w:rPr>
          <w:i/>
          <w:iCs/>
        </w:rPr>
        <w:t xml:space="preserve">56</w:t>
      </w:r>
      <w:r>
        <w:t xml:space="preserve">(12), 1–40. https://doi.org/10.1145/3696449</w:t>
      </w:r>
    </w:p>
    <w:p>
      <w:pPr>
        <w:pStyle w:val="BodyText"/>
      </w:pPr>
      <w:r>
        <w:t xml:space="preserve">Nelson, T. O., &amp; Narens, L. (1990). Metamemory: A theoretical framework and new findings. In G. H. Bower (Ed.),</w:t>
      </w:r>
      <w:r>
        <w:t xml:space="preserve"> </w:t>
      </w:r>
      <w:r>
        <w:rPr>
          <w:i/>
          <w:iCs/>
        </w:rPr>
        <w:t xml:space="preserve">The psychology of learning and motivation</w:t>
      </w:r>
      <w:r>
        <w:t xml:space="preserve"> </w:t>
      </w:r>
      <w:r>
        <w:t xml:space="preserve">(Vol. 26, pp. 125–173). Academic Press.</w:t>
      </w:r>
    </w:p>
    <w:p>
      <w:pPr>
        <w:pStyle w:val="BodyText"/>
      </w:pPr>
      <w:r>
        <w:t xml:space="preserve">Okamura, K., &amp; Yamada, S. (2020). Adaptive trust calibration for human-AI collaboration.</w:t>
      </w:r>
      <w:r>
        <w:t xml:space="preserve"> </w:t>
      </w:r>
      <w:r>
        <w:rPr>
          <w:i/>
          <w:iCs/>
        </w:rPr>
        <w:t xml:space="preserve">PLOS ONE</w:t>
      </w:r>
      <w:r>
        <w:t xml:space="preserve">,</w:t>
      </w:r>
      <w:r>
        <w:t xml:space="preserve"> </w:t>
      </w:r>
      <w:r>
        <w:rPr>
          <w:i/>
          <w:iCs/>
        </w:rPr>
        <w:t xml:space="preserve">15</w:t>
      </w:r>
      <w:r>
        <w:t xml:space="preserve">(2), e0229132. https://doi.org/10.1371/journal.pone.0229132</w:t>
      </w:r>
    </w:p>
    <w:p>
      <w:pPr>
        <w:pStyle w:val="BodyText"/>
      </w:pPr>
      <w:r>
        <w:t xml:space="preserve">Pandey, S., Creel, K. A., &amp; Picard, R. W. (2025). Epistemic trust in generative AI.</w:t>
      </w:r>
      <w:r>
        <w:t xml:space="preserve"> </w:t>
      </w:r>
      <w:r>
        <w:rPr>
          <w:i/>
          <w:iCs/>
        </w:rPr>
        <w:t xml:space="preserve">AI and Ethics</w:t>
      </w:r>
      <w:r>
        <w:t xml:space="preserve">. https://doi.org/10.1007/s43681-025-00686-7</w:t>
      </w:r>
    </w:p>
    <w:p>
      <w:pPr>
        <w:pStyle w:val="BodyText"/>
      </w:pPr>
      <w:r>
        <w:t xml:space="preserve">Parasuraman, R., &amp; Manzey, D. H. (2010). Complacency and bias in human use of automation: An attentional integration.</w:t>
      </w:r>
      <w:r>
        <w:t xml:space="preserve"> </w:t>
      </w:r>
      <w:r>
        <w:rPr>
          <w:i/>
          <w:iCs/>
        </w:rPr>
        <w:t xml:space="preserve">Human Factors</w:t>
      </w:r>
      <w:r>
        <w:t xml:space="preserve">,</w:t>
      </w:r>
      <w:r>
        <w:t xml:space="preserve"> </w:t>
      </w:r>
      <w:r>
        <w:rPr>
          <w:i/>
          <w:iCs/>
        </w:rPr>
        <w:t xml:space="preserve">52</w:t>
      </w:r>
      <w:r>
        <w:t xml:space="preserve">(3), 381–410. https://doi.org/10.1177/0018720810376055</w:t>
      </w:r>
    </w:p>
    <w:p>
      <w:pPr>
        <w:pStyle w:val="BodyText"/>
      </w:pPr>
      <w:r>
        <w:t xml:space="preserve">Pare, G., Trudel, M.-C., Jaana, M., &amp; Kitsiou, S. (2015). Synthesizing information systems knowledge: A typology of literature reviews.</w:t>
      </w:r>
      <w:r>
        <w:t xml:space="preserve"> </w:t>
      </w:r>
      <w:r>
        <w:rPr>
          <w:i/>
          <w:iCs/>
        </w:rPr>
        <w:t xml:space="preserve">Information &amp; Management</w:t>
      </w:r>
      <w:r>
        <w:t xml:space="preserve">,</w:t>
      </w:r>
      <w:r>
        <w:t xml:space="preserve"> </w:t>
      </w:r>
      <w:r>
        <w:rPr>
          <w:i/>
          <w:iCs/>
        </w:rPr>
        <w:t xml:space="preserve">52</w:t>
      </w:r>
      <w:r>
        <w:t xml:space="preserve">(2), 183–199. https://doi.org/10.1016/j.im.2014.08.008</w:t>
      </w:r>
    </w:p>
    <w:p>
      <w:pPr>
        <w:pStyle w:val="BodyText"/>
      </w:pPr>
      <w:r>
        <w:t xml:space="preserve">Risko, E. F., &amp; Gilbert, S. J. (2016). Cognitive offloading.</w:t>
      </w:r>
      <w:r>
        <w:t xml:space="preserve"> </w:t>
      </w:r>
      <w:r>
        <w:rPr>
          <w:i/>
          <w:iCs/>
        </w:rPr>
        <w:t xml:space="preserve">Trends in Cognitive Sciences</w:t>
      </w:r>
      <w:r>
        <w:t xml:space="preserve">,</w:t>
      </w:r>
      <w:r>
        <w:t xml:space="preserve"> </w:t>
      </w:r>
      <w:r>
        <w:rPr>
          <w:i/>
          <w:iCs/>
        </w:rPr>
        <w:t xml:space="preserve">20</w:t>
      </w:r>
      <w:r>
        <w:t xml:space="preserve">(9), 676–688. https://doi.org/10.1016/j.tics.2016.07.002</w:t>
      </w:r>
    </w:p>
    <w:p>
      <w:pPr>
        <w:pStyle w:val="BodyText"/>
      </w:pPr>
      <w:r>
        <w:t xml:space="preserve">Safarov, C., Gadzinski, G., &amp; Schlögl, S. (2026). In AI we trust? Exploring the role of explainable GenAI and expertise in education.</w:t>
      </w:r>
      <w:r>
        <w:t xml:space="preserve"> </w:t>
      </w:r>
      <w:r>
        <w:rPr>
          <w:i/>
          <w:iCs/>
        </w:rPr>
        <w:t xml:space="preserve">Human Factors</w:t>
      </w:r>
      <w:r>
        <w:t xml:space="preserve">,</w:t>
      </w:r>
      <w:r>
        <w:t xml:space="preserve"> </w:t>
      </w:r>
      <w:r>
        <w:rPr>
          <w:i/>
          <w:iCs/>
        </w:rPr>
        <w:t xml:space="preserve">68</w:t>
      </w:r>
      <w:r>
        <w:t xml:space="preserve">(4), 487–503. https://doi.org/10.1177/00187208251401773</w:t>
      </w:r>
    </w:p>
    <w:p>
      <w:pPr>
        <w:pStyle w:val="BodyText"/>
      </w:pPr>
      <w:r>
        <w:t xml:space="preserve">Scharowski, N., Perrig, S. A. L., von Felten, N., &amp; Brühlmann, F. (2025). To trust or distrust trust measures: Validating questionnaires for trust in AI.</w:t>
      </w:r>
      <w:r>
        <w:t xml:space="preserve"> </w:t>
      </w:r>
      <w:r>
        <w:rPr>
          <w:i/>
          <w:iCs/>
        </w:rPr>
        <w:t xml:space="preserve">Proceedings of the 2025 ACM Conference on Fairness, Accountability, and Transparency (FAccT)</w:t>
      </w:r>
      <w:r>
        <w:t xml:space="preserve">. https://doi.org/10.48550/arXiv.2403.00582</w:t>
      </w:r>
    </w:p>
    <w:p>
      <w:pPr>
        <w:pStyle w:val="BodyText"/>
      </w:pPr>
      <w:r>
        <w:t xml:space="preserve">Steyvers, M., &amp; Peters, M. A. K. (2025). Metacognition and uncertainty communication in humans and large language models.</w:t>
      </w:r>
      <w:r>
        <w:t xml:space="preserve"> </w:t>
      </w:r>
      <w:r>
        <w:rPr>
          <w:i/>
          <w:iCs/>
        </w:rPr>
        <w:t xml:space="preserve">Current Directions in Psychological Science</w:t>
      </w:r>
      <w:r>
        <w:t xml:space="preserve">. https://doi.org/10.1177/09637214251391158</w:t>
      </w:r>
    </w:p>
    <w:p>
      <w:pPr>
        <w:pStyle w:val="BodyText"/>
      </w:pPr>
      <w:r>
        <w:t xml:space="preserve">Tomsett, R., Preece, A., Braines, D., Cerutti, F., Chakraborty, S., Srivastava, M., Pearson, G., &amp; Kaplan, L. (2020). Rapid trust calibration through interpretable and uncertainty-aware AI.</w:t>
      </w:r>
      <w:r>
        <w:t xml:space="preserve"> </w:t>
      </w:r>
      <w:r>
        <w:rPr>
          <w:i/>
          <w:iCs/>
        </w:rPr>
        <w:t xml:space="preserve">Patterns</w:t>
      </w:r>
      <w:r>
        <w:t xml:space="preserve">,</w:t>
      </w:r>
      <w:r>
        <w:t xml:space="preserve"> </w:t>
      </w:r>
      <w:r>
        <w:rPr>
          <w:i/>
          <w:iCs/>
        </w:rPr>
        <w:t xml:space="preserve">1</w:t>
      </w:r>
      <w:r>
        <w:t xml:space="preserve">(6), 100049. https://doi.org/10.1016/j.patter.2020.100049</w:t>
      </w:r>
    </w:p>
    <w:p>
      <w:pPr>
        <w:pStyle w:val="BodyText"/>
      </w:pPr>
      <w:r>
        <w:t xml:space="preserve">Vasconcelos, H., Jörke, M., Grunde-McLaughlin, M., Gerstenberg, T., Bernstein, M. S., &amp; Krishna, R. (2023). Explanations can reduce overreliance on AI systems during decision-making.</w:t>
      </w:r>
      <w:r>
        <w:t xml:space="preserve"> </w:t>
      </w:r>
      <w:r>
        <w:rPr>
          <w:i/>
          <w:iCs/>
        </w:rPr>
        <w:t xml:space="preserve">Proceedings of the ACM on Human-Computer Interaction</w:t>
      </w:r>
      <w:r>
        <w:t xml:space="preserve">,</w:t>
      </w:r>
      <w:r>
        <w:t xml:space="preserve"> </w:t>
      </w:r>
      <w:r>
        <w:rPr>
          <w:i/>
          <w:iCs/>
        </w:rPr>
        <w:t xml:space="preserve">7</w:t>
      </w:r>
      <w:r>
        <w:t xml:space="preserve">(CSCW1), 1–38. https://doi.org/10.1145/3579605</w:t>
      </w:r>
    </w:p>
    <w:p>
      <w:pPr>
        <w:pStyle w:val="BodyText"/>
      </w:pPr>
      <w:r>
        <w:t xml:space="preserve">Yin, M., Wortman Vaughan, J., &amp; Wallach, H. (2019). Understanding the effect of accuracy on trust in machine learning models.</w:t>
      </w:r>
      <w:r>
        <w:t xml:space="preserve"> </w:t>
      </w:r>
      <w:r>
        <w:rPr>
          <w:i/>
          <w:iCs/>
        </w:rPr>
        <w:t xml:space="preserve">Proceedings of the 2019 CHI Conference on Human Factors in Computing Systems</w:t>
      </w:r>
      <w:r>
        <w:t xml:space="preserve">, Article 279. https://doi.org/10.1145/3290605.3300509</w:t>
      </w:r>
    </w:p>
    <w:bookmarkEnd w:id="7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9" Target="media/image1.png" Type="http://schemas.openxmlformats.org/officeDocument/2006/relationships/image" /><Relationship Id="rId10" Target="media/image2.png" Type="http://schemas.openxmlformats.org/officeDocument/2006/relationships/image" /><Relationship Id="rId11" Target="media/image3.png" Type="http://schemas.openxmlformats.org/officeDocument/2006/relationships/image" /><Relationship Id="rId12" Target="media/image4.png" Type="http://schemas.openxmlformats.org/officeDocument/2006/relationships/image" /><Relationship Id="rId13" Target="media/image5.png" Type="http://schemas.openxmlformats.org/officeDocument/2006/relationships/image" /><Relationship Type="http://schemas.openxmlformats.org/officeDocument/2006/relationships/image" Id="rId38" Target="media/rId38.png" /><Relationship Type="http://schemas.openxmlformats.org/officeDocument/2006/relationships/image" Id="rId54" Target="media/rId54.png" /><Relationship Type="http://schemas.openxmlformats.org/officeDocument/2006/relationships/image" Id="rId60" Target="media/rId60.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Calibration Gap: A Critical Review of Trust Research in Educational AI and the Case for a Paradigm Shift</dc:title>
  <dc:creator>Hosung You</dc:creator>
  <cp:keywords/>
  <dcterms:created xsi:type="dcterms:W3CDTF">2026-03-05T00:19:42Z</dcterms:created>
  <dcterms:modified xsi:type="dcterms:W3CDTF">2026-03-05T00:19:42Z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False</vt:lpwstr>
  </property>
  <property fmtid="{D5CDD505-2E9C-101B-9397-08002B2CF9AE}" pid="3" name="affiliation">
    <vt:lpwstr>Department of Education, Sungkyunkwan University, Seoul, South Korea</vt:lpwstr>
  </property>
  <property fmtid="{D5CDD505-2E9C-101B-9397-08002B2CF9AE}" pid="4" name="date">
    <vt:lpwstr>2026</vt:lpwstr>
  </property>
  <property fmtid="{D5CDD505-2E9C-101B-9397-08002B2CF9AE}" pid="5" name="fontsize">
    <vt:lpwstr>12pt</vt:lpwstr>
  </property>
  <property fmtid="{D5CDD505-2E9C-101B-9397-08002B2CF9AE}" pid="6" name="geometry">
    <vt:lpwstr>margin=1in</vt:lpwstr>
  </property>
  <property fmtid="{D5CDD505-2E9C-101B-9397-08002B2CF9AE}" pid="7" name="linestretch">
    <vt:lpwstr>2</vt:lpwstr>
  </property>
</Properties>
</file>