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4"/>
        </w:rPr>
        <w:t>Checkpoint-Mediated Agency Analysis: A Methodology for Studying Artificial Agency Effects in Multi-Agent AI Educational Systems</w:t>
      </w:r>
    </w:p>
    <w:p/>
    <w:p>
      <w:pPr>
        <w:jc w:val="center"/>
      </w:pPr>
      <w:r>
        <w:rPr>
          <w:rFonts w:ascii="Times New Roman" w:hAnsi="Times New Roman"/>
          <w:b w:val="0"/>
          <w:i w:val="0"/>
          <w:sz w:val="24"/>
        </w:rPr>
        <w:t>[Author names removed for double-anonymous review]</w:t>
      </w:r>
    </w:p>
    <w:p>
      <w:pPr>
        <w:jc w:val="center"/>
      </w:pPr>
      <w:r>
        <w:rPr>
          <w:rFonts w:ascii="Times New Roman" w:hAnsi="Times New Roman"/>
          <w:b w:val="0"/>
          <w:i w:val="0"/>
          <w:sz w:val="24"/>
        </w:rPr>
        <w:t>[Institutional affiliations removed for review]</w:t>
      </w:r>
    </w:p>
    <w:p/>
    <w:p>
      <w:pPr>
        <w:jc w:val="center"/>
      </w:pPr>
      <w:r>
        <w:rPr>
          <w:rFonts w:ascii="Times New Roman" w:hAnsi="Times New Roman"/>
          <w:b w:val="0"/>
          <w:i/>
          <w:sz w:val="24"/>
        </w:rPr>
        <w:t>Manuscript for British Journal of Educational Technology, Special Issue SI-2026-000285: Agentic AI in Education</w:t>
      </w:r>
    </w:p>
    <w:p>
      <w:pPr>
        <w:jc w:val="center"/>
      </w:pPr>
      <w:r>
        <w:rPr>
          <w:rFonts w:ascii="Times New Roman" w:hAnsi="Times New Roman"/>
          <w:b w:val="0"/>
          <w:i w:val="0"/>
          <w:sz w:val="24"/>
        </w:rPr>
        <w:t>Draft v3, 2026-04-09 (with HALIE integration)</w:t>
      </w:r>
    </w:p>
    <w:p>
      <w:r>
        <w:br w:type="page"/>
      </w:r>
    </w:p>
    <w:p>
      <w:pPr>
        <w:jc w:val="center"/>
      </w:pPr>
      <w:r>
        <w:rPr>
          <w:rFonts w:ascii="Times New Roman" w:hAnsi="Times New Roman"/>
          <w:b/>
          <w:i w:val="0"/>
          <w:sz w:val="24"/>
        </w:rPr>
        <w:t>Abstract</w:t>
      </w:r>
    </w:p>
    <w:p>
      <w:pPr>
        <w:ind w:firstLine="0"/>
      </w:pPr>
      <w:r>
        <w:rPr>
          <w:rFonts w:ascii="Times New Roman" w:hAnsi="Times New Roman"/>
          <w:b w:val="0"/>
          <w:i w:val="0"/>
          <w:sz w:val="24"/>
        </w:rPr>
        <w:t>Research aims. As agentic AI systems enter educational contexts, researchers need methodologies that distinguish agentic participation from standard generative AI assistance and that capture how artificial agency reshapes epistemic labour at structured human-AI decision junctures. This paper proposes Checkpoint-Mediated Agency Analysis (CMAA), a methodology that extends the Human-AI Language-based Interaction Evaluation framework (HALIE; Lee et al., 2023), as applied by Yang et al. (2025) to nontraditional students' ChatGPT interaction, from standard generative AI to checkpoint-governed agentic AI. Context. Grounded in Floridi's (2025) three criteria for artificial agency (interactivity, bounded autonomy, adaptability), CMAA is developed through design-based case analysis of a 29-agent educational research methodology assistant built on the Model Context Protocol with mandatory human checkpoints. Data and methods. Three contributions are presented: (1) a conceptual framework mapping multi-agent checkpoint architectures onto Floridi's agency criteria and HALIE's process-output, first-person-third-party, and quality-preference dimensions; (2) a two-tier measurement structure in which Tier 1 adapts four HALIE-based interaction metrics (prompt number, Depth of Knowledge, prompt relevance and evolution, originality) plus validated self-efficacy and engagement scales from Yang et al. (2025), applied to both standard generative AI and agentic AI conditions; and Tier 2 introduces five new CMAA indicators specific to checkpoint architectures (Proactive Intervention Rate, Decision Space Expansion, Governance Constraint Activation, State Utilization Depth, Coordination Complexity Index); and (3) a proof-of-concept demonstration study design pairing Claude.ai and a checkpoint-governed agentic system within subjects. Outcomes and conclusions. CMAA provides the educational technology research community with replicable indicators for the emerging study of artificial agency in education, grounded in prior BJET-published measurement work and positioned to support international replication across diverse agentic AI systems and learner populations.</w:t>
      </w:r>
    </w:p>
    <w:p>
      <w:pPr>
        <w:ind w:firstLine="720"/>
      </w:pPr>
      <w:r>
        <w:rPr>
          <w:rFonts w:ascii="Times New Roman" w:hAnsi="Times New Roman"/>
          <w:b w:val="0"/>
          <w:i/>
          <w:sz w:val="24"/>
        </w:rPr>
        <w:t xml:space="preserve">Keywords: </w:t>
      </w:r>
      <w:r>
        <w:rPr>
          <w:rFonts w:ascii="Times New Roman" w:hAnsi="Times New Roman"/>
          <w:b w:val="0"/>
          <w:i w:val="0"/>
          <w:sz w:val="24"/>
        </w:rPr>
        <w:t>agentic AI, artificial agency, HALIE framework, checkpoint-mediated analysis, epistemic labour redistribution, Floridi, methodology, British Journal of Educational Technology</w:t>
      </w:r>
    </w:p>
    <w:p>
      <w:r>
        <w:br w:type="page"/>
      </w:r>
    </w:p>
    <w:p>
      <w:pPr>
        <w:jc w:val="center"/>
      </w:pPr>
      <w:r>
        <w:rPr>
          <w:rFonts w:ascii="Times New Roman" w:hAnsi="Times New Roman"/>
          <w:b/>
          <w:i w:val="0"/>
          <w:sz w:val="24"/>
        </w:rPr>
        <w:t>Checkpoint-Mediated Agency Analysis: A Methodology for Studying Artificial Agency Effects in Multi-Agent AI Educational Systems</w:t>
      </w:r>
    </w:p>
    <w:p>
      <w:pPr>
        <w:jc w:val="center"/>
      </w:pPr>
      <w:r>
        <w:rPr>
          <w:rFonts w:ascii="Times New Roman" w:hAnsi="Times New Roman"/>
          <w:b/>
          <w:i w:val="0"/>
          <w:sz w:val="24"/>
        </w:rPr>
        <w:t>Introduction</w:t>
      </w:r>
    </w:p>
    <w:p>
      <w:pPr>
        <w:ind w:firstLine="720"/>
      </w:pPr>
      <w:r>
        <w:rPr>
          <w:rFonts w:ascii="Times New Roman" w:hAnsi="Times New Roman"/>
          <w:b w:val="0"/>
          <w:i w:val="0"/>
          <w:sz w:val="24"/>
        </w:rPr>
        <w:t>The emergence of agentic AI systems in educational contexts, characterized by goal persistence, proactive initiative, multi-step coordination, and adaptive behavior across sessions, introduces a measurement problem that existing methodologies were not designed to address. When an AI system initiates action, maintains trajectories over time, and adopts persistent roles in collaborative reasoning, the relevant unit of analysis is no longer the individual prompt or response turn but the structured interaction point at which agency visibly enters the social-cognitive dynamics of learning (Floridi, 2025; Jarvela et al., 2023; Yan et al., 2024).</w:t>
      </w:r>
    </w:p>
    <w:p>
      <w:pPr>
        <w:ind w:firstLine="720"/>
      </w:pPr>
      <w:r>
        <w:rPr>
          <w:rFonts w:ascii="Times New Roman" w:hAnsi="Times New Roman"/>
          <w:b w:val="0"/>
          <w:i w:val="0"/>
          <w:sz w:val="24"/>
        </w:rPr>
        <w:t>Prior empirical work on human-AI interaction in education has begun to address this problem. Yang et al. (2025) applied the Human-AI Language-based Interaction Evaluation framework (HALIE; Lee et al., 2023) to nontraditional students' ChatGPT interaction in instructional design courses, operationalizing four process metrics (prompt number, Depth of Knowledge, prompt relevance and evolution, originality) and two validated self-report scales (self-efficacy and engagement). Their mixed-methods study revealed that prompt number and engagement significantly predicted learning performance while self-efficacy did not, and text mining identified strategic-inquirer and exploratory-inquirer archetypes that differed systematically in follow-up question sophistication. Yang et al.'s contribution established that HALIE's three-dimensional structure (process versus output targets, first-person versus third-party perspectives, quality versus preference criteria) provides a tractable methodological foundation for studying human-LLM interaction in higher education.</w:t>
      </w:r>
    </w:p>
    <w:p>
      <w:pPr>
        <w:ind w:firstLine="720"/>
      </w:pPr>
      <w:r>
        <w:rPr>
          <w:rFonts w:ascii="Times New Roman" w:hAnsi="Times New Roman"/>
          <w:b w:val="0"/>
          <w:i w:val="0"/>
          <w:sz w:val="24"/>
        </w:rPr>
        <w:t>That foundation, however, was developed for standard generative AI assistants operating in the episodic, prompt-driven paradigm. Agentic AI systems differ architecturally: they incorporate persistent memory, dynamic task decomposition, and multi-agent orchestration that enable them to initiate interaction and maintain trajectories without continuous human prompting (Acharya et al., 2025; Hughes et al., 2025). Mandatory human checkpoints, structurally enforced points at which the system halts autonomous execution and defers to human decision, constitute a class of interaction event that HALIE's original operationalization does not capture, because such events do not exist in standard generative AI. The measurement problem is therefore architecturally specific: the analytical unit that carries the most information about agentic participation is the checkpoint itself, and extending HALIE to capture checkpoint-mediated interaction requires new indicators that do not have counterparts in the ChatGPT literature.</w:t>
      </w:r>
    </w:p>
    <w:p>
      <w:pPr>
        <w:ind w:firstLine="720"/>
      </w:pPr>
      <w:r>
        <w:rPr>
          <w:rFonts w:ascii="Times New Roman" w:hAnsi="Times New Roman"/>
          <w:b w:val="0"/>
          <w:i w:val="0"/>
          <w:sz w:val="24"/>
        </w:rPr>
        <w:t>This paper proposes Checkpoint-Mediated Agency Analysis (CMAA), a methodology that extends Yang et al.'s (2025) HALIE application from standard generative AI to checkpoint-governed agentic AI. CMAA operationalizes Floridi's (2025) three criteria for artificial agency (interactivity, bounded autonomy, adaptability) as observable indicators at enforced checkpoints, and it organizes measurement into a two-tier structure that preserves continuity with HALIE while adding architecture-specific indicators. Tier 1 adapts the four interaction metrics and two self-report scales from Yang et al. (2025) and applies them to both standard generative AI and agentic AI conditions, enabling direct between-condition contrast. Tier 2 introduces five new CMAA indicators that capture checkpoint-specific architectural properties: Proactive Intervention Rate (PIR), Decision Space Expansion (DSE), Governance Constraint Activation (GCA), State Utilization Depth (SUD), and Coordination Complexity Index (CCI).</w:t>
      </w:r>
    </w:p>
    <w:p>
      <w:pPr>
        <w:ind w:firstLine="720"/>
      </w:pPr>
      <w:r>
        <w:rPr>
          <w:rFonts w:ascii="Times New Roman" w:hAnsi="Times New Roman"/>
          <w:b w:val="0"/>
          <w:i w:val="0"/>
          <w:sz w:val="24"/>
        </w:rPr>
        <w:t>CMAA is developed through systematic analysis of an open-source research methodology assistant built on the Model Context Protocol and structured around 29 specialized agents with mandatory human checkpoints at epistemically critical junctures. The system was developed through iterative design cycles over 57 days (224 version-controlled commits), producing design-based evidence that grounds each CMAA indicator in observable system behavior. Three contributions follow from this development process. First, a conceptual framework that maps multi-agent checkpoint architectures to Floridi's agency criteria and HALIE's three dimensions. Second, operational definitions of the five CMAA indicators with their alignment to Tier 1 HALIE-adapted metrics. Third, a proof-of-concept study design that applies the two-tier measurement structure to a within-subject comparison of standard generative AI and agentic AI conditions, producing a replicable template for the study of artificial agency in educational contexts. The paper closes with a discussion of CMAA's transferability to other agentic AI systems and the methodological implications for the emerging study of artificial agency in education.</w:t>
      </w:r>
    </w:p>
    <w:p>
      <w:pPr>
        <w:jc w:val="center"/>
      </w:pPr>
      <w:r>
        <w:rPr>
          <w:rFonts w:ascii="Times New Roman" w:hAnsi="Times New Roman"/>
          <w:b/>
          <w:i w:val="0"/>
          <w:sz w:val="24"/>
        </w:rPr>
        <w:t>Theoretical Framework</w:t>
      </w:r>
    </w:p>
    <w:p>
      <w:pPr>
        <w:jc w:val="left"/>
      </w:pPr>
      <w:r>
        <w:rPr>
          <w:rFonts w:ascii="Times New Roman" w:hAnsi="Times New Roman"/>
          <w:b/>
          <w:i w:val="0"/>
          <w:sz w:val="24"/>
        </w:rPr>
        <w:t>Artificial Agency and Its Educational Consequences</w:t>
      </w:r>
    </w:p>
    <w:p>
      <w:pPr>
        <w:ind w:firstLine="720"/>
      </w:pPr>
      <w:r>
        <w:rPr>
          <w:rFonts w:ascii="Times New Roman" w:hAnsi="Times New Roman"/>
          <w:b w:val="0"/>
          <w:i w:val="0"/>
          <w:sz w:val="24"/>
        </w:rPr>
        <w:t>Following Floridi (2025), artificial agency is understood as a computational, goal-directed mode of action in service of human purposes, distinct from intelligence, consciousness, or intentionality. Artificial agency is defined by three minimal criteria: interactivity (reciprocal engagement with an environment), bounded autonomy (the capacity to initiate action within programmed constraints), and adaptability (the capacity to modify behavior based on feedback or learning). Crucially, artificial agency does not possess self-determination or intrinsic goals; adaptive and autonomous behavior emerges from the integration of predefined objectives with learned patterns of action. This framing distinguishes agentic AI from anthropomorphic interpretations while providing a precise basis for analyzing its educational consequences (Floridi, 2025; Sapkota et al., 2026).</w:t>
      </w:r>
    </w:p>
    <w:p>
      <w:pPr>
        <w:ind w:firstLine="720"/>
      </w:pPr>
      <w:r>
        <w:rPr>
          <w:rFonts w:ascii="Times New Roman" w:hAnsi="Times New Roman"/>
          <w:b w:val="0"/>
          <w:i w:val="0"/>
          <w:sz w:val="24"/>
        </w:rPr>
        <w:t>The defining boundary between agentic AI and other educational AI applications lies in initiative and persistence, rather than in generativity alone (Yan et al., 2024). Earlier AI-in-education systems, such as intelligent tutoring systems, operate primarily within a reactive paradigm (Ouyang &amp; Jiao, 2021). Most generative AI assistants function as on-demand tools whose activity is episodic and prompt-driven, as observed in Yang et al.'s (2025) analysis of ChatGPT use by nontraditional students. Agentic AI systems, by contrast, incorporate architectural features such as persistent memory, dynamic task decomposition, and multi-agent orchestration that enable them to initiate interaction, maintain trajectories over time, and adopt stable functional roles (Hughes et al., 2025; Park et al., 2023; Wang et al., 2024).</w:t>
      </w:r>
    </w:p>
    <w:p>
      <w:pPr>
        <w:ind w:firstLine="720"/>
      </w:pPr>
      <w:r>
        <w:rPr>
          <w:rFonts w:ascii="Times New Roman" w:hAnsi="Times New Roman"/>
          <w:b w:val="0"/>
          <w:i w:val="0"/>
          <w:sz w:val="24"/>
        </w:rPr>
        <w:t>The educational consequence of artificial agency is a function of how it reshapes the distribution of epistemic labour between human and artificial agents. Epistemic labour, the cognitive work of generating options, evaluating alternatives, and committing to decisions, is the substrate of learning that agentic systems necessarily participate in when they take initiative (Jarvela et al., 2023). The empirical question is not whether AI helps or hinders learning in general, but how the redistribution of epistemic labour at specific decision junctures affects the quality of human reasoning, the diversity of considered alternatives, and the development of researcher identity.</w:t>
      </w:r>
    </w:p>
    <w:p>
      <w:pPr>
        <w:jc w:val="left"/>
      </w:pPr>
      <w:r>
        <w:rPr>
          <w:rFonts w:ascii="Times New Roman" w:hAnsi="Times New Roman"/>
          <w:b/>
          <w:i w:val="0"/>
          <w:sz w:val="24"/>
        </w:rPr>
        <w:t>From HALIE to Checkpoint-Governed Agency</w:t>
      </w:r>
    </w:p>
    <w:p>
      <w:pPr>
        <w:ind w:firstLine="720"/>
      </w:pPr>
      <w:r>
        <w:rPr>
          <w:rFonts w:ascii="Times New Roman" w:hAnsi="Times New Roman"/>
          <w:b w:val="0"/>
          <w:i w:val="0"/>
          <w:sz w:val="24"/>
        </w:rPr>
        <w:t>Yang et al.'s (2025) study provides the methodological starting point for the present paper. Working in the HALIE framework (Lee et al., 2023), Yang and colleagues evaluated 73 nontraditional undergraduate and graduate students' interaction with ChatGPT through four interaction metrics and two self-report scales. The interaction metrics, developed from Webb's (2002) Depth of Knowledge taxonomy and HALIE's process-output distinction, comprised prompt number (count of participant-initiated prompts), Depth of Knowledge (four-level rubric for cognitive complexity), prompt relevance and evolution (four-level rubric for query progression and coherence), and originality (four-level rubric for participant contribution relative to AI output). The self-report scales adapted validated instruments: self-efficacy from Avey et al. (2009) and engagement as a composite of emotional, cognitive, and behavioral items from Skinner et al. (2009), Fredricks et al. (2004), and Halverson and Graham (2019).</w:t>
      </w:r>
    </w:p>
    <w:p>
      <w:pPr>
        <w:ind w:firstLine="720"/>
      </w:pPr>
      <w:r>
        <w:rPr>
          <w:rFonts w:ascii="Times New Roman" w:hAnsi="Times New Roman"/>
          <w:b w:val="0"/>
          <w:i w:val="0"/>
          <w:sz w:val="24"/>
        </w:rPr>
        <w:t>Yang et al. (2025) reported three findings relevant to the present framework. First, prompt number (beta = 0.256, p &lt; 0.03) and engagement (beta = 0.267, p &lt; 0.05) significantly predicted performance, while self-efficacy did not. Second, Depth of Knowledge (r = 0.40, p &lt; 0.01) and prompt relevance (r = 0.42, p &lt; 0.01) were positively correlated with performance. Third, text mining analysis identified strategic-inquirer and exploratory-inquirer archetypes that differed systematically in follow-up question sophistication, with strategic inquirers demonstrating significantly higher performance through iterative refinement of AI responses. These findings establish HALIE-adapted metrics as a viable methodological foundation for studying higher-education interactions with standard generative AI.</w:t>
      </w:r>
    </w:p>
    <w:p>
      <w:pPr>
        <w:ind w:firstLine="720"/>
      </w:pPr>
      <w:r>
        <w:rPr>
          <w:rFonts w:ascii="Times New Roman" w:hAnsi="Times New Roman"/>
          <w:b w:val="0"/>
          <w:i w:val="0"/>
          <w:sz w:val="24"/>
        </w:rPr>
        <w:t>The present study extends Yang et al.'s (2025) framework to checkpoint-governed agentic AI in two ways. First, the four interaction metrics and two self-report scales are applied to both standard generative AI (Claude.ai) and agentic AI conditions within subjects, enabling direct between-condition contrast at the level of HALIE-operationalized measurement. Second, five new indicators are introduced that capture checkpoint-specific architectural properties not present in standard generative AI. Together, these two extensions form a two-tier measurement structure (Figure 1).</w:t>
      </w:r>
    </w:p>
    <w:p>
      <w:pPr>
        <w:jc w:val="left"/>
      </w:pPr>
      <w:r>
        <w:rPr>
          <w:rFonts w:ascii="Times New Roman" w:hAnsi="Times New Roman"/>
          <w:b/>
          <w:i w:val="0"/>
          <w:sz w:val="24"/>
        </w:rPr>
        <w:t>Checkpoints as Sites of Shared Regulation</w:t>
      </w:r>
    </w:p>
    <w:p>
      <w:pPr>
        <w:ind w:firstLine="720"/>
      </w:pPr>
      <w:r>
        <w:rPr>
          <w:rFonts w:ascii="Times New Roman" w:hAnsi="Times New Roman"/>
          <w:b w:val="0"/>
          <w:i w:val="0"/>
          <w:sz w:val="24"/>
        </w:rPr>
        <w:t>Shared regulation theory (Jarvela et al., 2023) provides a productive lens for understanding human-AI interaction at mandatory checkpoints. In socially shared regulation of learning, monitoring, evaluation, and decision-making are distributed across participants, and the quality of the regulation depends on how that distribution is structured. Mandatory checkpoints in agentic AI systems operationalize a specific form of shared regulation: the system holds architectural authority over the generation and evaluation of alternatives (interactivity and adaptability), while the human retains architectural authority over the decision to proceed (bounded autonomy enforced as hard governance). This division of labour makes the checkpoint a natural site for observing how epistemic labour is actually redistributed when artificial agency and human agency meet.</w:t>
      </w:r>
    </w:p>
    <w:p>
      <w:pPr>
        <w:ind w:firstLine="720"/>
      </w:pPr>
      <w:r>
        <w:rPr>
          <w:rFonts w:ascii="Times New Roman" w:hAnsi="Times New Roman"/>
          <w:b w:val="0"/>
          <w:i w:val="0"/>
          <w:sz w:val="24"/>
        </w:rPr>
        <w:t>The educational quality of this interaction depends on whether the human exercises genuine epistemic agency at the checkpoint (exploring alternatives, challenging modal options, overriding recommendations) or acquiesces to the modal recommendation. Acquiescence may appear in behavioral data as rapid selection of high-T-score options, but the cognitive process that produced the selection is not directly observable. CMAA addresses this observability problem by combining checkpoint-level telemetry with concurrent think-aloud and retrospective interview data, following the mixed-methods structure of Yang et al. (2025).</w:t>
      </w:r>
    </w:p>
    <w:p>
      <w:pPr>
        <w:jc w:val="center"/>
      </w:pPr>
      <w:r>
        <w:rPr>
          <w:rFonts w:ascii="Times New Roman" w:hAnsi="Times New Roman"/>
          <w:b/>
          <w:i w:val="0"/>
          <w:sz w:val="24"/>
        </w:rPr>
        <w:t>The CMAA Framework</w:t>
      </w:r>
    </w:p>
    <w:p>
      <w:pPr>
        <w:jc w:val="left"/>
      </w:pPr>
      <w:r>
        <w:rPr>
          <w:rFonts w:ascii="Times New Roman" w:hAnsi="Times New Roman"/>
          <w:b/>
          <w:i w:val="0"/>
          <w:sz w:val="24"/>
        </w:rPr>
        <w:t>Two-Tier Measurement Structure</w:t>
      </w:r>
    </w:p>
    <w:p>
      <w:pPr>
        <w:ind w:firstLine="720"/>
      </w:pPr>
      <w:r>
        <w:rPr>
          <w:rFonts w:ascii="Times New Roman" w:hAnsi="Times New Roman"/>
          <w:b w:val="0"/>
          <w:i w:val="0"/>
          <w:sz w:val="24"/>
        </w:rPr>
        <w:t>CMAA organizes measurement into two tiers that are distinguished by their relationship to prior BJET-published work and their applicability to the two conditions of a within-subject comparison.</w:t>
      </w:r>
    </w:p>
    <w:p>
      <w:pPr>
        <w:ind w:firstLine="720"/>
      </w:pPr>
      <w:r>
        <w:rPr>
          <w:rFonts w:ascii="Times New Roman" w:hAnsi="Times New Roman"/>
          <w:b w:val="0"/>
          <w:i w:val="0"/>
          <w:sz w:val="24"/>
        </w:rPr>
        <w:t>Tier 1 consists of four interaction metrics and two self-report scales adapted directly from Yang et al. (2025, Appendix A). The interaction metrics are applied to both the standard generative AI condition and the agentic AI condition by two independent coders using the published rubrics, with inter-rater reliability reported as Cohen's kappa. The self-report scales are administered as brief post-session surveys in each condition, with item wording adapted from the semester-long course context of the original Yang et al. study to the single-session research design context of the present study. Tier 1 thus preserves methodological continuity with prior BJET work and enables direct between-condition contrasts that are grounded in validated instruments.</w:t>
      </w:r>
    </w:p>
    <w:p>
      <w:pPr>
        <w:ind w:firstLine="720"/>
      </w:pPr>
      <w:r>
        <w:rPr>
          <w:rFonts w:ascii="Times New Roman" w:hAnsi="Times New Roman"/>
          <w:b w:val="0"/>
          <w:i w:val="0"/>
          <w:sz w:val="24"/>
        </w:rPr>
        <w:t>Tier 2 consists of five CMAA indicators that are specific to the architectural features of checkpoint-governed agentic AI. Three of the five indicators (PIR, DSE, GCA) yield interpretable between-condition contrasts under specific architectural assumptions, because their reference values in the standard generative AI condition are well-defined (approximately zero by design). The remaining two indicators (SUD, CCI) are architecturally undefined in standard generative AI and are therefore reported as agentic-AI-only descriptors. This architectural asymmetry is explicit: CMAA contains both contrastive and descriptive-only indicators, a design choice that avoids forcing false equivalences between structurally asymmetric conditions.</w:t>
      </w:r>
    </w:p>
    <w:p>
      <w:pPr>
        <w:spacing w:line="240" w:lineRule="auto" w:before="240" w:after="0"/>
      </w:pPr>
      <w:r>
        <w:rPr>
          <w:rFonts w:ascii="Times New Roman" w:hAnsi="Times New Roman"/>
          <w:b/>
          <w:i w:val="0"/>
          <w:sz w:val="24"/>
        </w:rPr>
        <w:t>Table 1</w:t>
      </w:r>
    </w:p>
    <w:p>
      <w:pPr>
        <w:spacing w:line="240" w:lineRule="auto" w:before="0" w:after="120"/>
      </w:pPr>
      <w:r>
        <w:rPr>
          <w:rFonts w:ascii="Times New Roman" w:hAnsi="Times New Roman"/>
          <w:b w:val="0"/>
          <w:i/>
          <w:sz w:val="24"/>
        </w:rPr>
        <w:t>Two-Tier Measurement Structure of CMAA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Tier</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Source</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Metrics</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Applicability</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Tier 1 (HALIE-adapted)</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Yang et al. (2025), Appendix A rubrics; Avey et al. (2009); Skinner et al. (2009)</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Prompt number; Depth of Knowledge; Prompt relevance and evolution; Originality; Self-efficacy; Engagement composite</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Both standard generative AI and agentic AI conditions</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Tier 2 contrastive (new)</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Present paper</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Proactive Intervention Rate (PIR); Decision Space Expansion (DSE); Governance Constraint Activation (GCA)</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Both conditions, with standard generative AI reference values defined architecturally</w:t>
            </w:r>
          </w:p>
        </w:tc>
      </w:tr>
      <w:tr>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0"/>
              </w:rPr>
              <w:t>Tier 2 descriptive (new)</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0"/>
              </w:rPr>
              <w:t>Present paper</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0"/>
              </w:rPr>
              <w:t>State Utilization Depth (SUD); Coordination Complexity Index (CCI)</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0"/>
              </w:rPr>
              <w:t>Agentic AI condition only (architecturally undefined in standard generative AI)</w:t>
            </w:r>
          </w:p>
        </w:tc>
      </w:tr>
    </w:tbl>
    <w:p>
      <w:pPr>
        <w:spacing w:before="120" w:after="0"/>
      </w:pPr>
    </w:p>
    <w:p>
      <w:pPr>
        <w:jc w:val="left"/>
      </w:pPr>
      <w:r>
        <w:rPr>
          <w:rFonts w:ascii="Times New Roman" w:hAnsi="Times New Roman"/>
          <w:b/>
          <w:i w:val="0"/>
          <w:sz w:val="24"/>
        </w:rPr>
        <w:t>Tier 1 Metrics: HALIE-Adapted Measurement</w:t>
      </w:r>
    </w:p>
    <w:p>
      <w:pPr>
        <w:ind w:firstLine="720"/>
      </w:pPr>
      <w:r>
        <w:rPr>
          <w:rFonts w:ascii="Times New Roman" w:hAnsi="Times New Roman"/>
          <w:b w:val="0"/>
          <w:i w:val="0"/>
          <w:sz w:val="24"/>
        </w:rPr>
        <w:t>The four Tier 1 interaction metrics adopt Yang et al.'s (2025, Appendix A) four-level rubrics with minimal adaptation for the research design context. Prompt number remains a simple count of participant-initiated prompts in each condition. In the standard generative AI condition this is the count of turns the participant takes with the chat assistant; in the agentic AI condition this is the count of participant-initiated queries beyond the system's proactive checkpoint interventions. Depth of Knowledge applies Webb's (2002) four-level taxonomy (recall and reproduction; skills and concepts processing; strategic thinking and reasoning; extended thinking) to the cognitive complexity of each prompt or checkpoint selection. Prompt relevance and evolution applies a four-level rubric to the coherence and progression of sequential prompts, capturing whether the participant builds iteratively on prior turns. Originality applies a four-level rubric to the participant's contribution relative to AI output, distinguishing direct copying from substantive personal integration.</w:t>
      </w:r>
    </w:p>
    <w:p>
      <w:pPr>
        <w:ind w:firstLine="720"/>
      </w:pPr>
      <w:r>
        <w:rPr>
          <w:rFonts w:ascii="Times New Roman" w:hAnsi="Times New Roman"/>
          <w:b w:val="0"/>
          <w:i w:val="0"/>
          <w:sz w:val="24"/>
        </w:rPr>
        <w:t>The two Tier 1 self-report scales are adapted from the same sources Yang et al. (2025) used. Self-efficacy is measured with five items adapted from Avey et al. (2009) on a five-point Likert scale, with item stems rephrased to reference the specific AI system used in each condition rather than general course self-efficacy. Engagement is measured as a composite score combining emotional, cognitive, and behavioral engagement items from Skinner et al. (2009), Fredricks et al. (2004), and Halverson and Graham (2019), adapted from the course-level referent used by Yang et al. to a session-level referent. Both scales are administered immediately after each condition, producing within-subject comparisons of perceived self-efficacy and engagement across standard generative AI and agentic AI.</w:t>
      </w:r>
    </w:p>
    <w:p>
      <w:pPr>
        <w:jc w:val="left"/>
      </w:pPr>
      <w:r>
        <w:rPr>
          <w:rFonts w:ascii="Times New Roman" w:hAnsi="Times New Roman"/>
          <w:b/>
          <w:i w:val="0"/>
          <w:sz w:val="24"/>
        </w:rPr>
        <w:t>Tier 2 Indicators: CMAA Operational Definitions</w:t>
      </w:r>
    </w:p>
    <w:p>
      <w:pPr>
        <w:ind w:firstLine="720"/>
      </w:pPr>
      <w:r>
        <w:rPr>
          <w:rFonts w:ascii="Times New Roman" w:hAnsi="Times New Roman"/>
          <w:b w:val="0"/>
          <w:i w:val="0"/>
          <w:sz w:val="24"/>
        </w:rPr>
        <w:t>The five Tier 2 CMAA indicators operationalize Floridi's (2025) three agency criteria as observable properties of checkpoint interactions in agentic AI systems. Table 2 presents operational definitions, primary data sources, and alignment with Floridi's criteria.</w:t>
      </w:r>
    </w:p>
    <w:p>
      <w:pPr>
        <w:spacing w:line="240" w:lineRule="auto" w:before="240" w:after="0"/>
      </w:pPr>
      <w:r>
        <w:rPr>
          <w:rFonts w:ascii="Times New Roman" w:hAnsi="Times New Roman"/>
          <w:b/>
          <w:i w:val="0"/>
          <w:sz w:val="24"/>
        </w:rPr>
        <w:t>Table 2</w:t>
      </w:r>
    </w:p>
    <w:p>
      <w:pPr>
        <w:spacing w:line="240" w:lineRule="auto" w:before="0" w:after="120"/>
      </w:pPr>
      <w:r>
        <w:rPr>
          <w:rFonts w:ascii="Times New Roman" w:hAnsi="Times New Roman"/>
          <w:b w:val="0"/>
          <w:i/>
          <w:sz w:val="24"/>
        </w:rPr>
        <w:t>CMAA Tier 2 Indicators: Operational Definitions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Indicator</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Definition</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Floridi Criterion</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Primary Data Source</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PIR (Proactive Intervention Rate)</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Proportion of interaction episodes initiated by the AI system rather than by the human participant</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Interactivity</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Checkpoint trigger log, with reference value ~0 in standard generative AI</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DSE (Decision Space Expansion)</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Degree to which the system expands the participant's considered option set beyond what they would generate unaided</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Interactivity and adaptability</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VS alternatives presented at checkpoints; contrast with Claude single-response turns</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GCA (Governance Constraint Activation)</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Frequency of internal governance mechanisms that constrain or redirect the system's own behavior (e.g., override refusals, prerequisite blocks)</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Bounded autonomy</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System enforcement log; reference value 0 by definition in standard generative AI</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SUD (State Utilization Depth)</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Extent to which system outputs reference cross-session state, prior decisions, or accumulated project context</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Bounded autonomy and adaptability</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Cross-session memory access log; architecturally undefined in standard generative AI</w:t>
            </w:r>
          </w:p>
        </w:tc>
      </w:tr>
      <w:tr>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0"/>
              </w:rPr>
              <w:t>CCI (Coordination Complexity Index)</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0"/>
              </w:rPr>
              <w:t>Number and dependency depth of inter-component (inter-agent) interactions required to produce a user-facing output</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0"/>
              </w:rPr>
              <w:t>Adaptability</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0"/>
              </w:rPr>
              <w:t>Agent activation log with dependency chain reconstruction; not applicable to single-agent systems</w:t>
            </w:r>
          </w:p>
        </w:tc>
      </w:tr>
    </w:tbl>
    <w:p>
      <w:pPr>
        <w:spacing w:before="120" w:after="0"/>
      </w:pPr>
    </w:p>
    <w:p>
      <w:pPr>
        <w:jc w:val="left"/>
      </w:pPr>
      <w:r>
        <w:rPr>
          <w:rFonts w:ascii="Times New Roman" w:hAnsi="Times New Roman"/>
          <w:b/>
          <w:i w:val="0"/>
          <w:sz w:val="24"/>
        </w:rPr>
        <w:t>Typicality Trajectory Analysis</w:t>
      </w:r>
    </w:p>
    <w:p>
      <w:pPr>
        <w:ind w:firstLine="720"/>
      </w:pPr>
      <w:r>
        <w:rPr>
          <w:rFonts w:ascii="Times New Roman" w:hAnsi="Times New Roman"/>
          <w:b w:val="0"/>
          <w:i w:val="0"/>
          <w:sz w:val="24"/>
        </w:rPr>
        <w:t>Building on Yang et al.'s (2025) strategic-inquirer and exploratory-inquirer archetypes, CMAA introduces Typicality Trajectory analysis as a process-level visualization of human decision patterns across sequential checkpoints. At each checkpoint, the T-score of the option selected by the participant is recorded; T-score ranges from 0.0 (maximally novel, non-modal) to 1.0 (maximally typical, modal consensus). Plotting these T-scores sequentially produces a trajectory that reveals whether the participant moves toward increasingly divergent selections (analogous to Yang et al.'s strategic inquirers who iteratively refined away from surface answers) or increasingly conservative selections (analogous to exploratory inquirers whose engagement plateaued at modal recommendations). Three empirical trajectory patterns are predicted: modal persistence (T &gt; 0.8 sustained), deliberate exploration (mixed T-score range with intentional low-T selections), and guided departure (T &lt; 0.5 following GCA activation by governance constraints). Trajectory patterns are interpreted jointly with concurrent think-aloud data to explain why different participants exhibit different trajectories despite identical checkpoint sequences.</w:t>
      </w:r>
    </w:p>
    <w:p>
      <w:pPr>
        <w:jc w:val="center"/>
      </w:pPr>
      <w:r>
        <w:rPr>
          <w:rFonts w:ascii="Times New Roman" w:hAnsi="Times New Roman"/>
          <w:b/>
          <w:i w:val="0"/>
          <w:sz w:val="24"/>
        </w:rPr>
        <w:t>Design-Based Case: A 29-Agent Checkpoint System</w:t>
      </w:r>
    </w:p>
    <w:p>
      <w:pPr>
        <w:ind w:firstLine="720"/>
      </w:pPr>
      <w:r>
        <w:rPr>
          <w:rFonts w:ascii="Times New Roman" w:hAnsi="Times New Roman"/>
          <w:b w:val="0"/>
          <w:i w:val="0"/>
          <w:sz w:val="24"/>
        </w:rPr>
        <w:t>CMAA is not derived from theoretical speculation alone; it is grounded in systematic analysis of an agentic AI system specifically designed to instantiate artificial agency as Floridi (2025) defines it. The system analyzed here is an open-source research methodology assistant comprising 29 specialized agents, each bound to specific epistemic domains (research question refinement, theoretical framework selection, methodology choice, etc.), orchestrated through a dependency graph and mediated by mandatory human checkpoints at epistemically critical junctures. The system was developed through five iterative design cycles over 57 days, producing 224 version-controlled commits whose audit trail is the empirical basis for the CMAA indicators. Four critical incidents from this development process illustrate how each indicator was grounded in observable system behavior.</w:t>
      </w:r>
    </w:p>
    <w:p>
      <w:pPr>
        <w:jc w:val="left"/>
      </w:pPr>
      <w:r>
        <w:rPr>
          <w:rFonts w:ascii="Times New Roman" w:hAnsi="Times New Roman"/>
          <w:b/>
          <w:i/>
          <w:sz w:val="24"/>
        </w:rPr>
        <w:t>Critical Incident 1: Checkpoint Bypass and GCA</w:t>
      </w:r>
    </w:p>
    <w:p>
      <w:pPr>
        <w:ind w:firstLine="720"/>
      </w:pPr>
      <w:r>
        <w:rPr>
          <w:rFonts w:ascii="Times New Roman" w:hAnsi="Times New Roman"/>
          <w:b w:val="0"/>
          <w:i w:val="0"/>
          <w:sz w:val="24"/>
        </w:rPr>
        <w:t>System audit logs from an early version revealed that architecturally designated required checkpoints were being programmatically bypassed, generating approval tokens without actual user engagement while the system continued execution. This bypass was not a bug in the narrow sense: each step independently passed unit tests. It was a failure of governance enforcement across component interactions. The diagnostic process that identified the problem required distinguishing architecturally claimed oversight from actually enforced oversight. GCA was introduced to make this distinction measurable: GCA &lt; 1.0 indicates that architecturally designated governance checkpoints were bypassed without user input.</w:t>
      </w:r>
    </w:p>
    <w:p>
      <w:pPr>
        <w:jc w:val="left"/>
      </w:pPr>
      <w:r>
        <w:rPr>
          <w:rFonts w:ascii="Times New Roman" w:hAnsi="Times New Roman"/>
          <w:b/>
          <w:i/>
          <w:sz w:val="24"/>
        </w:rPr>
        <w:t>Critical Incident 2: Autonomous Mode Removal and PIR, DSE</w:t>
      </w:r>
    </w:p>
    <w:p>
      <w:pPr>
        <w:ind w:firstLine="720"/>
      </w:pPr>
      <w:r>
        <w:rPr>
          <w:rFonts w:ascii="Times New Roman" w:hAnsi="Times New Roman"/>
          <w:b w:val="0"/>
          <w:i w:val="0"/>
          <w:sz w:val="24"/>
        </w:rPr>
        <w:t>An autonomous operation mode introduced in an early cycle, enabling the system to proceed through multiple agent stages without checkpoint interruption, was removed within 24 hours upon recognition that it eliminated the proactive intervention that defines agentic participation. The removal decision was methodological, not merely ergonomic: proactive intervention and decision-space expansion are the mechanisms through which artificial agency exerts its educational effect, and eliminating them reduces the system to a more sophisticated generative assistant. PIR and DSE were introduced to measure these mechanisms and to make the design decision traceable in future cycles.</w:t>
      </w:r>
    </w:p>
    <w:p>
      <w:pPr>
        <w:jc w:val="left"/>
      </w:pPr>
      <w:r>
        <w:rPr>
          <w:rFonts w:ascii="Times New Roman" w:hAnsi="Times New Roman"/>
          <w:b/>
          <w:i/>
          <w:sz w:val="24"/>
        </w:rPr>
        <w:t>Critical Incident 3: Agent Consolidation and CCI</w:t>
      </w:r>
    </w:p>
    <w:p>
      <w:pPr>
        <w:ind w:firstLine="720"/>
      </w:pPr>
      <w:r>
        <w:rPr>
          <w:rFonts w:ascii="Times New Roman" w:hAnsi="Times New Roman"/>
          <w:b w:val="0"/>
          <w:i w:val="0"/>
          <w:sz w:val="24"/>
        </w:rPr>
        <w:t>The system initially contained 44 agents with overlapping knowledge domains. Consolidation to 29 agents was motivated by the need to ensure that each checkpoint represents a distinguishable epistemic decision juncture rather than a redundant one. The consolidation process produced the dependency graph that CCI measures: each user-facing output can be traced to a specific number of agents and a specific depth of dependency chain. CCI thus operationalizes adaptability (per Floridi, 2025) as the computational coordination required to produce context-sensitive recommendations.</w:t>
      </w:r>
    </w:p>
    <w:p>
      <w:pPr>
        <w:jc w:val="left"/>
      </w:pPr>
      <w:r>
        <w:rPr>
          <w:rFonts w:ascii="Times New Roman" w:hAnsi="Times New Roman"/>
          <w:b/>
          <w:i/>
          <w:sz w:val="24"/>
        </w:rPr>
        <w:t>Critical Incident 4: Three-Layer Memory and SUD</w:t>
      </w:r>
    </w:p>
    <w:p>
      <w:pPr>
        <w:ind w:firstLine="720"/>
      </w:pPr>
      <w:r>
        <w:rPr>
          <w:rFonts w:ascii="Times New Roman" w:hAnsi="Times New Roman"/>
          <w:b w:val="0"/>
          <w:i w:val="0"/>
          <w:sz w:val="24"/>
        </w:rPr>
        <w:t>An early version operated statelessly within each session. The introduction of a three-layer memory system, enabling agents to access persistent project context, prior checkpoint decisions, and accumulated research artifacts across sessions, was a design response to the observation that bounded autonomy requires memory: without cross-session state, the system could not maintain coherent trajectories across multiple interactions with the same researcher. SUD operationalizes this architectural feature by counting the number of cross-session state references in each output, enabling measurement of whether and how strongly the system's recommendations depend on accumulated project context.</w:t>
      </w:r>
    </w:p>
    <w:p>
      <w:pPr>
        <w:spacing w:line="240" w:lineRule="auto" w:before="240" w:after="0"/>
      </w:pPr>
      <w:r>
        <w:rPr>
          <w:rFonts w:ascii="Times New Roman" w:hAnsi="Times New Roman"/>
          <w:b/>
          <w:i w:val="0"/>
          <w:sz w:val="24"/>
        </w:rPr>
        <w:t>Table 3</w:t>
      </w:r>
    </w:p>
    <w:p>
      <w:pPr>
        <w:spacing w:line="240" w:lineRule="auto" w:before="0" w:after="120"/>
      </w:pPr>
      <w:r>
        <w:rPr>
          <w:rFonts w:ascii="Times New Roman" w:hAnsi="Times New Roman"/>
          <w:b w:val="0"/>
          <w:i/>
          <w:sz w:val="24"/>
        </w:rPr>
        <w:t>Design Cycle Evidence for CMAA Indicators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CMAA Indicator</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Critical Incident</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Design Response</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Measurement Implication</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GCA</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Checkpoint bypass</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Hook-based hard enforcement</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Measurable governance state per session</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PIR, DSE</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Autonomous mode removal</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Proactive checkpoint re-introduction</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Proactive intervention rate quantifiable</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CCI</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Agent consolidation (44 to 29)</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Dependency graph rationalization</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0"/>
              </w:rPr>
              <w:t>Coordination traceable per output</w:t>
            </w:r>
          </w:p>
        </w:tc>
      </w:tr>
      <w:tr>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0"/>
              </w:rPr>
              <w:t>SUD</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0"/>
              </w:rPr>
              <w:t>Three-layer memory introduction</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0"/>
              </w:rPr>
              <w:t>Cross-session context access</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0"/>
              </w:rPr>
              <w:t>State utilization measurable per session</w:t>
            </w:r>
          </w:p>
        </w:tc>
      </w:tr>
    </w:tbl>
    <w:p>
      <w:pPr>
        <w:spacing w:before="120" w:after="0"/>
      </w:pPr>
    </w:p>
    <w:p>
      <w:pPr>
        <w:jc w:val="center"/>
      </w:pPr>
      <w:r>
        <w:rPr>
          <w:rFonts w:ascii="Times New Roman" w:hAnsi="Times New Roman"/>
          <w:b/>
          <w:i w:val="0"/>
          <w:sz w:val="24"/>
        </w:rPr>
        <w:t>Proposed Proof-of-Concept Study</w:t>
      </w:r>
    </w:p>
    <w:p>
      <w:pPr>
        <w:ind w:firstLine="720"/>
      </w:pPr>
      <w:r>
        <w:rPr>
          <w:rFonts w:ascii="Times New Roman" w:hAnsi="Times New Roman"/>
          <w:b w:val="0"/>
          <w:i w:val="0"/>
          <w:sz w:val="24"/>
        </w:rPr>
        <w:t>The two-tier CMAA structure is operationalized in a proof-of-concept study that compares standard generative AI and agentic AI conditions within subjects. The study is planned as a design-based research demonstration with N = 5 doctoral students in social sciences, to be recruited under an Institutional Review Board protocol during the summer of 2026. The companion empirical paper (in preparation, targeting Computers and Education: Artificial Intelligence) reports the full case-centric analysis using Engestrom's (1987) activity-theoretical contradiction typology, while the present methodology paper uses the same dataset to foreground the CMAA indicators themselves as the central contribution.</w:t>
      </w:r>
    </w:p>
    <w:p>
      <w:pPr>
        <w:jc w:val="left"/>
      </w:pPr>
      <w:r>
        <w:rPr>
          <w:rFonts w:ascii="Times New Roman" w:hAnsi="Times New Roman"/>
          <w:b/>
          <w:i w:val="0"/>
          <w:sz w:val="24"/>
        </w:rPr>
        <w:t>Study Design</w:t>
      </w:r>
    </w:p>
    <w:p>
      <w:pPr>
        <w:ind w:firstLine="720"/>
      </w:pPr>
      <w:r>
        <w:rPr>
          <w:rFonts w:ascii="Times New Roman" w:hAnsi="Times New Roman"/>
          <w:b w:val="0"/>
          <w:i w:val="0"/>
          <w:sz w:val="24"/>
        </w:rPr>
        <w:t>The study employs an embedded convergent mixed-methods design with QUAN(qual) dominance followed by sequential qualitative explanation (Morse &amp; Niehaus, 2009). Participants complete two one-on-one Zoom sessions separated by 1 to 7 days. In Day 1 Phase 0 (30 minutes), participants design a research study using Claude.ai as the standard generative AI condition, with the Claude Projects feature and any custom system prompts disabled. Browser web search is permitted, consistent with ecologically valid doctoral research practice. Day 1 Phase 1 (20 minutes) provides a brief orientation to the agentic AI system, and Day 1 Phase 2 (60 minutes) consists of a new research design task using the agentic AI system with concurrent think-aloud. Day 2 (1 to 7 days later) includes Phase 3 (40 minutes), in which participants re-design the Phase 0 scenario using the agentic AI system, and Phase 4 (30 minutes), a semi-structured interview with retrospective think-aloud cued by screen replay of Phases 2 and 3. Post-session Tier 1 self-report surveys are administered after each AI-interaction phase.</w:t>
      </w:r>
    </w:p>
    <w:p>
      <w:pPr>
        <w:ind w:firstLine="720"/>
      </w:pPr>
      <w:r>
        <w:rPr>
          <w:rFonts w:ascii="Times New Roman" w:hAnsi="Times New Roman"/>
          <w:b w:val="0"/>
          <w:i w:val="0"/>
          <w:sz w:val="24"/>
        </w:rPr>
        <w:t>Five participants are recruited using maximum-variation purposeful sampling (Patton, 2015) across four dimensions: AI knowledge level, research methodology expertise, epistemological disposition, and disciplinary identity. The target sample size is intentionally smaller than Yang et al. (2025, N = 73) because the present study prioritizes depth over breadth: each participant completes a within-subject comparison of two AI conditions across two sessions with concurrent and retrospective think-aloud, producing dense data that supports the demonstration of CMAA rather than statistical generalization.</w:t>
      </w:r>
    </w:p>
    <w:p>
      <w:pPr>
        <w:jc w:val="left"/>
      </w:pPr>
      <w:r>
        <w:rPr>
          <w:rFonts w:ascii="Times New Roman" w:hAnsi="Times New Roman"/>
          <w:b/>
          <w:i w:val="0"/>
          <w:sz w:val="24"/>
        </w:rPr>
        <w:t>Research Scenarios and Counterbalancing</w:t>
      </w:r>
    </w:p>
    <w:p>
      <w:pPr>
        <w:ind w:firstLine="720"/>
      </w:pPr>
      <w:r>
        <w:rPr>
          <w:rFonts w:ascii="Times New Roman" w:hAnsi="Times New Roman"/>
          <w:b w:val="0"/>
          <w:i w:val="0"/>
          <w:sz w:val="24"/>
        </w:rPr>
        <w:t>Two research scenarios of equivalent complexity are used. Scenario A asks participants to design a study on the impact of AI tools on K-12 student academic achievement (modal trap: Technology Acceptance Model, UTAUT variants). Scenario B asks participants to design a study on factors shaping academic socialization and research identity formation among first-generation doctoral students from racially underrepresented groups in STEM fields (modal trap: Becker et al. deficit framing). With N = 5, formal counterbalancing of a 2 (scenario) by 2 (condition) within-subject design is statistically impossible; a partial Latin square is used instead, with 3 participants receiving Scenario A in the Claude condition and Scenario B in the agentic AI condition, and 2 participants receiving the reverse assignment. Scenario order is treated as a case-level covariate in cross-case analysis, and the assignment is locked in an Open Science Framework pre-registration prior to data collection.</w:t>
      </w:r>
    </w:p>
    <w:p>
      <w:pPr>
        <w:jc w:val="left"/>
      </w:pPr>
      <w:r>
        <w:rPr>
          <w:rFonts w:ascii="Times New Roman" w:hAnsi="Times New Roman"/>
          <w:b/>
          <w:i w:val="0"/>
          <w:sz w:val="24"/>
        </w:rPr>
        <w:t>CMAA Application</w:t>
      </w:r>
    </w:p>
    <w:p>
      <w:pPr>
        <w:ind w:firstLine="720"/>
      </w:pPr>
      <w:r>
        <w:rPr>
          <w:rFonts w:ascii="Times New Roman" w:hAnsi="Times New Roman"/>
          <w:b w:val="0"/>
          <w:i w:val="0"/>
          <w:sz w:val="24"/>
        </w:rPr>
        <w:t>Tier 1 metrics are computed post-hoc by two independent coders working from session transcripts, screen recordings, and artifacts, using the published rubrics from Yang et al. (2025, Appendix A). Inter-rater reliability is reported as Cohen's kappa. Self-efficacy and engagement scores are computed from post-session Likert responses following Yang et al.'s composite scoring procedure. Tier 2 indicators are computed from the agentic AI system's decision audit database for each participant's checkpoint interactions. PIR, DSE, and GCA are computed in both conditions to support between-condition contrast; SUD and CCI are computed in the agentic AI condition only. Typicality Trajectory is plotted per participant for the agentic AI condition and is qualitatively contextualized by concurrent think-aloud data. Full participant profiles, descriptive statistics, and case narratives are reported in the companion empirical paper.</w:t>
      </w:r>
    </w:p>
    <w:p>
      <w:pPr>
        <w:jc w:val="center"/>
      </w:pPr>
      <w:r>
        <w:rPr>
          <w:rFonts w:ascii="Times New Roman" w:hAnsi="Times New Roman"/>
          <w:b/>
          <w:i w:val="0"/>
          <w:sz w:val="24"/>
        </w:rPr>
        <w:t>Discussion</w:t>
      </w:r>
    </w:p>
    <w:p>
      <w:pPr>
        <w:jc w:val="left"/>
      </w:pPr>
      <w:r>
        <w:rPr>
          <w:rFonts w:ascii="Times New Roman" w:hAnsi="Times New Roman"/>
          <w:b/>
          <w:i w:val="0"/>
          <w:sz w:val="24"/>
        </w:rPr>
        <w:t>Theoretical Contributions</w:t>
      </w:r>
    </w:p>
    <w:p>
      <w:pPr>
        <w:ind w:firstLine="720"/>
      </w:pPr>
      <w:r>
        <w:rPr>
          <w:rFonts w:ascii="Times New Roman" w:hAnsi="Times New Roman"/>
          <w:b w:val="0"/>
          <w:i w:val="0"/>
          <w:sz w:val="24"/>
        </w:rPr>
        <w:t>CMAA makes three theoretical contributions to the methodology of studying artificial agency in education. First, it provides the first operationalization of Floridi's (2025) three artificial agency criteria as educational measurement instruments, enabling the philosophical framework to serve as an empirical anchor for human-AI interaction research. Second, it identifies checkpoints as natural measurement instruments, reframing the structured interaction point from a design feature to an analytical unit. Third, it extends Yang et al.'s (2025) HALIE-based measurement framework from standard generative AI to checkpoint-governed agentic AI, preserving continuity with prior BJET-published methodology while adding architecture-specific indicators where the prior framework did not apply.</w:t>
      </w:r>
    </w:p>
    <w:p>
      <w:pPr>
        <w:jc w:val="left"/>
      </w:pPr>
      <w:r>
        <w:rPr>
          <w:rFonts w:ascii="Times New Roman" w:hAnsi="Times New Roman"/>
          <w:b/>
          <w:i w:val="0"/>
          <w:sz w:val="24"/>
        </w:rPr>
        <w:t>Transferability Across Agentic AI Systems</w:t>
      </w:r>
    </w:p>
    <w:p>
      <w:pPr>
        <w:ind w:firstLine="720"/>
      </w:pPr>
      <w:r>
        <w:rPr>
          <w:rFonts w:ascii="Times New Roman" w:hAnsi="Times New Roman"/>
          <w:b w:val="0"/>
          <w:i w:val="0"/>
          <w:sz w:val="24"/>
        </w:rPr>
        <w:t>CMAA indicators are system-agnostic where checkpoint-level telemetry is available. The minimum architectural requirements are (a) explicit checkpoint events distinguishable from ordinary agent turns, (b) an enumerable alternative set presented at each checkpoint, (c) a persistent decision audit trail, and (d) identifiable agent-to-agent dependencies when multiple components cooperate. These requirements are met by many agentic AI systems currently under development for educational and research support contexts (Acharya et al., 2025; Hughes et al., 2025; Park et al., 2023). The two-tier structure of CMAA is particularly valuable for transfer: Tier 1 metrics adapted from Yang et al. (2025) are directly portable to any system that supports participant-initiated prompting, while Tier 2 indicators require system-specific instrumentation but are defined precisely enough to be implemented in alternative agentic architectures.</w:t>
      </w:r>
    </w:p>
    <w:p>
      <w:pPr>
        <w:jc w:val="left"/>
      </w:pPr>
      <w:r>
        <w:rPr>
          <w:rFonts w:ascii="Times New Roman" w:hAnsi="Times New Roman"/>
          <w:b/>
          <w:i w:val="0"/>
          <w:sz w:val="24"/>
        </w:rPr>
        <w:t>Limitations</w:t>
      </w:r>
    </w:p>
    <w:p>
      <w:pPr>
        <w:ind w:firstLine="720"/>
      </w:pPr>
      <w:r>
        <w:rPr>
          <w:rFonts w:ascii="Times New Roman" w:hAnsi="Times New Roman"/>
          <w:b w:val="0"/>
          <w:i w:val="0"/>
          <w:sz w:val="24"/>
        </w:rPr>
        <w:t>Four limitations must be acknowledged. First, CMAA was derived from a single system, and design-based evidence necessarily precedes controlled empirical validation across multiple systems. Second, T-score calibration is proxied through algorithmic typicality estimation rather than independent expert rating, introducing a validity question that the companion empirical paper addresses through think-aloud anchoring. Third, the N = 5 demonstration study does not support statistical generalization; it supports methodological illustration and face validity of the indicators. Fourth, one of the authors of the present paper is the developer of the system analyzed here, introducing a dual-role risk that is mitigated through structural controls (independent coding, blind performance evaluation, pre-registration of analysis plan) described in detail in the companion empirical paper and in the research design document archived with the pre-registration.</w:t>
      </w:r>
    </w:p>
    <w:p>
      <w:pPr>
        <w:jc w:val="left"/>
      </w:pPr>
      <w:r>
        <w:rPr>
          <w:rFonts w:ascii="Times New Roman" w:hAnsi="Times New Roman"/>
          <w:b/>
          <w:i w:val="0"/>
          <w:sz w:val="24"/>
        </w:rPr>
        <w:t>Future Directions</w:t>
      </w:r>
    </w:p>
    <w:p>
      <w:pPr>
        <w:ind w:firstLine="720"/>
      </w:pPr>
      <w:r>
        <w:rPr>
          <w:rFonts w:ascii="Times New Roman" w:hAnsi="Times New Roman"/>
          <w:b w:val="0"/>
          <w:i w:val="0"/>
          <w:sz w:val="24"/>
        </w:rPr>
        <w:t>Three directions follow from the present contribution. First, the N = 5 demonstration study should be followed by a larger comparative study (N &gt;= 20) that can support inferential analysis of Tier 1 contrasts between conditions. Second, CMAA should be applied to other agentic AI systems to establish cross-system robustness, particularly systems with different checkpoint granularities and different balances of proactive versus reactive components. Third, cross-cultural validation is essential: learners' perceptions of agency, social presence, and autonomy are shaped by sociocultural norms, and the interpretation of CMAA indicators may differ across educational contexts from the Global North and Global South, a direction explicitly encouraged by the BJET Special Issue call.</w:t>
      </w:r>
    </w:p>
    <w:p>
      <w:pPr>
        <w:jc w:val="center"/>
      </w:pPr>
      <w:r>
        <w:rPr>
          <w:rFonts w:ascii="Times New Roman" w:hAnsi="Times New Roman"/>
          <w:b/>
          <w:i w:val="0"/>
          <w:sz w:val="24"/>
        </w:rPr>
        <w:t>Conclusion</w:t>
      </w:r>
    </w:p>
    <w:p>
      <w:pPr>
        <w:ind w:firstLine="720"/>
      </w:pPr>
      <w:r>
        <w:rPr>
          <w:rFonts w:ascii="Times New Roman" w:hAnsi="Times New Roman"/>
          <w:b w:val="0"/>
          <w:i w:val="0"/>
          <w:sz w:val="24"/>
        </w:rPr>
        <w:t>This paper has proposed Checkpoint-Mediated Agency Analysis as a methodological extension of Yang et al.'s (2025) HALIE-based measurement of human-AI interaction from standard generative AI to checkpoint-governed agentic AI. Grounded in Floridi's (2025) three criteria for artificial agency and developed through design-based analysis of a 29-agent research methodology assistant, CMAA provides the educational technology research community with a two-tier measurement structure, five operationalized indicators, and a proof-of-concept study design that together support replicable investigation of how artificial agency reshapes epistemic labour in educational contexts. The framework preserves continuity with prior BJET-published work while advancing a new methodological contribution specific to the class of agentic AI systems whose educational consequences are only now beginning to be understood.</w:t>
      </w:r>
    </w:p>
    <w:p>
      <w:r>
        <w:br w:type="page"/>
      </w:r>
    </w:p>
    <w:p>
      <w:pPr>
        <w:jc w:val="center"/>
      </w:pPr>
      <w:r>
        <w:rPr>
          <w:rFonts w:ascii="Times New Roman" w:hAnsi="Times New Roman"/>
          <w:b/>
          <w:i w:val="0"/>
          <w:sz w:val="24"/>
        </w:rPr>
        <w:t>References</w:t>
      </w:r>
    </w:p>
    <w:p>
      <w:pPr>
        <w:ind w:left="720" w:hanging="720"/>
      </w:pPr>
      <w:r>
        <w:rPr>
          <w:rFonts w:ascii="Times New Roman" w:hAnsi="Times New Roman"/>
          <w:b w:val="0"/>
          <w:i w:val="0"/>
          <w:sz w:val="24"/>
        </w:rPr>
        <w:t>Acharya, D. B., Kuppan, K., &amp; Divya, B. (2025). Agentic AI: Autonomous intelligence for complex goals: A comprehensive survey. IEEE Access, 13, 18912–18936.</w:t>
      </w:r>
    </w:p>
    <w:p>
      <w:pPr>
        <w:ind w:left="720" w:hanging="720"/>
      </w:pPr>
      <w:r>
        <w:rPr>
          <w:rFonts w:ascii="Times New Roman" w:hAnsi="Times New Roman"/>
          <w:b w:val="0"/>
          <w:i w:val="0"/>
          <w:sz w:val="24"/>
        </w:rPr>
        <w:t>Avey, J. B., Luthans, F., &amp; Jensen, S. M. (2009). Psychological capital: A positive resource for combating employee stress and turnover. Human Resource Management, 48(5), 677–693. https://doi.org/10.1002/hrm.20294</w:t>
      </w:r>
    </w:p>
    <w:p>
      <w:pPr>
        <w:ind w:left="720" w:hanging="720"/>
      </w:pPr>
      <w:r>
        <w:rPr>
          <w:rFonts w:ascii="Times New Roman" w:hAnsi="Times New Roman"/>
          <w:b w:val="0"/>
          <w:i w:val="0"/>
          <w:sz w:val="24"/>
        </w:rPr>
        <w:t>Engestrom, Y. (1987). Learning by expanding: An activity-theoretical approach to developmental research. Orienta-Konsultit.</w:t>
      </w:r>
    </w:p>
    <w:p>
      <w:pPr>
        <w:ind w:left="720" w:hanging="720"/>
      </w:pPr>
      <w:r>
        <w:rPr>
          <w:rFonts w:ascii="Times New Roman" w:hAnsi="Times New Roman"/>
          <w:b w:val="0"/>
          <w:i w:val="0"/>
          <w:sz w:val="24"/>
        </w:rPr>
        <w:t>Floridi, L. (2025). AI as agency without intelligence: On artificial intelligence as a new form of artificial agency and the multiple realisability of agency thesis. Philosophy &amp; Technology, 38, Article 30.</w:t>
      </w:r>
    </w:p>
    <w:p>
      <w:pPr>
        <w:ind w:left="720" w:hanging="720"/>
      </w:pPr>
      <w:r>
        <w:rPr>
          <w:rFonts w:ascii="Times New Roman" w:hAnsi="Times New Roman"/>
          <w:b w:val="0"/>
          <w:i w:val="0"/>
          <w:sz w:val="24"/>
        </w:rPr>
        <w:t>Fredricks, J. A., Blumenfeld, P. C., &amp; Paris, A. H. (2004). School engagement: Potential of the concept, state of the evidence. Review of Educational Research, 74(1), 59–109. https://doi.org/10.3102/00346543074001059</w:t>
      </w:r>
    </w:p>
    <w:p>
      <w:pPr>
        <w:ind w:left="720" w:hanging="720"/>
      </w:pPr>
      <w:r>
        <w:rPr>
          <w:rFonts w:ascii="Times New Roman" w:hAnsi="Times New Roman"/>
          <w:b w:val="0"/>
          <w:i w:val="0"/>
          <w:sz w:val="24"/>
        </w:rPr>
        <w:t>Giannakos, M., Azevedo, R., Brusilovsky, P., Cukurova, M., Dimitriadis, Y., Hernandez-Leo, D., Jarvela, S., Mavrikis, M., &amp; Rienties, B. (2025). The promise and challenges of generative AI in education. Behaviour &amp; Information Technology, 44(11), 2518–2544.</w:t>
      </w:r>
    </w:p>
    <w:p>
      <w:pPr>
        <w:ind w:left="720" w:hanging="720"/>
      </w:pPr>
      <w:r>
        <w:rPr>
          <w:rFonts w:ascii="Times New Roman" w:hAnsi="Times New Roman"/>
          <w:b w:val="0"/>
          <w:i w:val="0"/>
          <w:sz w:val="24"/>
        </w:rPr>
        <w:t>Halverson, L. R., &amp; Graham, C. R. (2019). Learner engagement in blended learning environments: A conceptual framework. Online Learning, 23(2), 145–178. https://doi.org/10.24059/olj.v23i2.1481</w:t>
      </w:r>
    </w:p>
    <w:p>
      <w:pPr>
        <w:ind w:left="720" w:hanging="720"/>
      </w:pPr>
      <w:r>
        <w:rPr>
          <w:rFonts w:ascii="Times New Roman" w:hAnsi="Times New Roman"/>
          <w:b w:val="0"/>
          <w:i w:val="0"/>
          <w:sz w:val="24"/>
        </w:rPr>
        <w:t>Hughes, L., Dwivedi, Y. K., Malik, T., Shawosh, M., Albashrawi, M. A., Jeon, I., &amp; Walton, P. (2025). AI agents and agentic systems: A multi-expert analysis. Journal of Computer Information Systems, 1–29.</w:t>
      </w:r>
    </w:p>
    <w:p>
      <w:pPr>
        <w:ind w:left="720" w:hanging="720"/>
      </w:pPr>
      <w:r>
        <w:rPr>
          <w:rFonts w:ascii="Times New Roman" w:hAnsi="Times New Roman"/>
          <w:b w:val="0"/>
          <w:i w:val="0"/>
          <w:sz w:val="24"/>
        </w:rPr>
        <w:t>Jarvela, S., Nguyen, A., &amp; Hadwin, A. (2023). Human and artificial intelligence collaboration for socially shared regulation in learning. British Journal of Educational Technology, 54(5), 1057–1076.</w:t>
      </w:r>
    </w:p>
    <w:p>
      <w:pPr>
        <w:ind w:left="720" w:hanging="720"/>
      </w:pPr>
      <w:r>
        <w:rPr>
          <w:rFonts w:ascii="Times New Roman" w:hAnsi="Times New Roman"/>
          <w:b w:val="0"/>
          <w:i w:val="0"/>
          <w:sz w:val="24"/>
        </w:rPr>
        <w:t>Lee, M., Srivastava, M., Hardy, A., Thickstun, J., Durmus, E., Paranjape, A., Gerard-Ursin, I., Li, X. L., Ladhak, F., Rong, F., Wang, R. E., Kwon, M., Park, J. S., Cao, H., Lee, T., Bommasani, R., Bernstein, M. S., &amp; Liang, P. (2023). Evaluating human-language model interaction. Transactions on Machine Learning Research.</w:t>
      </w:r>
    </w:p>
    <w:p>
      <w:pPr>
        <w:ind w:left="720" w:hanging="720"/>
      </w:pPr>
      <w:r>
        <w:rPr>
          <w:rFonts w:ascii="Times New Roman" w:hAnsi="Times New Roman"/>
          <w:b w:val="0"/>
          <w:i w:val="0"/>
          <w:sz w:val="24"/>
        </w:rPr>
        <w:t>McKenney, S., &amp; Reeves, T. C. (2012). Conducting educational design research. Routledge.</w:t>
      </w:r>
    </w:p>
    <w:p>
      <w:pPr>
        <w:ind w:left="720" w:hanging="720"/>
      </w:pPr>
      <w:r>
        <w:rPr>
          <w:rFonts w:ascii="Times New Roman" w:hAnsi="Times New Roman"/>
          <w:b w:val="0"/>
          <w:i w:val="0"/>
          <w:sz w:val="24"/>
        </w:rPr>
        <w:t>Morse, J. M., &amp; Niehaus, L. (2009). Mixed method design: Principles and procedures. Left Coast Press.</w:t>
      </w:r>
    </w:p>
    <w:p>
      <w:pPr>
        <w:ind w:left="720" w:hanging="720"/>
      </w:pPr>
      <w:r>
        <w:rPr>
          <w:rFonts w:ascii="Times New Roman" w:hAnsi="Times New Roman"/>
          <w:b w:val="0"/>
          <w:i w:val="0"/>
          <w:sz w:val="24"/>
        </w:rPr>
        <w:t>Ouyang, F., &amp; Jiao, P. (2021). Artificial intelligence in education: The three paradigms. Computers and Education: Artificial Intelligence, 2, 100020.</w:t>
      </w:r>
    </w:p>
    <w:p>
      <w:pPr>
        <w:ind w:left="720" w:hanging="720"/>
      </w:pPr>
      <w:r>
        <w:rPr>
          <w:rFonts w:ascii="Times New Roman" w:hAnsi="Times New Roman"/>
          <w:b w:val="0"/>
          <w:i w:val="0"/>
          <w:sz w:val="24"/>
        </w:rPr>
        <w:t>Park, J. S., O'Brien, J., Cai, C. J., Morris, M. R., Liang, P., &amp; Bernstein, M. S. (2023). Generative agents: Interactive simulacra of human behavior. In Proceedings of the 36th Annual ACM Symposium on User Interface Software and Technology (pp. 1–22).</w:t>
      </w:r>
    </w:p>
    <w:p>
      <w:pPr>
        <w:ind w:left="720" w:hanging="720"/>
      </w:pPr>
      <w:r>
        <w:rPr>
          <w:rFonts w:ascii="Times New Roman" w:hAnsi="Times New Roman"/>
          <w:b w:val="0"/>
          <w:i w:val="0"/>
          <w:sz w:val="24"/>
        </w:rPr>
        <w:t>Patton, M. Q. (2015). Qualitative research and evaluation methods (4th ed.). Sage.</w:t>
      </w:r>
    </w:p>
    <w:p>
      <w:pPr>
        <w:ind w:left="720" w:hanging="720"/>
      </w:pPr>
      <w:r>
        <w:rPr>
          <w:rFonts w:ascii="Times New Roman" w:hAnsi="Times New Roman"/>
          <w:b w:val="0"/>
          <w:i w:val="0"/>
          <w:sz w:val="24"/>
        </w:rPr>
        <w:t>Sapkota, R., Roumeliotis, K. I., &amp; Karkee, M. (2026). AI agents vs. agentic AI: A conceptual taxonomy, applications and challenges. Information Fusion, 126(Part B), 103599.</w:t>
      </w:r>
    </w:p>
    <w:p>
      <w:pPr>
        <w:ind w:left="720" w:hanging="720"/>
      </w:pPr>
      <w:r>
        <w:rPr>
          <w:rFonts w:ascii="Times New Roman" w:hAnsi="Times New Roman"/>
          <w:b w:val="0"/>
          <w:i w:val="0"/>
          <w:sz w:val="24"/>
        </w:rPr>
        <w:t>Skinner, E. A., Kindermann, T. A., &amp; Furrer, C. J. (2009). A motivational perspective on engagement and disaffection: Conceptualization and assessment of children's behavioral and emotional participation in academic activities in the classroom. Educational and Psychological Measurement, 69(3), 493–525. https://doi.org/10.1177/0013164408323233</w:t>
      </w:r>
    </w:p>
    <w:p>
      <w:pPr>
        <w:ind w:left="720" w:hanging="720"/>
      </w:pPr>
      <w:r>
        <w:rPr>
          <w:rFonts w:ascii="Times New Roman" w:hAnsi="Times New Roman"/>
          <w:b w:val="0"/>
          <w:i w:val="0"/>
          <w:sz w:val="24"/>
        </w:rPr>
        <w:t>Vaccaro, M., Almaatouq, A., &amp; Malone, T. (2024). When combinations of humans and AI are useful: A systematic review and meta-analysis. Nature Human Behaviour, 8(12), 2293–2303.</w:t>
      </w:r>
    </w:p>
    <w:p>
      <w:pPr>
        <w:ind w:left="720" w:hanging="720"/>
      </w:pPr>
      <w:r>
        <w:rPr>
          <w:rFonts w:ascii="Times New Roman" w:hAnsi="Times New Roman"/>
          <w:b w:val="0"/>
          <w:i w:val="0"/>
          <w:sz w:val="24"/>
        </w:rPr>
        <w:t>Wang, L., Ma, C., Feng, X., Zhang, Z., Yang, H., Zhang, J., Chen, Z., Tang, J., Chen, X., &amp; Lin, Y. (2024). A survey on large language model based autonomous agents. Frontiers of Computer Science, 18(6), Article 186345.</w:t>
      </w:r>
    </w:p>
    <w:p>
      <w:pPr>
        <w:ind w:left="720" w:hanging="720"/>
      </w:pPr>
      <w:r>
        <w:rPr>
          <w:rFonts w:ascii="Times New Roman" w:hAnsi="Times New Roman"/>
          <w:b w:val="0"/>
          <w:i w:val="0"/>
          <w:sz w:val="24"/>
        </w:rPr>
        <w:t>Webb, N. L. (2002). Depth-of-knowledge levels for four content areas. Wisconsin Center for Education Research.</w:t>
      </w:r>
    </w:p>
    <w:p>
      <w:pPr>
        <w:ind w:left="720" w:hanging="720"/>
      </w:pPr>
      <w:r>
        <w:rPr>
          <w:rFonts w:ascii="Times New Roman" w:hAnsi="Times New Roman"/>
          <w:b w:val="0"/>
          <w:i w:val="0"/>
          <w:sz w:val="24"/>
        </w:rPr>
        <w:t>Yan, L., Sha, L., Zhao, L., Li, Y., Martinez-Maldonado, R., Chen, G., &amp; Gasevic, D. (2024). Practical and ethical challenges of large language models in education: A systematic scoping review. British Journal of Educational Technology, 55(1), 90–112.</w:t>
      </w:r>
    </w:p>
    <w:p>
      <w:pPr>
        <w:ind w:left="720" w:hanging="720"/>
      </w:pPr>
      <w:r>
        <w:rPr>
          <w:rFonts w:ascii="Times New Roman" w:hAnsi="Times New Roman"/>
          <w:b w:val="0"/>
          <w:i w:val="0"/>
          <w:sz w:val="24"/>
        </w:rPr>
        <w:t>Yang, M., Jiang, S., Li, B., Herman, K., Luo, T., Moots, S. C., &amp; Lovett, N. (2025). Analysing nontraditional students' ChatGPT interaction, engagement, self-efficacy and performance: A mixed-methods approach. British Journal of Educational Technology, 56(6), 1973–2000. https://doi.org/10.1111/bjet.13588</w:t>
      </w:r>
    </w:p>
    <w:p>
      <w:pPr>
        <w:ind w:left="720" w:hanging="720"/>
      </w:pPr>
      <w:r>
        <w:rPr>
          <w:rFonts w:ascii="Times New Roman" w:hAnsi="Times New Roman"/>
          <w:b w:val="0"/>
          <w:i w:val="0"/>
          <w:sz w:val="24"/>
        </w:rPr>
        <w:t>[Author(s)]. (in preparation). [Title removed for review: Paper 1, design case]. International Journal of Designs for Learning.</w:t>
      </w:r>
    </w:p>
    <w:p>
      <w:pPr>
        <w:ind w:left="720" w:hanging="720"/>
      </w:pPr>
      <w:r>
        <w:rPr>
          <w:rFonts w:ascii="Times New Roman" w:hAnsi="Times New Roman"/>
          <w:b w:val="0"/>
          <w:i w:val="0"/>
          <w:sz w:val="24"/>
        </w:rPr>
        <w:t>[Author(s)]. (in preparation). [Title removed for review: Paper 3, empirical application]. Computers and Education: Artificial Intelligence.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