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i w:val="0"/>
          <w:sz w:val="24"/>
        </w:rPr>
        <w:t>Checkpoint-Governed Agency and Methodological Reasoning: A Multiple Case Study of Doctoral Researchers' Engagement with Agentic AI</w:t>
      </w:r>
    </w:p>
    <w:p/>
    <w:p>
      <w:pPr>
        <w:jc w:val="center"/>
      </w:pPr>
      <w:r>
        <w:rPr>
          <w:rFonts w:ascii="Times New Roman" w:hAnsi="Times New Roman"/>
          <w:b w:val="0"/>
          <w:i w:val="0"/>
          <w:sz w:val="24"/>
        </w:rPr>
        <w:t>[Author names removed for double-anonymous review]</w:t>
      </w:r>
    </w:p>
    <w:p>
      <w:pPr>
        <w:jc w:val="center"/>
      </w:pPr>
      <w:r>
        <w:rPr>
          <w:rFonts w:ascii="Times New Roman" w:hAnsi="Times New Roman"/>
          <w:b w:val="0"/>
          <w:i w:val="0"/>
          <w:sz w:val="24"/>
        </w:rPr>
        <w:t>[Institutional affiliations removed for review]</w:t>
      </w:r>
    </w:p>
    <w:p/>
    <w:p>
      <w:pPr>
        <w:jc w:val="center"/>
      </w:pPr>
      <w:r>
        <w:rPr>
          <w:rFonts w:ascii="Times New Roman" w:hAnsi="Times New Roman"/>
          <w:b w:val="0"/>
          <w:i/>
          <w:sz w:val="24"/>
        </w:rPr>
        <w:t>Manuscript for Computers and Education: Artificial Intelligence</w:t>
      </w:r>
    </w:p>
    <w:p>
      <w:pPr>
        <w:jc w:val="center"/>
      </w:pPr>
      <w:r>
        <w:rPr>
          <w:rFonts w:ascii="Times New Roman" w:hAnsi="Times New Roman"/>
          <w:b w:val="0"/>
          <w:i w:val="0"/>
          <w:sz w:val="24"/>
        </w:rPr>
        <w:t>Draft v3, 2026-04-09 (with HALIE integration; C&amp;E:AI target)</w:t>
      </w:r>
    </w:p>
    <w:p>
      <w:r>
        <w:br w:type="page"/>
      </w:r>
    </w:p>
    <w:p>
      <w:pPr>
        <w:jc w:val="center"/>
      </w:pPr>
      <w:r>
        <w:rPr>
          <w:rFonts w:ascii="Times New Roman" w:hAnsi="Times New Roman"/>
          <w:b/>
          <w:i w:val="0"/>
          <w:sz w:val="24"/>
        </w:rPr>
        <w:t>Abstract</w:t>
      </w:r>
    </w:p>
    <w:p>
      <w:pPr>
        <w:ind w:firstLine="0"/>
      </w:pPr>
      <w:r>
        <w:rPr>
          <w:rFonts w:ascii="Times New Roman" w:hAnsi="Times New Roman"/>
          <w:b w:val="0"/>
          <w:i w:val="0"/>
          <w:sz w:val="24"/>
        </w:rPr>
        <w:t>Agentic AI systems that enforce mandatory human checkpoints introduce a distinctive class of tool-mediated interaction into doctoral research training. This multiple case study examines how five doctoral students in the social sciences engage with a 29-agent checkpoint-governed research methodology assistant during research design tasks, and how that engagement compares with their use of a standard generative AI assistant (Claude.ai) on parallel tasks. Grounded in cultural-historical activity theory (Engestrom, 1987), the study applies Engestrom's contradiction typology to identify primary, secondary, tertiary, and quaternary contradictions emerging when checkpoint-mediated scaffolding meets the existing activity system of doctoral research design. Measurement follows the two-tier structure proposed in the companion methodology paper: Tier 1 adapts four HALIE-based interaction metrics (Yang et al., 2025, British Journal of Educational Technology) and two validated self-report scales (Avey et al., 2009; Skinner et al., 2009) applied to both conditions, while Tier 2 introduces five Checkpoint-Mediated Agency Analysis indicators specific to the agentic architecture. Data collection uses a two-day within-subject protocol with concurrent think-aloud in the first session and retrospective think-aloud via screen replay in the second, complemented by a semi-structured interview. Within-case and cross-case analyses are organized around an independent performance evaluation following the bias mitigation precedent of Yang et al. (2025). The paper contributes to the understanding of how artificial agency reshapes epistemic labour in doctoral education and to the design of agentic AI systems that support rather than constrain researcher agency.</w:t>
      </w:r>
    </w:p>
    <w:p>
      <w:pPr>
        <w:ind w:firstLine="720"/>
      </w:pPr>
      <w:r>
        <w:rPr>
          <w:rFonts w:ascii="Times New Roman" w:hAnsi="Times New Roman"/>
          <w:b w:val="0"/>
          <w:i/>
          <w:sz w:val="24"/>
        </w:rPr>
        <w:t xml:space="preserve">Keywords: </w:t>
      </w:r>
      <w:r>
        <w:rPr>
          <w:rFonts w:ascii="Times New Roman" w:hAnsi="Times New Roman"/>
          <w:b w:val="0"/>
          <w:i w:val="0"/>
          <w:sz w:val="24"/>
        </w:rPr>
        <w:t>agentic AI, activity theory, Engestrom contradictions, doctoral research education, methodological reasoning, checkpoint-mediated scaffolding, multiple case study, mixed methods</w:t>
      </w:r>
    </w:p>
    <w:p>
      <w:r>
        <w:br w:type="page"/>
      </w:r>
    </w:p>
    <w:p>
      <w:pPr>
        <w:jc w:val="center"/>
      </w:pPr>
      <w:r>
        <w:rPr>
          <w:rFonts w:ascii="Times New Roman" w:hAnsi="Times New Roman"/>
          <w:b/>
          <w:i w:val="0"/>
          <w:sz w:val="24"/>
        </w:rPr>
        <w:t>Checkpoint-Governed Agency and Methodological Reasoning: A Multiple Case Study of Doctoral Researchers' Engagement with Agentic AI</w:t>
      </w:r>
    </w:p>
    <w:p>
      <w:pPr>
        <w:jc w:val="center"/>
      </w:pPr>
      <w:r>
        <w:rPr>
          <w:rFonts w:ascii="Times New Roman" w:hAnsi="Times New Roman"/>
          <w:b/>
          <w:i w:val="0"/>
          <w:sz w:val="24"/>
        </w:rPr>
        <w:t>Introduction</w:t>
      </w:r>
    </w:p>
    <w:p>
      <w:pPr>
        <w:ind w:firstLine="720"/>
      </w:pPr>
      <w:r>
        <w:rPr>
          <w:rFonts w:ascii="Times New Roman" w:hAnsi="Times New Roman"/>
          <w:b w:val="0"/>
          <w:i w:val="0"/>
          <w:sz w:val="24"/>
        </w:rPr>
        <w:t>Research methodology education occupies an unusual position in doctoral training: it is simultaneously the most discipline-generalizable skill doctoral students develop and the one most susceptible to path dependence on influential examples. When a student encounters a dominant framework early in their program, that framework tends to structure their subsequent methodological imagination, narrowing the space of alternatives they consider when designing new studies. This tendency toward modal consensus is observable in AI-assisted research tool use. Querying several widely used generative AI assistants with questions about theoretical frameworks for technology adoption research reliably produces the Technology Acceptance Model or one of its variants, even when the research context calls for constructs less central to the literature (Yan et al., 2024; Zawacki-Richter et al., 2019). Generative AI systems amplify modal recommendations because they are optimized to match the distribution of training text, not to diversify the researcher's considered alternatives.</w:t>
      </w:r>
    </w:p>
    <w:p>
      <w:pPr>
        <w:ind w:firstLine="720"/>
      </w:pPr>
      <w:r>
        <w:rPr>
          <w:rFonts w:ascii="Times New Roman" w:hAnsi="Times New Roman"/>
          <w:b w:val="0"/>
          <w:i w:val="0"/>
          <w:sz w:val="24"/>
        </w:rPr>
        <w:t>A distinct class of AI systems, agentic AI characterized by persistent memory, multi-agent orchestration, and mandatory human checkpoints, is emerging as a potential counterweight to modal consensus (Acharya et al., 2025; Hughes et al., 2025). By enforcing structured pauses at epistemically critical junctures and presenting multiple alternatives across a typicality spectrum rather than defaulting to the modal response, checkpoint-governed agentic AI systems are architecturally designed to expand rather than constrain the researcher's decision space. Whether this architectural intent actually translates into expanded methodological reasoning in the practice of doctoral research, and what activity-system contradictions emerge when checkpoint-mediated scaffolding meets existing research practices, are empirical questions that this paper addresses through a multiple case study.</w:t>
      </w:r>
    </w:p>
    <w:p>
      <w:pPr>
        <w:ind w:firstLine="720"/>
      </w:pPr>
      <w:r>
        <w:rPr>
          <w:rFonts w:ascii="Times New Roman" w:hAnsi="Times New Roman"/>
          <w:b w:val="0"/>
          <w:i w:val="0"/>
          <w:sz w:val="24"/>
        </w:rPr>
        <w:t>This paper reports the design, protocol, and analysis plan for a multiple case study of five doctoral students in social sciences who engage with a 29-agent checkpoint-governed research methodology assistant during parallel research design tasks. Each participant completes two tasks in two conditions: a standard generative AI condition using Claude.ai as the ecologically valid baseline for doctoral research practice in 2026, and a checkpoint-governed agentic AI condition using the 29-agent system. The study applies the two-tier measurement structure proposed in a companion methodology paper (Author(s), in preparation), with Tier 1 adapted from Yang et al.'s (2025) British Journal of Educational Technology study of ChatGPT interaction and Tier 2 introducing five new Checkpoint-Mediated Agency Analysis indicators. Analysis combines within-case narratives, cross-case synthesis using Engestrom's (1987) typology of contradictions, and an independent performance evaluation that follows the bias mitigation precedent of Yang et al. (2025).</w:t>
      </w:r>
    </w:p>
    <w:p>
      <w:pPr>
        <w:ind w:firstLine="720"/>
      </w:pPr>
      <w:r>
        <w:rPr>
          <w:rFonts w:ascii="Times New Roman" w:hAnsi="Times New Roman"/>
          <w:b w:val="0"/>
          <w:i w:val="0"/>
          <w:sz w:val="24"/>
        </w:rPr>
        <w:t>Three research questions organize the study. First, how does interaction with checkpoint-governed agency affect the diversity and quality of doctoral researchers' theoretical and methodological reasoning, compared with standard generative AI assistance? Second, what systemic contradictions emerge when doctoral researchers engage with mandatory checkpoints during research design activity, and how do these contradictions distribute across Engestrom's four contradiction levels? Third, how do learner characteristics (AI knowledge level, methodology expertise, epistemological disposition, disciplinary identity) mediate the relationship between checkpoint scaffolding intent and actual engagement patterns?</w:t>
      </w:r>
    </w:p>
    <w:p>
      <w:pPr>
        <w:jc w:val="center"/>
      </w:pPr>
      <w:r>
        <w:rPr>
          <w:rFonts w:ascii="Times New Roman" w:hAnsi="Times New Roman"/>
          <w:b/>
          <w:i w:val="0"/>
          <w:sz w:val="24"/>
        </w:rPr>
        <w:t>Literature Review</w:t>
      </w:r>
    </w:p>
    <w:p>
      <w:pPr>
        <w:jc w:val="left"/>
      </w:pPr>
      <w:r>
        <w:rPr>
          <w:rFonts w:ascii="Times New Roman" w:hAnsi="Times New Roman"/>
          <w:b/>
          <w:i w:val="0"/>
          <w:sz w:val="24"/>
        </w:rPr>
        <w:t>Generative AI in Doctoral Research Education</w:t>
      </w:r>
    </w:p>
    <w:p>
      <w:pPr>
        <w:ind w:firstLine="720"/>
      </w:pPr>
      <w:r>
        <w:rPr>
          <w:rFonts w:ascii="Times New Roman" w:hAnsi="Times New Roman"/>
          <w:b w:val="0"/>
          <w:i w:val="0"/>
          <w:sz w:val="24"/>
        </w:rPr>
        <w:t>Yang et al. (2025) conducted one of the most methodologically detailed studies to date of nontraditional students' generative AI use in instructional design education, analyzing 73 undergraduate and graduate students' ChatGPT interactions across multiple courses. Using the Human-AI Language-based Interaction Evaluation (HALIE) framework (Lee et al., 2023) as their theoretical anchor, Yang and colleagues operationalized four interaction metrics (prompt number, Depth of Knowledge, prompt relevance and evolution, originality) and two self-report scales (self-efficacy and engagement). Their mixed-methods findings revealed that prompt number and engagement significantly predicted learning performance, while self-efficacy did not, and text mining analysis identified strategic-inquirer and exploratory-inquirer archetypes that differed systematically in follow-up question sophistication.</w:t>
      </w:r>
    </w:p>
    <w:p>
      <w:pPr>
        <w:ind w:firstLine="720"/>
      </w:pPr>
      <w:r>
        <w:rPr>
          <w:rFonts w:ascii="Times New Roman" w:hAnsi="Times New Roman"/>
          <w:b w:val="0"/>
          <w:i w:val="0"/>
          <w:sz w:val="24"/>
        </w:rPr>
        <w:t>Yang et al.'s (2025) contribution is directly relevant to the present study for three reasons. First, their operationalization of HALIE provides a validated measurement foundation that we adapt as Tier 1 of the present measurement structure. Second, their identification of inquirer archetypes suggests that doctoral researchers, like the nontraditional students in their sample, may exhibit systematically different engagement patterns when interacting with generative AI; the present study tests whether these patterns persist or transform when the AI is agentic rather than standard generative. Third, their bias mitigation strategy, in which one co-author conducted independent performance evaluation outside the course instructional team, establishes the precedent for the independent evaluation protocol we adopt here.</w:t>
      </w:r>
    </w:p>
    <w:p>
      <w:pPr>
        <w:jc w:val="left"/>
      </w:pPr>
      <w:r>
        <w:rPr>
          <w:rFonts w:ascii="Times New Roman" w:hAnsi="Times New Roman"/>
          <w:b/>
          <w:i w:val="0"/>
          <w:sz w:val="24"/>
        </w:rPr>
        <w:t>Activity Theory and Tool-Mediated Learning</w:t>
      </w:r>
    </w:p>
    <w:p>
      <w:pPr>
        <w:ind w:firstLine="720"/>
      </w:pPr>
      <w:r>
        <w:rPr>
          <w:rFonts w:ascii="Times New Roman" w:hAnsi="Times New Roman"/>
          <w:b w:val="0"/>
          <w:i w:val="0"/>
          <w:sz w:val="24"/>
        </w:rPr>
        <w:t>Cultural-historical activity theory (Engestrom, 1987; Vygotsky, 1978) treats learning as a property of activity systems rather than of individuals. An activity system comprises a subject acting toward an object using mediating tools, within a community organized by rules and divisions of labour. Contradictions, understood not as errors but as dynamic tensions that drive system transformation, emerge at four levels: primary (contradictions within a single component of the system), secondary (contradictions between components), tertiary (contradictions between a dominant and a more advanced activity form), and quaternary (contradictions between neighboring activity systems). Contradictions are not static; they develop through use and give rise to new practices as participants work through the tensions.</w:t>
      </w:r>
    </w:p>
    <w:p>
      <w:pPr>
        <w:ind w:firstLine="720"/>
      </w:pPr>
      <w:r>
        <w:rPr>
          <w:rFonts w:ascii="Times New Roman" w:hAnsi="Times New Roman"/>
          <w:b w:val="0"/>
          <w:i w:val="0"/>
          <w:sz w:val="24"/>
        </w:rPr>
        <w:t>Activity theory is particularly well suited to studying agentic AI in doctoral research education because it treats the AI system as a mediating tool that is itself part of the activity system rather than as an external input whose effects can be measured in isolation. When a checkpoint-governed agentic AI is introduced into a doctoral researcher's activity system for designing a study, the new tool restructures the distribution of epistemic labour, alters the rules governing decision timing, and may conflict with the community-level norms (e.g., disciplinary conventions about acceptable methodological choices) that shape the researcher's prior practice. Contradictions at any of Engestrom's four levels can therefore emerge and become visible in participants' think-aloud reasoning and interview reflections.</w:t>
      </w:r>
    </w:p>
    <w:p>
      <w:pPr>
        <w:jc w:val="center"/>
      </w:pPr>
      <w:r>
        <w:rPr>
          <w:rFonts w:ascii="Times New Roman" w:hAnsi="Times New Roman"/>
          <w:b/>
          <w:i w:val="0"/>
          <w:sz w:val="24"/>
        </w:rPr>
        <w:t>Theoretical Framework</w:t>
      </w:r>
    </w:p>
    <w:p>
      <w:pPr>
        <w:jc w:val="left"/>
      </w:pPr>
      <w:r>
        <w:rPr>
          <w:rFonts w:ascii="Times New Roman" w:hAnsi="Times New Roman"/>
          <w:b/>
          <w:i w:val="0"/>
          <w:sz w:val="24"/>
        </w:rPr>
        <w:t>Activity System of Doctoral Research Design</w:t>
      </w:r>
    </w:p>
    <w:p>
      <w:pPr>
        <w:ind w:firstLine="720"/>
      </w:pPr>
      <w:r>
        <w:rPr>
          <w:rFonts w:ascii="Times New Roman" w:hAnsi="Times New Roman"/>
          <w:b w:val="0"/>
          <w:i w:val="0"/>
          <w:sz w:val="24"/>
        </w:rPr>
        <w:t>The activity system studied here can be modeled as follows. The subject is the doctoral researcher. The object is a defensible research design for a specified scenario. The mediating tools include disciplinary literature, research methods coursework, peer feedback, and in the present study a checkpoint-governed agentic AI assistant. The community comprises the researcher's program, advisor, and broader disciplinary field. The rules include methodological conventions, ethical norms, and institutional requirements. The division of labour is negotiated across subject, tools, and community. The object, namely a coherent research design, is produced through this distributed activity.</w:t>
      </w:r>
    </w:p>
    <w:p>
      <w:pPr>
        <w:ind w:firstLine="720"/>
      </w:pPr>
      <w:r>
        <w:rPr>
          <w:rFonts w:ascii="Times New Roman" w:hAnsi="Times New Roman"/>
          <w:b w:val="0"/>
          <w:i w:val="0"/>
          <w:sz w:val="24"/>
        </w:rPr>
        <w:t>Introducing a checkpoint-governed agentic AI into this activity system restructures the division of labour. The agentic tool assumes responsibility for generating and presenting alternatives at epistemically critical junctures, tasks that were previously distributed between the subject (through memory and imagination) and the community (through literature and advisor feedback). The subject retains decisional authority, but the scope of options they encounter is now shaped by the agentic tool's algorithmic diversity generation. Whether this redistribution produces productive tensions that expand the researcher's reasoning or disruptive contradictions that narrow it is the central empirical question.</w:t>
      </w:r>
    </w:p>
    <w:p>
      <w:pPr>
        <w:jc w:val="left"/>
      </w:pPr>
      <w:r>
        <w:rPr>
          <w:rFonts w:ascii="Times New Roman" w:hAnsi="Times New Roman"/>
          <w:b/>
          <w:i w:val="0"/>
          <w:sz w:val="24"/>
        </w:rPr>
        <w:t>Integration of HALIE and CMAA as Measurement Tools</w:t>
      </w:r>
    </w:p>
    <w:p>
      <w:pPr>
        <w:ind w:firstLine="720"/>
      </w:pPr>
      <w:r>
        <w:rPr>
          <w:rFonts w:ascii="Times New Roman" w:hAnsi="Times New Roman"/>
          <w:b w:val="0"/>
          <w:i w:val="0"/>
          <w:sz w:val="24"/>
        </w:rPr>
        <w:t>The present study uses Activity Theory as its dominant analytic lens but incorporates a two-tier quantitative measurement structure as an embedded data stream within each case portrait. The two-tier structure is developed in detail in the companion methodology paper (Author(s), in preparation). Tier 1 adapts four HALIE-based interaction metrics (prompt number, Depth of Knowledge, prompt relevance and evolution, originality) from Yang et al.'s (2025) Appendix A rubrics, plus validated self-efficacy and engagement scales from Avey et al. (2009) and Skinner et al. (2009), respectively. Tier 1 metrics are applied to both the Claude baseline and the agentic AI conditions, enabling within-subject contrast. Tier 2 consists of five Checkpoint-Mediated Agency Analysis indicators (PIR, DSE, GCA, SUD, CCI) that are specific to the agentic AI condition and that operationalize Floridi's (2025) three criteria for artificial agency.</w:t>
      </w:r>
    </w:p>
    <w:p>
      <w:pPr>
        <w:ind w:firstLine="720"/>
      </w:pPr>
      <w:r>
        <w:rPr>
          <w:rFonts w:ascii="Times New Roman" w:hAnsi="Times New Roman"/>
          <w:b w:val="0"/>
          <w:i w:val="0"/>
          <w:sz w:val="24"/>
        </w:rPr>
        <w:t>In this study, the Tier 1 and Tier 2 metrics are not the analytic foreground but serve as numeric descriptors that support the qualitative case analysis. When a participant exhibits unusually high or low indicator values relative to the other cases, the quantitative signal prompts targeted qualitative investigation of think-aloud and interview data to identify the activity-system dynamics that produced the pattern. This integration strategy follows an embedded convergent design (Morse &amp; Niehaus, 2009), with qualitative analysis dominant at the case level and quantitative indicators contributing to cross-case pattern recognition.</w:t>
      </w:r>
    </w:p>
    <w:p>
      <w:pPr>
        <w:jc w:val="center"/>
      </w:pPr>
      <w:r>
        <w:rPr>
          <w:rFonts w:ascii="Times New Roman" w:hAnsi="Times New Roman"/>
          <w:b/>
          <w:i w:val="0"/>
          <w:sz w:val="24"/>
        </w:rPr>
        <w:t>Design Research Methodology</w:t>
      </w:r>
    </w:p>
    <w:p>
      <w:pPr>
        <w:ind w:firstLine="720"/>
      </w:pPr>
      <w:r>
        <w:rPr>
          <w:rFonts w:ascii="Times New Roman" w:hAnsi="Times New Roman"/>
          <w:b w:val="0"/>
          <w:i w:val="0"/>
          <w:sz w:val="24"/>
        </w:rPr>
        <w:t>The study is a design-based research investigation following the tradition of McKenney and Reeves (2012) in which the development and evaluation of an educational intervention produces both practical artifacts (in this case, design principles for checkpoint-governed agentic AI in doctoral research education) and theoretical contributions (in this case, an activity-theoretical account of how artificial agency reshapes epistemic labour in research design). The present paper reports the empirical investigation of the first design cycle, with N = 5 doctoral participants.</w:t>
      </w:r>
    </w:p>
    <w:p>
      <w:pPr>
        <w:jc w:val="center"/>
      </w:pPr>
      <w:r>
        <w:rPr>
          <w:rFonts w:ascii="Times New Roman" w:hAnsi="Times New Roman"/>
          <w:b/>
          <w:i w:val="0"/>
          <w:sz w:val="24"/>
        </w:rPr>
        <w:t>Study Design</w:t>
      </w:r>
    </w:p>
    <w:p>
      <w:pPr>
        <w:jc w:val="left"/>
      </w:pPr>
      <w:r>
        <w:rPr>
          <w:rFonts w:ascii="Times New Roman" w:hAnsi="Times New Roman"/>
          <w:b/>
          <w:i w:val="0"/>
          <w:sz w:val="24"/>
        </w:rPr>
        <w:t>Research Context and Participants</w:t>
      </w:r>
    </w:p>
    <w:p>
      <w:pPr>
        <w:ind w:firstLine="720"/>
      </w:pPr>
      <w:r>
        <w:rPr>
          <w:rFonts w:ascii="Times New Roman" w:hAnsi="Times New Roman"/>
          <w:b w:val="0"/>
          <w:i w:val="0"/>
          <w:sz w:val="24"/>
        </w:rPr>
        <w:t>Five doctoral students in social sciences (education, psychology, sociology, communication, or related fields) are recruited from two R1 research universities using maximum-variation purposeful sampling (Patton, 2015). Inclusion criteria require enrollment in a doctoral program, completion of at least one research methods course, prior experience with at least one generative AI tool, basic command-line familiarity or willingness to learn during orientation, and availability for two Zoom sessions. Exclusion criteria eliminate prior users of the specific agentic AI system being studied, computer science or engineering majors, collaborators of the investigators, and individuals with close personal relationships with either investigator. Sampling variation is sought across four dimensions: AI knowledge level, research methodology expertise, epistemological disposition (challenge-seeking to conservative), and disciplinary identity.</w:t>
      </w:r>
    </w:p>
    <w:p>
      <w:pPr>
        <w:spacing w:line="240" w:lineRule="auto" w:before="240" w:after="0"/>
      </w:pPr>
      <w:r>
        <w:rPr>
          <w:rFonts w:ascii="Times New Roman" w:hAnsi="Times New Roman"/>
          <w:b/>
          <w:i w:val="0"/>
          <w:sz w:val="24"/>
        </w:rPr>
        <w:t>Table 1</w:t>
      </w:r>
    </w:p>
    <w:p>
      <w:pPr>
        <w:spacing w:line="240" w:lineRule="auto" w:before="0" w:after="120"/>
      </w:pPr>
      <w:r>
        <w:rPr>
          <w:rFonts w:ascii="Times New Roman" w:hAnsi="Times New Roman"/>
          <w:b w:val="0"/>
          <w:i/>
          <w:sz w:val="24"/>
        </w:rPr>
        <w:t>Maximum-Variation Sampling Dimensions</w:t>
      </w:r>
    </w:p>
    <w:tbl>
      <w:tblPr>
        <w:tblStyle w:val="TableGrid"/>
        <w:tblW w:type="auto" w:w="0"/>
        <w:jc w:val="center"/>
        <w:tblLook w:firstColumn="1" w:firstRow="1" w:lastColumn="0" w:lastRow="0" w:noHBand="0" w:noVBand="1" w:val="04A0"/>
      </w:tblPr>
      <w:tblGrid>
        <w:gridCol w:w="3120"/>
        <w:gridCol w:w="3120"/>
        <w:gridCol w:w="3120"/>
      </w:tblGrid>
      <w:tr>
        <w:tc>
          <w:tcPr>
            <w:tcW w:type="dxa" w:w="3120"/>
            <w:tcBorders>
              <w:top w:val="single" w:sz="8"/>
              <w:bottom w:val="single" w:sz="8"/>
              <w:left w:val="nil"/>
              <w:right w:val="nil"/>
              <w:insideV w:val="nil"/>
            </w:tcBorders>
          </w:tcPr>
          <w:p>
            <w:pPr>
              <w:spacing w:line="240" w:lineRule="auto" w:before="60" w:after="60"/>
              <w:jc w:val="left"/>
            </w:pPr>
            <w:r/>
            <w:r>
              <w:rPr>
                <w:rFonts w:ascii="Times New Roman" w:hAnsi="Times New Roman"/>
                <w:b/>
                <w:sz w:val="20"/>
              </w:rPr>
              <w:t>Dimension</w:t>
            </w:r>
          </w:p>
        </w:tc>
        <w:tc>
          <w:tcPr>
            <w:tcW w:type="dxa" w:w="3120"/>
            <w:tcBorders>
              <w:top w:val="single" w:sz="8"/>
              <w:bottom w:val="single" w:sz="8"/>
              <w:left w:val="nil"/>
              <w:right w:val="nil"/>
              <w:insideV w:val="nil"/>
            </w:tcBorders>
          </w:tcPr>
          <w:p>
            <w:pPr>
              <w:spacing w:line="240" w:lineRule="auto" w:before="60" w:after="60"/>
              <w:jc w:val="left"/>
            </w:pPr>
            <w:r/>
            <w:r>
              <w:rPr>
                <w:rFonts w:ascii="Times New Roman" w:hAnsi="Times New Roman"/>
                <w:b/>
                <w:sz w:val="20"/>
              </w:rPr>
              <w:t>Variation Sought</w:t>
            </w:r>
          </w:p>
        </w:tc>
        <w:tc>
          <w:tcPr>
            <w:tcW w:type="dxa" w:w="3120"/>
            <w:tcBorders>
              <w:top w:val="single" w:sz="8"/>
              <w:bottom w:val="single" w:sz="8"/>
              <w:left w:val="nil"/>
              <w:right w:val="nil"/>
              <w:insideV w:val="nil"/>
            </w:tcBorders>
          </w:tcPr>
          <w:p>
            <w:pPr>
              <w:spacing w:line="240" w:lineRule="auto" w:before="60" w:after="60"/>
              <w:jc w:val="left"/>
            </w:pPr>
            <w:r/>
            <w:r>
              <w:rPr>
                <w:rFonts w:ascii="Times New Roman" w:hAnsi="Times New Roman"/>
                <w:b/>
                <w:sz w:val="20"/>
              </w:rPr>
              <w:t>Measurement Approach</w:t>
            </w:r>
          </w:p>
        </w:tc>
      </w:tr>
      <w:tr>
        <w:tc>
          <w:tcPr>
            <w:tcW w:type="dxa" w:w="3120"/>
            <w:tcBorders>
              <w:top w:val="nil"/>
              <w:bottom w:val="nil"/>
              <w:left w:val="nil"/>
              <w:right w:val="nil"/>
              <w:insideV w:val="nil"/>
            </w:tcBorders>
          </w:tcPr>
          <w:p>
            <w:pPr>
              <w:spacing w:line="240" w:lineRule="auto" w:before="60" w:after="60"/>
              <w:jc w:val="left"/>
            </w:pPr>
            <w:r/>
            <w:r>
              <w:rPr>
                <w:rFonts w:ascii="Times New Roman" w:hAnsi="Times New Roman"/>
                <w:sz w:val="20"/>
              </w:rPr>
              <w:t>AI knowledge level</w:t>
            </w:r>
          </w:p>
        </w:tc>
        <w:tc>
          <w:tcPr>
            <w:tcW w:type="dxa" w:w="3120"/>
            <w:tcBorders>
              <w:top w:val="nil"/>
              <w:bottom w:val="nil"/>
              <w:left w:val="nil"/>
              <w:right w:val="nil"/>
              <w:insideV w:val="nil"/>
            </w:tcBorders>
          </w:tcPr>
          <w:p>
            <w:pPr>
              <w:spacing w:line="240" w:lineRule="auto" w:before="60" w:after="60"/>
              <w:jc w:val="left"/>
            </w:pPr>
            <w:r/>
            <w:r>
              <w:rPr>
                <w:rFonts w:ascii="Times New Roman" w:hAnsi="Times New Roman"/>
                <w:sz w:val="20"/>
              </w:rPr>
              <w:t>High to low</w:t>
            </w:r>
          </w:p>
        </w:tc>
        <w:tc>
          <w:tcPr>
            <w:tcW w:type="dxa" w:w="3120"/>
            <w:tcBorders>
              <w:top w:val="nil"/>
              <w:bottom w:val="nil"/>
              <w:left w:val="nil"/>
              <w:right w:val="nil"/>
              <w:insideV w:val="nil"/>
            </w:tcBorders>
          </w:tcPr>
          <w:p>
            <w:pPr>
              <w:spacing w:line="240" w:lineRule="auto" w:before="60" w:after="60"/>
              <w:jc w:val="left"/>
            </w:pPr>
            <w:r/>
            <w:r>
              <w:rPr>
                <w:rFonts w:ascii="Times New Roman" w:hAnsi="Times New Roman"/>
                <w:sz w:val="20"/>
              </w:rPr>
              <w:t>Self-reported frequency and specificity of AI tool use for research</w:t>
            </w:r>
          </w:p>
        </w:tc>
      </w:tr>
      <w:tr>
        <w:tc>
          <w:tcPr>
            <w:tcW w:type="dxa" w:w="3120"/>
            <w:tcBorders>
              <w:top w:val="nil"/>
              <w:bottom w:val="nil"/>
              <w:left w:val="nil"/>
              <w:right w:val="nil"/>
              <w:insideV w:val="nil"/>
            </w:tcBorders>
          </w:tcPr>
          <w:p>
            <w:pPr>
              <w:spacing w:line="240" w:lineRule="auto" w:before="60" w:after="60"/>
              <w:jc w:val="left"/>
            </w:pPr>
            <w:r/>
            <w:r>
              <w:rPr>
                <w:rFonts w:ascii="Times New Roman" w:hAnsi="Times New Roman"/>
                <w:sz w:val="20"/>
              </w:rPr>
              <w:t>Research methodology expertise</w:t>
            </w:r>
          </w:p>
        </w:tc>
        <w:tc>
          <w:tcPr>
            <w:tcW w:type="dxa" w:w="3120"/>
            <w:tcBorders>
              <w:top w:val="nil"/>
              <w:bottom w:val="nil"/>
              <w:left w:val="nil"/>
              <w:right w:val="nil"/>
              <w:insideV w:val="nil"/>
            </w:tcBorders>
          </w:tcPr>
          <w:p>
            <w:pPr>
              <w:spacing w:line="240" w:lineRule="auto" w:before="60" w:after="60"/>
              <w:jc w:val="left"/>
            </w:pPr>
            <w:r/>
            <w:r>
              <w:rPr>
                <w:rFonts w:ascii="Times New Roman" w:hAnsi="Times New Roman"/>
                <w:sz w:val="20"/>
              </w:rPr>
              <w:t>Advanced to novice</w:t>
            </w:r>
          </w:p>
        </w:tc>
        <w:tc>
          <w:tcPr>
            <w:tcW w:type="dxa" w:w="3120"/>
            <w:tcBorders>
              <w:top w:val="nil"/>
              <w:bottom w:val="nil"/>
              <w:left w:val="nil"/>
              <w:right w:val="nil"/>
              <w:insideV w:val="nil"/>
            </w:tcBorders>
          </w:tcPr>
          <w:p>
            <w:pPr>
              <w:spacing w:line="240" w:lineRule="auto" w:before="60" w:after="60"/>
              <w:jc w:val="left"/>
            </w:pPr>
            <w:r/>
            <w:r>
              <w:rPr>
                <w:rFonts w:ascii="Times New Roman" w:hAnsi="Times New Roman"/>
                <w:sz w:val="20"/>
              </w:rPr>
              <w:t>Number of methods courses completed, program stage, independent research outputs</w:t>
            </w:r>
          </w:p>
        </w:tc>
      </w:tr>
      <w:tr>
        <w:tc>
          <w:tcPr>
            <w:tcW w:type="dxa" w:w="3120"/>
            <w:tcBorders>
              <w:top w:val="nil"/>
              <w:bottom w:val="nil"/>
              <w:left w:val="nil"/>
              <w:right w:val="nil"/>
              <w:insideV w:val="nil"/>
            </w:tcBorders>
          </w:tcPr>
          <w:p>
            <w:pPr>
              <w:spacing w:line="240" w:lineRule="auto" w:before="60" w:after="60"/>
              <w:jc w:val="left"/>
            </w:pPr>
            <w:r/>
            <w:r>
              <w:rPr>
                <w:rFonts w:ascii="Times New Roman" w:hAnsi="Times New Roman"/>
                <w:sz w:val="20"/>
              </w:rPr>
              <w:t>Epistemological disposition</w:t>
            </w:r>
          </w:p>
        </w:tc>
        <w:tc>
          <w:tcPr>
            <w:tcW w:type="dxa" w:w="3120"/>
            <w:tcBorders>
              <w:top w:val="nil"/>
              <w:bottom w:val="nil"/>
              <w:left w:val="nil"/>
              <w:right w:val="nil"/>
              <w:insideV w:val="nil"/>
            </w:tcBorders>
          </w:tcPr>
          <w:p>
            <w:pPr>
              <w:spacing w:line="240" w:lineRule="auto" w:before="60" w:after="60"/>
              <w:jc w:val="left"/>
            </w:pPr>
            <w:r/>
            <w:r>
              <w:rPr>
                <w:rFonts w:ascii="Times New Roman" w:hAnsi="Times New Roman"/>
                <w:sz w:val="20"/>
              </w:rPr>
              <w:t>Challenge-seeking to conservative</w:t>
            </w:r>
          </w:p>
        </w:tc>
        <w:tc>
          <w:tcPr>
            <w:tcW w:type="dxa" w:w="3120"/>
            <w:tcBorders>
              <w:top w:val="nil"/>
              <w:bottom w:val="nil"/>
              <w:left w:val="nil"/>
              <w:right w:val="nil"/>
              <w:insideV w:val="nil"/>
            </w:tcBorders>
          </w:tcPr>
          <w:p>
            <w:pPr>
              <w:spacing w:line="240" w:lineRule="auto" w:before="60" w:after="60"/>
              <w:jc w:val="left"/>
            </w:pPr>
            <w:r/>
            <w:r>
              <w:rPr>
                <w:rFonts w:ascii="Times New Roman" w:hAnsi="Times New Roman"/>
                <w:sz w:val="20"/>
              </w:rPr>
              <w:t>Adapted Need for Cognition items (Cacioppo &amp; Petty, 1982) and scenario-based question</w:t>
            </w:r>
          </w:p>
        </w:tc>
      </w:tr>
      <w:tr>
        <w:tc>
          <w:tcPr>
            <w:tcW w:type="dxa" w:w="3120"/>
            <w:tcBorders>
              <w:top w:val="nil"/>
              <w:bottom w:val="single" w:sz="8"/>
              <w:left w:val="nil"/>
              <w:right w:val="nil"/>
              <w:insideV w:val="nil"/>
            </w:tcBorders>
          </w:tcPr>
          <w:p>
            <w:pPr>
              <w:spacing w:line="240" w:lineRule="auto" w:before="60" w:after="60"/>
              <w:jc w:val="left"/>
            </w:pPr>
            <w:r/>
            <w:r>
              <w:rPr>
                <w:rFonts w:ascii="Times New Roman" w:hAnsi="Times New Roman"/>
                <w:sz w:val="20"/>
              </w:rPr>
              <w:t>Disciplinary identity</w:t>
            </w:r>
          </w:p>
        </w:tc>
        <w:tc>
          <w:tcPr>
            <w:tcW w:type="dxa" w:w="3120"/>
            <w:tcBorders>
              <w:top w:val="nil"/>
              <w:bottom w:val="single" w:sz="8"/>
              <w:left w:val="nil"/>
              <w:right w:val="nil"/>
              <w:insideV w:val="nil"/>
            </w:tcBorders>
          </w:tcPr>
          <w:p>
            <w:pPr>
              <w:spacing w:line="240" w:lineRule="auto" w:before="60" w:after="60"/>
              <w:jc w:val="left"/>
            </w:pPr>
            <w:r/>
            <w:r>
              <w:rPr>
                <w:rFonts w:ascii="Times New Roman" w:hAnsi="Times New Roman"/>
                <w:sz w:val="20"/>
              </w:rPr>
              <w:t>At least two distinct fields</w:t>
            </w:r>
          </w:p>
        </w:tc>
        <w:tc>
          <w:tcPr>
            <w:tcW w:type="dxa" w:w="3120"/>
            <w:tcBorders>
              <w:top w:val="nil"/>
              <w:bottom w:val="single" w:sz="8"/>
              <w:left w:val="nil"/>
              <w:right w:val="nil"/>
              <w:insideV w:val="nil"/>
            </w:tcBorders>
          </w:tcPr>
          <w:p>
            <w:pPr>
              <w:spacing w:line="240" w:lineRule="auto" w:before="60" w:after="60"/>
              <w:jc w:val="left"/>
            </w:pPr>
            <w:r/>
            <w:r>
              <w:rPr>
                <w:rFonts w:ascii="Times New Roman" w:hAnsi="Times New Roman"/>
                <w:sz w:val="20"/>
              </w:rPr>
              <w:t>Self-identified primary field and dominant research paradigm in that field</w:t>
            </w:r>
          </w:p>
        </w:tc>
      </w:tr>
    </w:tbl>
    <w:p>
      <w:pPr>
        <w:spacing w:before="120" w:after="0"/>
      </w:pPr>
    </w:p>
    <w:p>
      <w:pPr>
        <w:jc w:val="left"/>
      </w:pPr>
      <w:r>
        <w:rPr>
          <w:rFonts w:ascii="Times New Roman" w:hAnsi="Times New Roman"/>
          <w:b/>
          <w:i w:val="0"/>
          <w:sz w:val="24"/>
        </w:rPr>
        <w:t>Research Scenarios and Counterbalancing</w:t>
      </w:r>
    </w:p>
    <w:p>
      <w:pPr>
        <w:ind w:firstLine="720"/>
      </w:pPr>
      <w:r>
        <w:rPr>
          <w:rFonts w:ascii="Times New Roman" w:hAnsi="Times New Roman"/>
          <w:b w:val="0"/>
          <w:i w:val="0"/>
          <w:sz w:val="24"/>
        </w:rPr>
        <w:t>Two research scenarios of equivalent complexity are used to support within-subject comparison. Scenario A asks participants to design a study on the impact of AI tools on K-12 student academic achievement; the modal trap in this scenario is the Technology Acceptance Model or one of its variants. Scenario B asks participants to design a study on factors shaping academic socialization and research identity formation among first-generation doctoral students from racially underrepresented groups in STEM fields; the modal trap is deficit framing. With N = 5, formal counterbalancing is statistically impossible; a partial Latin square is used with three participants receiving Scenario A in the Claude baseline condition and Scenario B in the agentic AI condition, and two participants receiving the reverse assignment. Scenario assignment is pre-registered on the Open Science Framework prior to data collection and is treated as a case-level covariate in cross-case analysis.</w:t>
      </w:r>
    </w:p>
    <w:p>
      <w:pPr>
        <w:jc w:val="left"/>
      </w:pPr>
      <w:r>
        <w:rPr>
          <w:rFonts w:ascii="Times New Roman" w:hAnsi="Times New Roman"/>
          <w:b/>
          <w:i w:val="0"/>
          <w:sz w:val="24"/>
        </w:rPr>
        <w:t>Session Protocol</w:t>
      </w:r>
    </w:p>
    <w:p>
      <w:pPr>
        <w:ind w:firstLine="720"/>
      </w:pPr>
      <w:r>
        <w:rPr>
          <w:rFonts w:ascii="Times New Roman" w:hAnsi="Times New Roman"/>
          <w:b w:val="0"/>
          <w:i w:val="0"/>
          <w:sz w:val="24"/>
        </w:rPr>
        <w:t>Each participant completes two one-on-one Zoom sessions separated by 1 to 7 days. The inter-session gap is a design parameter rather than a limitation: it reduces rote recall of the Phase 0 design, ensuring that the Phase 3 re-design task is a genuine re-reasoning event rather than a transcription exercise. Day 1 comprises Phase 0 (30 minutes: Claude baseline task with concurrent think-aloud), Phase 1 (20 minutes: orientation to the agentic AI system), and Phase 2 (60 minutes: agentic AI task with concurrent think-aloud on the alternate scenario). Day 2 comprises Phase 3 (40 minutes: re-design of the Phase 0 scenario using the agentic AI system) and Phase 4 (30 minutes: semi-structured interview with retrospective think-aloud cued by screen replay of Phases 2 and 3). Post-session self-efficacy and engagement surveys are administered after Phase 0 and again after Phase 2.</w:t>
      </w:r>
    </w:p>
    <w:p>
      <w:pPr>
        <w:spacing w:line="240" w:lineRule="auto" w:before="240" w:after="0"/>
      </w:pPr>
      <w:r>
        <w:rPr>
          <w:rFonts w:ascii="Times New Roman" w:hAnsi="Times New Roman"/>
          <w:b/>
          <w:i w:val="0"/>
          <w:sz w:val="24"/>
        </w:rPr>
        <w:t>Table 2</w:t>
      </w:r>
    </w:p>
    <w:p>
      <w:pPr>
        <w:spacing w:line="240" w:lineRule="auto" w:before="0" w:after="120"/>
      </w:pPr>
      <w:r>
        <w:rPr>
          <w:rFonts w:ascii="Times New Roman" w:hAnsi="Times New Roman"/>
          <w:b w:val="0"/>
          <w:i/>
          <w:sz w:val="24"/>
        </w:rPr>
        <w:t>Two-Day Session Protocol</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Borders>
              <w:top w:val="single" w:sz="8"/>
              <w:bottom w:val="single" w:sz="8"/>
              <w:left w:val="nil"/>
              <w:right w:val="nil"/>
              <w:insideV w:val="nil"/>
            </w:tcBorders>
          </w:tcPr>
          <w:p>
            <w:pPr>
              <w:spacing w:line="240" w:lineRule="auto" w:before="60" w:after="60"/>
              <w:jc w:val="left"/>
            </w:pPr>
            <w:r/>
            <w:r>
              <w:rPr>
                <w:rFonts w:ascii="Times New Roman" w:hAnsi="Times New Roman"/>
                <w:b/>
                <w:sz w:val="20"/>
              </w:rPr>
              <w:t>Day</w:t>
            </w:r>
          </w:p>
        </w:tc>
        <w:tc>
          <w:tcPr>
            <w:tcW w:type="dxa" w:w="1872"/>
            <w:tcBorders>
              <w:top w:val="single" w:sz="8"/>
              <w:bottom w:val="single" w:sz="8"/>
              <w:left w:val="nil"/>
              <w:right w:val="nil"/>
              <w:insideV w:val="nil"/>
            </w:tcBorders>
          </w:tcPr>
          <w:p>
            <w:pPr>
              <w:spacing w:line="240" w:lineRule="auto" w:before="60" w:after="60"/>
              <w:jc w:val="left"/>
            </w:pPr>
            <w:r/>
            <w:r>
              <w:rPr>
                <w:rFonts w:ascii="Times New Roman" w:hAnsi="Times New Roman"/>
                <w:b/>
                <w:sz w:val="20"/>
              </w:rPr>
              <w:t>Phase</w:t>
            </w:r>
          </w:p>
        </w:tc>
        <w:tc>
          <w:tcPr>
            <w:tcW w:type="dxa" w:w="1872"/>
            <w:tcBorders>
              <w:top w:val="single" w:sz="8"/>
              <w:bottom w:val="single" w:sz="8"/>
              <w:left w:val="nil"/>
              <w:right w:val="nil"/>
              <w:insideV w:val="nil"/>
            </w:tcBorders>
          </w:tcPr>
          <w:p>
            <w:pPr>
              <w:spacing w:line="240" w:lineRule="auto" w:before="60" w:after="60"/>
              <w:jc w:val="left"/>
            </w:pPr>
            <w:r/>
            <w:r>
              <w:rPr>
                <w:rFonts w:ascii="Times New Roman" w:hAnsi="Times New Roman"/>
                <w:b/>
                <w:sz w:val="20"/>
              </w:rPr>
              <w:t>Duration</w:t>
            </w:r>
          </w:p>
        </w:tc>
        <w:tc>
          <w:tcPr>
            <w:tcW w:type="dxa" w:w="1872"/>
            <w:tcBorders>
              <w:top w:val="single" w:sz="8"/>
              <w:bottom w:val="single" w:sz="8"/>
              <w:left w:val="nil"/>
              <w:right w:val="nil"/>
              <w:insideV w:val="nil"/>
            </w:tcBorders>
          </w:tcPr>
          <w:p>
            <w:pPr>
              <w:spacing w:line="240" w:lineRule="auto" w:before="60" w:after="60"/>
              <w:jc w:val="left"/>
            </w:pPr>
            <w:r/>
            <w:r>
              <w:rPr>
                <w:rFonts w:ascii="Times New Roman" w:hAnsi="Times New Roman"/>
                <w:b/>
                <w:sz w:val="20"/>
              </w:rPr>
              <w:t>Activity</w:t>
            </w:r>
          </w:p>
        </w:tc>
        <w:tc>
          <w:tcPr>
            <w:tcW w:type="dxa" w:w="1872"/>
            <w:tcBorders>
              <w:top w:val="single" w:sz="8"/>
              <w:bottom w:val="single" w:sz="8"/>
              <w:left w:val="nil"/>
              <w:right w:val="nil"/>
              <w:insideV w:val="nil"/>
            </w:tcBorders>
          </w:tcPr>
          <w:p>
            <w:pPr>
              <w:spacing w:line="240" w:lineRule="auto" w:before="60" w:after="60"/>
              <w:jc w:val="left"/>
            </w:pPr>
            <w:r/>
            <w:r>
              <w:rPr>
                <w:rFonts w:ascii="Times New Roman" w:hAnsi="Times New Roman"/>
                <w:b/>
                <w:sz w:val="20"/>
              </w:rPr>
              <w:t>Data Collected</w:t>
            </w:r>
          </w:p>
        </w:tc>
      </w:tr>
      <w:tr>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0"/>
              </w:rPr>
              <w:t>Day 1</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0"/>
              </w:rPr>
              <w:t>Phase 0: Claude baseline</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0"/>
              </w:rPr>
              <w:t>30 min</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0"/>
              </w:rPr>
              <w:t>Research design task using Claude.ai web application (Projects disabled)</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0"/>
              </w:rPr>
              <w:t>Claude transcript, browser history, artifact, think-aloud, post-session Tier 1 self-reports</w:t>
            </w:r>
          </w:p>
        </w:tc>
      </w:tr>
      <w:tr>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0"/>
              </w:rPr>
              <w:t>Day 1</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0"/>
              </w:rPr>
              <w:t>Phase 1: Orientation</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0"/>
              </w:rPr>
              <w:t>20 min</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0"/>
              </w:rPr>
              <w:t>Guided walkthrough of agentic AI checkpoint system with neutral practice scenario</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0"/>
              </w:rPr>
              <w:t>Orientation log</w:t>
            </w:r>
          </w:p>
        </w:tc>
      </w:tr>
      <w:tr>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0"/>
              </w:rPr>
              <w:t>Day 1</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0"/>
              </w:rPr>
              <w:t>Phase 2: Agentic AI novel task</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0"/>
              </w:rPr>
              <w:t>60 min</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0"/>
              </w:rPr>
              <w:t>Research design task on alternate scenario using agentic AI with concurrent think-aloud</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0"/>
              </w:rPr>
              <w:t>Screen recording, think-aloud, decision audit, agent activation log, artifact, Tier 1 self-reports</w:t>
            </w:r>
          </w:p>
        </w:tc>
      </w:tr>
      <w:tr>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0"/>
              </w:rPr>
              <w:t>Day 2</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0"/>
              </w:rPr>
              <w:t>Phase 3: Re-design</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0"/>
              </w:rPr>
              <w:t>40 min</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0"/>
              </w:rPr>
              <w:t>Re-design of Phase 0 scenario using agentic AI; retrospective think-aloud deferred</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0"/>
              </w:rPr>
              <w:t>Screen recording, decision audit, re-designed artifact</w:t>
            </w:r>
          </w:p>
        </w:tc>
      </w:tr>
      <w:tr>
        <w:tc>
          <w:tcPr>
            <w:tcW w:type="dxa" w:w="1872"/>
            <w:tcBorders>
              <w:top w:val="nil"/>
              <w:bottom w:val="single" w:sz="8"/>
              <w:left w:val="nil"/>
              <w:right w:val="nil"/>
              <w:insideV w:val="nil"/>
            </w:tcBorders>
          </w:tcPr>
          <w:p>
            <w:pPr>
              <w:spacing w:line="240" w:lineRule="auto" w:before="60" w:after="60"/>
              <w:jc w:val="left"/>
            </w:pPr>
            <w:r/>
            <w:r>
              <w:rPr>
                <w:rFonts w:ascii="Times New Roman" w:hAnsi="Times New Roman"/>
                <w:sz w:val="20"/>
              </w:rPr>
              <w:t>Day 2</w:t>
            </w:r>
          </w:p>
        </w:tc>
        <w:tc>
          <w:tcPr>
            <w:tcW w:type="dxa" w:w="1872"/>
            <w:tcBorders>
              <w:top w:val="nil"/>
              <w:bottom w:val="single" w:sz="8"/>
              <w:left w:val="nil"/>
              <w:right w:val="nil"/>
              <w:insideV w:val="nil"/>
            </w:tcBorders>
          </w:tcPr>
          <w:p>
            <w:pPr>
              <w:spacing w:line="240" w:lineRule="auto" w:before="60" w:after="60"/>
              <w:jc w:val="left"/>
            </w:pPr>
            <w:r/>
            <w:r>
              <w:rPr>
                <w:rFonts w:ascii="Times New Roman" w:hAnsi="Times New Roman"/>
                <w:sz w:val="20"/>
              </w:rPr>
              <w:t>Phase 4: Interview</w:t>
            </w:r>
          </w:p>
        </w:tc>
        <w:tc>
          <w:tcPr>
            <w:tcW w:type="dxa" w:w="1872"/>
            <w:tcBorders>
              <w:top w:val="nil"/>
              <w:bottom w:val="single" w:sz="8"/>
              <w:left w:val="nil"/>
              <w:right w:val="nil"/>
              <w:insideV w:val="nil"/>
            </w:tcBorders>
          </w:tcPr>
          <w:p>
            <w:pPr>
              <w:spacing w:line="240" w:lineRule="auto" w:before="60" w:after="60"/>
              <w:jc w:val="left"/>
            </w:pPr>
            <w:r/>
            <w:r>
              <w:rPr>
                <w:rFonts w:ascii="Times New Roman" w:hAnsi="Times New Roman"/>
                <w:sz w:val="20"/>
              </w:rPr>
              <w:t>30 min</w:t>
            </w:r>
          </w:p>
        </w:tc>
        <w:tc>
          <w:tcPr>
            <w:tcW w:type="dxa" w:w="1872"/>
            <w:tcBorders>
              <w:top w:val="nil"/>
              <w:bottom w:val="single" w:sz="8"/>
              <w:left w:val="nil"/>
              <w:right w:val="nil"/>
              <w:insideV w:val="nil"/>
            </w:tcBorders>
          </w:tcPr>
          <w:p>
            <w:pPr>
              <w:spacing w:line="240" w:lineRule="auto" w:before="60" w:after="60"/>
              <w:jc w:val="left"/>
            </w:pPr>
            <w:r/>
            <w:r>
              <w:rPr>
                <w:rFonts w:ascii="Times New Roman" w:hAnsi="Times New Roman"/>
                <w:sz w:val="20"/>
              </w:rPr>
              <w:t>Semi-structured interview with retrospective think-aloud via screen replay</w:t>
            </w:r>
          </w:p>
        </w:tc>
        <w:tc>
          <w:tcPr>
            <w:tcW w:type="dxa" w:w="1872"/>
            <w:tcBorders>
              <w:top w:val="nil"/>
              <w:bottom w:val="single" w:sz="8"/>
              <w:left w:val="nil"/>
              <w:right w:val="nil"/>
              <w:insideV w:val="nil"/>
            </w:tcBorders>
          </w:tcPr>
          <w:p>
            <w:pPr>
              <w:spacing w:line="240" w:lineRule="auto" w:before="60" w:after="60"/>
              <w:jc w:val="left"/>
            </w:pPr>
            <w:r/>
            <w:r>
              <w:rPr>
                <w:rFonts w:ascii="Times New Roman" w:hAnsi="Times New Roman"/>
                <w:sz w:val="20"/>
              </w:rPr>
              <w:t>Interview audio, retrospective think-aloud</w:t>
            </w:r>
          </w:p>
        </w:tc>
      </w:tr>
    </w:tbl>
    <w:p>
      <w:pPr>
        <w:spacing w:before="120" w:after="0"/>
      </w:pPr>
    </w:p>
    <w:p>
      <w:pPr>
        <w:jc w:val="left"/>
      </w:pPr>
      <w:r>
        <w:rPr>
          <w:rFonts w:ascii="Times New Roman" w:hAnsi="Times New Roman"/>
          <w:b/>
          <w:i w:val="0"/>
          <w:sz w:val="24"/>
        </w:rPr>
        <w:t>Data Sources</w:t>
      </w:r>
    </w:p>
    <w:p>
      <w:pPr>
        <w:ind w:firstLine="720"/>
      </w:pPr>
      <w:r>
        <w:rPr>
          <w:rFonts w:ascii="Times New Roman" w:hAnsi="Times New Roman"/>
          <w:b w:val="0"/>
          <w:i w:val="0"/>
          <w:sz w:val="24"/>
        </w:rPr>
        <w:t>Data collection produces a multi-modal corpus for each participant, combining quantitative telemetry from the agentic AI system with qualitative data from think-aloud, interview, and artifact sources. Table 4 summarizes the data sources and their primary analytic use. The Claude baseline condition produces chat transcripts and browser history logs that are coded post-hoc for Tier 1 metrics; the agentic AI condition produces a decision audit database that supports automated computation of Tier 2 CMAA indicators; and think-aloud and interview data support activity-theoretical contradiction coding.</w:t>
      </w:r>
    </w:p>
    <w:p>
      <w:pPr>
        <w:spacing w:line="240" w:lineRule="auto" w:before="240" w:after="0"/>
      </w:pPr>
      <w:r>
        <w:rPr>
          <w:rFonts w:ascii="Times New Roman" w:hAnsi="Times New Roman"/>
          <w:b/>
          <w:i w:val="0"/>
          <w:sz w:val="24"/>
        </w:rPr>
        <w:t>Table 3</w:t>
      </w:r>
    </w:p>
    <w:p>
      <w:pPr>
        <w:spacing w:line="240" w:lineRule="auto" w:before="0" w:after="120"/>
      </w:pPr>
      <w:r>
        <w:rPr>
          <w:rFonts w:ascii="Times New Roman" w:hAnsi="Times New Roman"/>
          <w:b w:val="0"/>
          <w:i/>
          <w:sz w:val="24"/>
        </w:rPr>
        <w:t>Data Sources and Analytic Use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Borders>
              <w:top w:val="single" w:sz="8"/>
              <w:bottom w:val="single" w:sz="8"/>
              <w:left w:val="nil"/>
              <w:right w:val="nil"/>
              <w:insideV w:val="nil"/>
            </w:tcBorders>
          </w:tcPr>
          <w:p>
            <w:pPr>
              <w:spacing w:line="240" w:lineRule="auto" w:before="60" w:after="60"/>
              <w:jc w:val="left"/>
            </w:pPr>
            <w:r/>
            <w:r>
              <w:rPr>
                <w:rFonts w:ascii="Times New Roman" w:hAnsi="Times New Roman"/>
                <w:b/>
                <w:sz w:val="20"/>
              </w:rPr>
              <w:t>Data Source</w:t>
            </w:r>
          </w:p>
        </w:tc>
        <w:tc>
          <w:tcPr>
            <w:tcW w:type="dxa" w:w="1872"/>
            <w:tcBorders>
              <w:top w:val="single" w:sz="8"/>
              <w:bottom w:val="single" w:sz="8"/>
              <w:left w:val="nil"/>
              <w:right w:val="nil"/>
              <w:insideV w:val="nil"/>
            </w:tcBorders>
          </w:tcPr>
          <w:p>
            <w:pPr>
              <w:spacing w:line="240" w:lineRule="auto" w:before="60" w:after="60"/>
              <w:jc w:val="left"/>
            </w:pPr>
            <w:r/>
            <w:r>
              <w:rPr>
                <w:rFonts w:ascii="Times New Roman" w:hAnsi="Times New Roman"/>
                <w:b/>
                <w:sz w:val="20"/>
              </w:rPr>
              <w:t>Collection Method</w:t>
            </w:r>
          </w:p>
        </w:tc>
        <w:tc>
          <w:tcPr>
            <w:tcW w:type="dxa" w:w="1872"/>
            <w:tcBorders>
              <w:top w:val="single" w:sz="8"/>
              <w:bottom w:val="single" w:sz="8"/>
              <w:left w:val="nil"/>
              <w:right w:val="nil"/>
              <w:insideV w:val="nil"/>
            </w:tcBorders>
          </w:tcPr>
          <w:p>
            <w:pPr>
              <w:spacing w:line="240" w:lineRule="auto" w:before="60" w:after="60"/>
              <w:jc w:val="left"/>
            </w:pPr>
            <w:r/>
            <w:r>
              <w:rPr>
                <w:rFonts w:ascii="Times New Roman" w:hAnsi="Times New Roman"/>
                <w:b/>
                <w:sz w:val="20"/>
              </w:rPr>
              <w:t>Tier 1 Use</w:t>
            </w:r>
          </w:p>
        </w:tc>
        <w:tc>
          <w:tcPr>
            <w:tcW w:type="dxa" w:w="1872"/>
            <w:tcBorders>
              <w:top w:val="single" w:sz="8"/>
              <w:bottom w:val="single" w:sz="8"/>
              <w:left w:val="nil"/>
              <w:right w:val="nil"/>
              <w:insideV w:val="nil"/>
            </w:tcBorders>
          </w:tcPr>
          <w:p>
            <w:pPr>
              <w:spacing w:line="240" w:lineRule="auto" w:before="60" w:after="60"/>
              <w:jc w:val="left"/>
            </w:pPr>
            <w:r/>
            <w:r>
              <w:rPr>
                <w:rFonts w:ascii="Times New Roman" w:hAnsi="Times New Roman"/>
                <w:b/>
                <w:sz w:val="20"/>
              </w:rPr>
              <w:t>Tier 2 Use</w:t>
            </w:r>
          </w:p>
        </w:tc>
        <w:tc>
          <w:tcPr>
            <w:tcW w:type="dxa" w:w="1872"/>
            <w:tcBorders>
              <w:top w:val="single" w:sz="8"/>
              <w:bottom w:val="single" w:sz="8"/>
              <w:left w:val="nil"/>
              <w:right w:val="nil"/>
              <w:insideV w:val="nil"/>
            </w:tcBorders>
          </w:tcPr>
          <w:p>
            <w:pPr>
              <w:spacing w:line="240" w:lineRule="auto" w:before="60" w:after="60"/>
              <w:jc w:val="left"/>
            </w:pPr>
            <w:r/>
            <w:r>
              <w:rPr>
                <w:rFonts w:ascii="Times New Roman" w:hAnsi="Times New Roman"/>
                <w:b/>
                <w:sz w:val="20"/>
              </w:rPr>
              <w:t>AT Coding Use</w:t>
            </w:r>
          </w:p>
        </w:tc>
      </w:tr>
      <w:tr>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0"/>
              </w:rPr>
              <w:t>Claude transcript</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0"/>
              </w:rPr>
              <w:t>Web app export</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0"/>
              </w:rPr>
              <w:t>DoK, relevance, originality coding</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0"/>
              </w:rPr>
              <w:t>PIR reference (~0)</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0"/>
              </w:rPr>
              <w:t>Baseline narrative</w:t>
            </w:r>
          </w:p>
        </w:tc>
      </w:tr>
      <w:tr>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0"/>
              </w:rPr>
              <w:t>Browser history</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0"/>
              </w:rPr>
              <w:t>Browser export with consent</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0"/>
              </w:rPr>
              <w:t>Originality attribution</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0"/>
              </w:rPr>
              <w:t>Not applicable</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0"/>
              </w:rPr>
              <w:t>Ecological context</w:t>
            </w:r>
          </w:p>
        </w:tc>
      </w:tr>
      <w:tr>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0"/>
              </w:rPr>
              <w:t>Decision audit database</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0"/>
              </w:rPr>
              <w:t>System export</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0"/>
              </w:rPr>
              <w:t>Prompt count equivalent</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0"/>
              </w:rPr>
              <w:t>All 5 CMAA indicators</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0"/>
              </w:rPr>
              <w:t>Case narrative evidence</w:t>
            </w:r>
          </w:p>
        </w:tc>
      </w:tr>
      <w:tr>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0"/>
              </w:rPr>
              <w:t>Agent activation log</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0"/>
              </w:rPr>
              <w:t>MCP runtime log</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0"/>
              </w:rPr>
              <w:t>Not applicable</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0"/>
              </w:rPr>
              <w:t>CCI computation</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0"/>
              </w:rPr>
              <w:t>Supplementary descriptor</w:t>
            </w:r>
          </w:p>
        </w:tc>
      </w:tr>
      <w:tr>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0"/>
              </w:rPr>
              <w:t>Screen recording</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0"/>
              </w:rPr>
              <w:t>Zoom cloud</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0"/>
              </w:rPr>
              <w:t>Behavioral timing</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0"/>
              </w:rPr>
              <w:t>Telemetry verification</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0"/>
              </w:rPr>
              <w:t>Retrospective replay cue</w:t>
            </w:r>
          </w:p>
        </w:tc>
      </w:tr>
      <w:tr>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0"/>
              </w:rPr>
              <w:t>Concurrent think-aloud</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0"/>
              </w:rPr>
              <w:t>Audio during Phases 0 and 2</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0"/>
              </w:rPr>
              <w:t>Qualitative anchors</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0"/>
              </w:rPr>
              <w:t>Qualitative anchors for CMAA</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0"/>
              </w:rPr>
              <w:t>Primary contradiction data</w:t>
            </w:r>
          </w:p>
        </w:tc>
      </w:tr>
      <w:tr>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0"/>
              </w:rPr>
              <w:t>Retrospective think-aloud</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0"/>
              </w:rPr>
              <w:t>Audio during Phases 3-4</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0"/>
              </w:rPr>
              <w:t>Rationale clarification</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0"/>
              </w:rPr>
              <w:t>Checkpoint rationale</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0"/>
              </w:rPr>
              <w:t>Case interpretation</w:t>
            </w:r>
          </w:p>
        </w:tc>
      </w:tr>
      <w:tr>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0"/>
              </w:rPr>
              <w:t>Self-report surveys</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0"/>
              </w:rPr>
              <w:t>Post-Phase 0 and post-Phase 2</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0"/>
              </w:rPr>
              <w:t>Self-efficacy, engagement</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0"/>
              </w:rPr>
              <w:t>Not applicable</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0"/>
              </w:rPr>
              <w:t>Subjective experience evidence</w:t>
            </w:r>
          </w:p>
        </w:tc>
      </w:tr>
      <w:tr>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0"/>
              </w:rPr>
              <w:t>Research design artifacts</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0"/>
              </w:rPr>
              <w:t>Saved outputs</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0"/>
              </w:rPr>
              <w:t>Originality, performance</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0"/>
              </w:rPr>
              <w:t>Decision space comparison</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0"/>
              </w:rPr>
              <w:t>Object of activity</w:t>
            </w:r>
          </w:p>
        </w:tc>
      </w:tr>
      <w:tr>
        <w:tc>
          <w:tcPr>
            <w:tcW w:type="dxa" w:w="1872"/>
            <w:tcBorders>
              <w:top w:val="nil"/>
              <w:bottom w:val="single" w:sz="8"/>
              <w:left w:val="nil"/>
              <w:right w:val="nil"/>
              <w:insideV w:val="nil"/>
            </w:tcBorders>
          </w:tcPr>
          <w:p>
            <w:pPr>
              <w:spacing w:line="240" w:lineRule="auto" w:before="60" w:after="60"/>
              <w:jc w:val="left"/>
            </w:pPr>
            <w:r/>
            <w:r>
              <w:rPr>
                <w:rFonts w:ascii="Times New Roman" w:hAnsi="Times New Roman"/>
                <w:sz w:val="20"/>
              </w:rPr>
              <w:t>Semi-structured interview</w:t>
            </w:r>
          </w:p>
        </w:tc>
        <w:tc>
          <w:tcPr>
            <w:tcW w:type="dxa" w:w="1872"/>
            <w:tcBorders>
              <w:top w:val="nil"/>
              <w:bottom w:val="single" w:sz="8"/>
              <w:left w:val="nil"/>
              <w:right w:val="nil"/>
              <w:insideV w:val="nil"/>
            </w:tcBorders>
          </w:tcPr>
          <w:p>
            <w:pPr>
              <w:spacing w:line="240" w:lineRule="auto" w:before="60" w:after="60"/>
              <w:jc w:val="left"/>
            </w:pPr>
            <w:r/>
            <w:r>
              <w:rPr>
                <w:rFonts w:ascii="Times New Roman" w:hAnsi="Times New Roman"/>
                <w:sz w:val="20"/>
              </w:rPr>
              <w:t>Audio during Phase 4</w:t>
            </w:r>
          </w:p>
        </w:tc>
        <w:tc>
          <w:tcPr>
            <w:tcW w:type="dxa" w:w="1872"/>
            <w:tcBorders>
              <w:top w:val="nil"/>
              <w:bottom w:val="single" w:sz="8"/>
              <w:left w:val="nil"/>
              <w:right w:val="nil"/>
              <w:insideV w:val="nil"/>
            </w:tcBorders>
          </w:tcPr>
          <w:p>
            <w:pPr>
              <w:spacing w:line="240" w:lineRule="auto" w:before="60" w:after="60"/>
              <w:jc w:val="left"/>
            </w:pPr>
            <w:r/>
            <w:r>
              <w:rPr>
                <w:rFonts w:ascii="Times New Roman" w:hAnsi="Times New Roman"/>
                <w:sz w:val="20"/>
              </w:rPr>
              <w:t>Limited use</w:t>
            </w:r>
          </w:p>
        </w:tc>
        <w:tc>
          <w:tcPr>
            <w:tcW w:type="dxa" w:w="1872"/>
            <w:tcBorders>
              <w:top w:val="nil"/>
              <w:bottom w:val="single" w:sz="8"/>
              <w:left w:val="nil"/>
              <w:right w:val="nil"/>
              <w:insideV w:val="nil"/>
            </w:tcBorders>
          </w:tcPr>
          <w:p>
            <w:pPr>
              <w:spacing w:line="240" w:lineRule="auto" w:before="60" w:after="60"/>
              <w:jc w:val="left"/>
            </w:pPr>
            <w:r/>
            <w:r>
              <w:rPr>
                <w:rFonts w:ascii="Times New Roman" w:hAnsi="Times New Roman"/>
                <w:sz w:val="20"/>
              </w:rPr>
              <w:t>Limited use</w:t>
            </w:r>
          </w:p>
        </w:tc>
        <w:tc>
          <w:tcPr>
            <w:tcW w:type="dxa" w:w="1872"/>
            <w:tcBorders>
              <w:top w:val="nil"/>
              <w:bottom w:val="single" w:sz="8"/>
              <w:left w:val="nil"/>
              <w:right w:val="nil"/>
              <w:insideV w:val="nil"/>
            </w:tcBorders>
          </w:tcPr>
          <w:p>
            <w:pPr>
              <w:spacing w:line="240" w:lineRule="auto" w:before="60" w:after="60"/>
              <w:jc w:val="left"/>
            </w:pPr>
            <w:r/>
            <w:r>
              <w:rPr>
                <w:rFonts w:ascii="Times New Roman" w:hAnsi="Times New Roman"/>
                <w:sz w:val="20"/>
              </w:rPr>
              <w:t>Primary interview data</w:t>
            </w:r>
          </w:p>
        </w:tc>
      </w:tr>
    </w:tbl>
    <w:p>
      <w:pPr>
        <w:spacing w:before="120" w:after="0"/>
      </w:pPr>
    </w:p>
    <w:p>
      <w:pPr>
        <w:jc w:val="center"/>
      </w:pPr>
      <w:r>
        <w:rPr>
          <w:rFonts w:ascii="Times New Roman" w:hAnsi="Times New Roman"/>
          <w:b/>
          <w:i w:val="0"/>
          <w:sz w:val="24"/>
        </w:rPr>
        <w:t>Analysis Plan</w:t>
      </w:r>
    </w:p>
    <w:p>
      <w:pPr>
        <w:jc w:val="left"/>
      </w:pPr>
      <w:r>
        <w:rPr>
          <w:rFonts w:ascii="Times New Roman" w:hAnsi="Times New Roman"/>
          <w:b/>
          <w:i w:val="0"/>
          <w:sz w:val="24"/>
        </w:rPr>
        <w:t>Within-Case Analysis</w:t>
      </w:r>
    </w:p>
    <w:p>
      <w:pPr>
        <w:ind w:firstLine="720"/>
      </w:pPr>
      <w:r>
        <w:rPr>
          <w:rFonts w:ascii="Times New Roman" w:hAnsi="Times New Roman"/>
          <w:b w:val="0"/>
          <w:i w:val="0"/>
          <w:sz w:val="24"/>
        </w:rPr>
        <w:t>Within-case analysis reconstructs each participant's journey through the five phases as a chronological narrative integrating think-aloud, screen recording, Tier 1 and Tier 2 indicators, artifacts, and interview reflections. Each case portrait includes the participant profile across the four sampling dimensions, the scenario assignment and phase-by-phase summary, identification of checkpoint moments where observable tension or deliberation occurred, indicator values as supporting numeric descriptors, and interview-derived reflective interpretation.</w:t>
      </w:r>
    </w:p>
    <w:p>
      <w:pPr>
        <w:jc w:val="left"/>
      </w:pPr>
      <w:r>
        <w:rPr>
          <w:rFonts w:ascii="Times New Roman" w:hAnsi="Times New Roman"/>
          <w:b/>
          <w:i w:val="0"/>
          <w:sz w:val="24"/>
        </w:rPr>
        <w:t>Cross-Case Analysis and Contradiction Coding</w:t>
      </w:r>
    </w:p>
    <w:p>
      <w:pPr>
        <w:ind w:firstLine="720"/>
      </w:pPr>
      <w:r>
        <w:rPr>
          <w:rFonts w:ascii="Times New Roman" w:hAnsi="Times New Roman"/>
          <w:b w:val="0"/>
          <w:i w:val="0"/>
          <w:sz w:val="24"/>
        </w:rPr>
        <w:t>Cross-case analysis uses Engestrom's (1987) four-level contradiction typology as the primary analytic frame. Contradictions are coded at four levels: primary (within a single component), secondary (between components), tertiary (between a dominant and a more advanced activity form), and quaternary (between neighboring activity systems). Two coders code independently, with inter-rater reliability reported using Cohen's kappa and disagreements adjudicated by the Principal Investigator. The second coder works from anonymized transcripts without access to the agentic AI system's decision audit database, ensuring that qualitative interpretation is not anchored by quantitative patterns. A case-ordered descriptive matrix (Miles et al., 2020) organizes participants by AI knowledge level, with columns for checkpoint engagement pattern, dominant contradiction type, Tier 1 and Tier 2 indicator pattern, and perceived scaffolding value.</w:t>
      </w:r>
    </w:p>
    <w:p>
      <w:pPr>
        <w:jc w:val="left"/>
      </w:pPr>
      <w:r>
        <w:rPr>
          <w:rFonts w:ascii="Times New Roman" w:hAnsi="Times New Roman"/>
          <w:b/>
          <w:i w:val="0"/>
          <w:sz w:val="24"/>
        </w:rPr>
        <w:t>Independent Performance Evaluation</w:t>
      </w:r>
    </w:p>
    <w:p>
      <w:pPr>
        <w:ind w:firstLine="720"/>
      </w:pPr>
      <w:r>
        <w:rPr>
          <w:rFonts w:ascii="Times New Roman" w:hAnsi="Times New Roman"/>
          <w:b w:val="0"/>
          <w:i w:val="0"/>
          <w:sz w:val="24"/>
        </w:rPr>
        <w:t>Research design quality is evaluated using a four-dimension rubric developed for this study, scoring research question clarity, theoretical grounding, method-question alignment, and ethical consideration on four-level scales. Following the bias mitigation approach of Yang et al. (2025), in which one co-author conducted performance evaluation independently of the instructional team, the evaluation in the present study is conducted by the Principal Investigator, who did not develop the agentic AI system. Evaluation is blind to condition: artifacts from Phase 0 and Phase 2 are presented with identifying labels removed and in randomized order. Inter-rater reliability is established during a pilot phase with one external educational research methodologist, and Cohen's kappa is reported. Final scoring is conducted by the Principal Investigator after reliability is established.</w:t>
      </w:r>
    </w:p>
    <w:p>
      <w:pPr>
        <w:jc w:val="left"/>
      </w:pPr>
      <w:r>
        <w:rPr>
          <w:rFonts w:ascii="Times New Roman" w:hAnsi="Times New Roman"/>
          <w:b/>
          <w:i w:val="0"/>
          <w:sz w:val="24"/>
        </w:rPr>
        <w:t>Mixed Methods Integration</w:t>
      </w:r>
    </w:p>
    <w:p>
      <w:pPr>
        <w:ind w:firstLine="720"/>
      </w:pPr>
      <w:r>
        <w:rPr>
          <w:rFonts w:ascii="Times New Roman" w:hAnsi="Times New Roman"/>
          <w:b w:val="0"/>
          <w:i w:val="0"/>
          <w:sz w:val="24"/>
        </w:rPr>
        <w:t>Integration follows an embedded convergent design (Morse &amp; Niehaus, 2009), notated as QUAL(quan) + qual. The qualitative activity-theoretical analysis is dominant, with Tier 1 and Tier 2 quantitative indicators embedded as supporting descriptors within each case portrait, and interview data integrated concurrently at the case level. Cross-case synthesis uses joint displays (Guetterman et al., 2015) that align quantitative indicator patterns with qualitative contradiction themes, enabling identification of where the two data streams converge or diverge and how learner characteristics mediate the pattern.</w:t>
      </w:r>
    </w:p>
    <w:p>
      <w:pPr>
        <w:jc w:val="center"/>
      </w:pPr>
      <w:r>
        <w:rPr>
          <w:rFonts w:ascii="Times New Roman" w:hAnsi="Times New Roman"/>
          <w:b/>
          <w:i w:val="0"/>
          <w:sz w:val="24"/>
        </w:rPr>
        <w:t>Emerging Design Principles</w:t>
      </w:r>
    </w:p>
    <w:p>
      <w:pPr>
        <w:ind w:firstLine="720"/>
      </w:pPr>
      <w:r>
        <w:rPr>
          <w:rFonts w:ascii="Times New Roman" w:hAnsi="Times New Roman"/>
          <w:b w:val="0"/>
          <w:i w:val="0"/>
          <w:sz w:val="24"/>
        </w:rPr>
        <w:t>The design-based research tradition produces theoretical contributions in the form of design principles that generalize beyond the specific artifact studied. Three design principles are anticipated from the present study based on prior design cycles of the agentic AI system and pilot observations. First, checkpoint governance should be enforced architecturally through hard constraints rather than suggested through soft prompts, because the difference between architecturally claimed oversight and actually enforced oversight is methodologically meaningful. Second, alternative generation at checkpoints should span a typicality spectrum from modal to novel, because expanding the decision space is the mechanism through which checkpoint-governed agentic AI differs from standard generative AI. Third, the participant retains decisional authority at every checkpoint, because artificial agency is defined by bounded autonomy (Floridi, 2025), not by displacement of human judgment. Additional design principles are expected to emerge from the empirical findings of the cross-case analysis.</w:t>
      </w:r>
    </w:p>
    <w:p>
      <w:pPr>
        <w:jc w:val="center"/>
      </w:pPr>
      <w:r>
        <w:rPr>
          <w:rFonts w:ascii="Times New Roman" w:hAnsi="Times New Roman"/>
          <w:b/>
          <w:i w:val="0"/>
          <w:sz w:val="24"/>
        </w:rPr>
        <w:t>Discussion</w:t>
      </w:r>
    </w:p>
    <w:p>
      <w:pPr>
        <w:jc w:val="left"/>
      </w:pPr>
      <w:r>
        <w:rPr>
          <w:rFonts w:ascii="Times New Roman" w:hAnsi="Times New Roman"/>
          <w:b/>
          <w:i w:val="0"/>
          <w:sz w:val="24"/>
        </w:rPr>
        <w:t>Theoretical Contributions</w:t>
      </w:r>
    </w:p>
    <w:p>
      <w:pPr>
        <w:ind w:firstLine="720"/>
      </w:pPr>
      <w:r>
        <w:rPr>
          <w:rFonts w:ascii="Times New Roman" w:hAnsi="Times New Roman"/>
          <w:b w:val="0"/>
          <w:i w:val="0"/>
          <w:sz w:val="24"/>
        </w:rPr>
        <w:t>Three theoretical contributions are anticipated. First, the study extends the application of Engestrom's (1987) activity theory to a novel class of tool-mediated activity, namely checkpoint-governed agentic AI in doctoral research training, and it does so with empirical grounding in five maximum-variation cases. Second, the study contributes to the understanding of how artificial agency as defined by Floridi (2025) reshapes epistemic labour at the level of individual researchers, complementing the broader systems-level analyses that have dominated the artificial agency literature. Third, the study demonstrates the viability of a two-tier measurement structure that preserves continuity with prior BJET-published work on generative AI (Yang et al., 2025) while adding architecture-specific indicators for agentic AI.</w:t>
      </w:r>
    </w:p>
    <w:p>
      <w:pPr>
        <w:jc w:val="left"/>
      </w:pPr>
      <w:r>
        <w:rPr>
          <w:rFonts w:ascii="Times New Roman" w:hAnsi="Times New Roman"/>
          <w:b/>
          <w:i w:val="0"/>
          <w:sz w:val="24"/>
        </w:rPr>
        <w:t>Reflexivity and Limitations</w:t>
      </w:r>
    </w:p>
    <w:p>
      <w:pPr>
        <w:ind w:firstLine="720"/>
      </w:pPr>
      <w:r>
        <w:rPr>
          <w:rFonts w:ascii="Times New Roman" w:hAnsi="Times New Roman"/>
          <w:b w:val="0"/>
          <w:i w:val="0"/>
          <w:sz w:val="24"/>
        </w:rPr>
        <w:t>Four limitations must be acknowledged. First, the Co-Investigator is the developer of the agentic AI system studied here. This dual role is mitigated through structural controls: a neutral coordinator facilitates data collection sessions (the Co-Investigator is not present), the Principal Investigator (who did not develop the system) leads qualitative contradiction coding and conducts the independent performance evaluation, the second coder works from anonymized transcripts without access to decision audit data, and all analysis materials are archived on the Open Science Framework for independent audit. These controls follow the bias mitigation precedent established by Yang et al. (2025). Second, N = 5 does not support statistical generalization; the study supports theoretical generalization through maximum-variation purposeful sampling and within-case and cross-case analytic depth. Third, the two-day protocol may not capture longer-term trajectories of engagement that develop over semesters or years of AI use. Fourth, the agentic AI system studied is a single reference implementation; transferability of findings to other agentic architectures requires follow-up studies.</w:t>
      </w:r>
    </w:p>
    <w:p>
      <w:pPr>
        <w:jc w:val="left"/>
      </w:pPr>
      <w:r>
        <w:rPr>
          <w:rFonts w:ascii="Times New Roman" w:hAnsi="Times New Roman"/>
          <w:b/>
          <w:i w:val="0"/>
          <w:sz w:val="24"/>
        </w:rPr>
        <w:t>Implications for Practice</w:t>
      </w:r>
    </w:p>
    <w:p>
      <w:pPr>
        <w:ind w:firstLine="720"/>
      </w:pPr>
      <w:r>
        <w:rPr>
          <w:rFonts w:ascii="Times New Roman" w:hAnsi="Times New Roman"/>
          <w:b w:val="0"/>
          <w:i w:val="0"/>
          <w:sz w:val="24"/>
        </w:rPr>
        <w:t>Three implications follow for practice. For developers of educational agentic AI systems, the design principles identified in this study (architectural checkpoint enforcement, typicality spectrum alternative generation, bounded-autonomy decisional authority) provide a starting point for future design. For doctoral program faculty and methods instructors, the identified contradictions between scaffolding intent and actual engagement suggest points of curricular intervention, particularly in helping students develop the metacognitive awareness to recognize and resist modal bias. For institutional review boards and research ethics committees, the dual-role considerations and the multi-site SMART IRB reliance structure used in this study offer a concrete template for evaluating developer-investigator studies of emerging AI systems.</w:t>
      </w:r>
    </w:p>
    <w:p>
      <w:pPr>
        <w:jc w:val="center"/>
      </w:pPr>
      <w:r>
        <w:rPr>
          <w:rFonts w:ascii="Times New Roman" w:hAnsi="Times New Roman"/>
          <w:b/>
          <w:i w:val="0"/>
          <w:sz w:val="24"/>
        </w:rPr>
        <w:t>Conclusion</w:t>
      </w:r>
    </w:p>
    <w:p>
      <w:pPr>
        <w:ind w:firstLine="720"/>
      </w:pPr>
      <w:r>
        <w:rPr>
          <w:rFonts w:ascii="Times New Roman" w:hAnsi="Times New Roman"/>
          <w:b w:val="0"/>
          <w:i w:val="0"/>
          <w:sz w:val="24"/>
        </w:rPr>
        <w:t>This paper has presented the design, protocol, and analysis plan for a multiple case study of doctoral researchers' engagement with checkpoint-governed agentic AI, grounded in cultural-historical activity theory and anchored methodologically in Yang et al.'s (2025) recent BJET study of generative AI interaction. By adopting a two-tier measurement structure that extends HALIE-based metrics to agentic AI and adds five checkpoint-specific indicators, the study bridges prior work on standard generative AI with the emerging study of agentic systems. The design-based research approach, the explicit attention to activity-system contradictions, and the bias mitigation protocol together provide a replicable template for investigating how artificial agency reshapes doctoral research training in an era when both the AI systems and the educational practices they mediate are rapidly evolving.</w:t>
      </w:r>
    </w:p>
    <w:p>
      <w:r>
        <w:br w:type="page"/>
      </w:r>
    </w:p>
    <w:p>
      <w:pPr>
        <w:jc w:val="center"/>
      </w:pPr>
      <w:r>
        <w:rPr>
          <w:rFonts w:ascii="Times New Roman" w:hAnsi="Times New Roman"/>
          <w:b/>
          <w:i w:val="0"/>
          <w:sz w:val="24"/>
        </w:rPr>
        <w:t>References</w:t>
      </w:r>
    </w:p>
    <w:p>
      <w:pPr>
        <w:ind w:left="720" w:hanging="720"/>
      </w:pPr>
      <w:r>
        <w:rPr>
          <w:rFonts w:ascii="Times New Roman" w:hAnsi="Times New Roman"/>
          <w:b w:val="0"/>
          <w:i w:val="0"/>
          <w:sz w:val="24"/>
        </w:rPr>
        <w:t>Acharya, D. B., Kuppan, K., &amp; Divya, B. (2025). Agentic AI: Autonomous intelligence for complex goals: A comprehensive survey. IEEE Access, 13, 18912–18936.</w:t>
      </w:r>
    </w:p>
    <w:p>
      <w:pPr>
        <w:ind w:left="720" w:hanging="720"/>
      </w:pPr>
      <w:r>
        <w:rPr>
          <w:rFonts w:ascii="Times New Roman" w:hAnsi="Times New Roman"/>
          <w:b w:val="0"/>
          <w:i w:val="0"/>
          <w:sz w:val="24"/>
        </w:rPr>
        <w:t>Avey, J. B., Luthans, F., &amp; Jensen, S. M. (2009). Psychological capital: A positive resource for combating employee stress and turnover. Human Resource Management, 48(5), 677–693. https://doi.org/10.1002/hrm.20294</w:t>
      </w:r>
    </w:p>
    <w:p>
      <w:pPr>
        <w:ind w:left="720" w:hanging="720"/>
      </w:pPr>
      <w:r>
        <w:rPr>
          <w:rFonts w:ascii="Times New Roman" w:hAnsi="Times New Roman"/>
          <w:b w:val="0"/>
          <w:i w:val="0"/>
          <w:sz w:val="24"/>
        </w:rPr>
        <w:t>Cacioppo, J. T., &amp; Petty, R. E. (1982). The need for cognition. Journal of Personality and Social Psychology, 42(1), 116–131. https://doi.org/10.1037/0022-3514.42.1.116</w:t>
      </w:r>
    </w:p>
    <w:p>
      <w:pPr>
        <w:ind w:left="720" w:hanging="720"/>
      </w:pPr>
      <w:r>
        <w:rPr>
          <w:rFonts w:ascii="Times New Roman" w:hAnsi="Times New Roman"/>
          <w:b w:val="0"/>
          <w:i w:val="0"/>
          <w:sz w:val="24"/>
        </w:rPr>
        <w:t>Engestrom, Y. (1987). Learning by expanding: An activity-theoretical approach to developmental research. Orienta-Konsultit.</w:t>
      </w:r>
    </w:p>
    <w:p>
      <w:pPr>
        <w:ind w:left="720" w:hanging="720"/>
      </w:pPr>
      <w:r>
        <w:rPr>
          <w:rFonts w:ascii="Times New Roman" w:hAnsi="Times New Roman"/>
          <w:b w:val="0"/>
          <w:i w:val="0"/>
          <w:sz w:val="24"/>
        </w:rPr>
        <w:t>Floridi, L. (2025). AI as agency without intelligence: On artificial intelligence as a new form of artificial agency and the multiple realisability of agency thesis. Philosophy &amp; Technology, 38, Article 30.</w:t>
      </w:r>
    </w:p>
    <w:p>
      <w:pPr>
        <w:ind w:left="720" w:hanging="720"/>
      </w:pPr>
      <w:r>
        <w:rPr>
          <w:rFonts w:ascii="Times New Roman" w:hAnsi="Times New Roman"/>
          <w:b w:val="0"/>
          <w:i w:val="0"/>
          <w:sz w:val="24"/>
        </w:rPr>
        <w:t>Fredricks, J. A., Blumenfeld, P. C., &amp; Paris, A. H. (2004). School engagement: Potential of the concept, state of the evidence. Review of Educational Research, 74(1), 59–109. https://doi.org/10.3102/00346543074001059</w:t>
      </w:r>
    </w:p>
    <w:p>
      <w:pPr>
        <w:ind w:left="720" w:hanging="720"/>
      </w:pPr>
      <w:r>
        <w:rPr>
          <w:rFonts w:ascii="Times New Roman" w:hAnsi="Times New Roman"/>
          <w:b w:val="0"/>
          <w:i w:val="0"/>
          <w:sz w:val="24"/>
        </w:rPr>
        <w:t>Guetterman, T. C., Fetters, M. D., &amp; Creswell, J. W. (2015). Integrating quantitative and qualitative results in health science mixed methods research through joint displays. Annals of Family Medicine, 13(6), 554–561.</w:t>
      </w:r>
    </w:p>
    <w:p>
      <w:pPr>
        <w:ind w:left="720" w:hanging="720"/>
      </w:pPr>
      <w:r>
        <w:rPr>
          <w:rFonts w:ascii="Times New Roman" w:hAnsi="Times New Roman"/>
          <w:b w:val="0"/>
          <w:i w:val="0"/>
          <w:sz w:val="24"/>
        </w:rPr>
        <w:t>Halverson, L. R., &amp; Graham, C. R. (2019). Learner engagement in blended learning environments: A conceptual framework. Online Learning, 23(2), 145–178. https://doi.org/10.24059/olj.v23i2.1481</w:t>
      </w:r>
    </w:p>
    <w:p>
      <w:pPr>
        <w:ind w:left="720" w:hanging="720"/>
      </w:pPr>
      <w:r>
        <w:rPr>
          <w:rFonts w:ascii="Times New Roman" w:hAnsi="Times New Roman"/>
          <w:b w:val="0"/>
          <w:i w:val="0"/>
          <w:sz w:val="24"/>
        </w:rPr>
        <w:t>Hughes, L., Dwivedi, Y. K., Malik, T., Shawosh, M., Albashrawi, M. A., Jeon, I., &amp; Walton, P. (2025). AI agents and agentic systems: A multi-expert analysis. Journal of Computer Information Systems, 1–29.</w:t>
      </w:r>
    </w:p>
    <w:p>
      <w:pPr>
        <w:ind w:left="720" w:hanging="720"/>
      </w:pPr>
      <w:r>
        <w:rPr>
          <w:rFonts w:ascii="Times New Roman" w:hAnsi="Times New Roman"/>
          <w:b w:val="0"/>
          <w:i w:val="0"/>
          <w:sz w:val="24"/>
        </w:rPr>
        <w:t>Lee, M., Srivastava, M., Hardy, A., Thickstun, J., Durmus, E., Paranjape, A., Gerard-Ursin, I., Li, X. L., Ladhak, F., Rong, F., Wang, R. E., Kwon, M., Park, J. S., Cao, H., Lee, T., Bommasani, R., Bernstein, M. S., &amp; Liang, P. (2023). Evaluating human-language model interaction. Transactions on Machine Learning Research.</w:t>
      </w:r>
    </w:p>
    <w:p>
      <w:pPr>
        <w:ind w:left="720" w:hanging="720"/>
      </w:pPr>
      <w:r>
        <w:rPr>
          <w:rFonts w:ascii="Times New Roman" w:hAnsi="Times New Roman"/>
          <w:b w:val="0"/>
          <w:i w:val="0"/>
          <w:sz w:val="24"/>
        </w:rPr>
        <w:t>McKenney, S., &amp; Reeves, T. C. (2012). Conducting educational design research. Routledge.</w:t>
      </w:r>
    </w:p>
    <w:p>
      <w:pPr>
        <w:ind w:left="720" w:hanging="720"/>
      </w:pPr>
      <w:r>
        <w:rPr>
          <w:rFonts w:ascii="Times New Roman" w:hAnsi="Times New Roman"/>
          <w:b w:val="0"/>
          <w:i w:val="0"/>
          <w:sz w:val="24"/>
        </w:rPr>
        <w:t>Miles, M. B., Huberman, A. M., &amp; Saldana, J. (2020). Qualitative data analysis: A methods sourcebook (4th ed.). Sage.</w:t>
      </w:r>
    </w:p>
    <w:p>
      <w:pPr>
        <w:ind w:left="720" w:hanging="720"/>
      </w:pPr>
      <w:r>
        <w:rPr>
          <w:rFonts w:ascii="Times New Roman" w:hAnsi="Times New Roman"/>
          <w:b w:val="0"/>
          <w:i w:val="0"/>
          <w:sz w:val="24"/>
        </w:rPr>
        <w:t>Morse, J. M., &amp; Niehaus, L. (2009). Mixed method design: Principles and procedures. Left Coast Press.</w:t>
      </w:r>
    </w:p>
    <w:p>
      <w:pPr>
        <w:ind w:left="720" w:hanging="720"/>
      </w:pPr>
      <w:r>
        <w:rPr>
          <w:rFonts w:ascii="Times New Roman" w:hAnsi="Times New Roman"/>
          <w:b w:val="0"/>
          <w:i w:val="0"/>
          <w:sz w:val="24"/>
        </w:rPr>
        <w:t>Patton, M. Q. (2015). Qualitative research and evaluation methods (4th ed.). Sage.</w:t>
      </w:r>
    </w:p>
    <w:p>
      <w:pPr>
        <w:ind w:left="720" w:hanging="720"/>
      </w:pPr>
      <w:r>
        <w:rPr>
          <w:rFonts w:ascii="Times New Roman" w:hAnsi="Times New Roman"/>
          <w:b w:val="0"/>
          <w:i w:val="0"/>
          <w:sz w:val="24"/>
        </w:rPr>
        <w:t>Skinner, E. A., Kindermann, T. A., &amp; Furrer, C. J. (2009). A motivational perspective on engagement and disaffection: Conceptualization and assessment of children's behavioral and emotional participation in academic activities in the classroom. Educational and Psychological Measurement, 69(3), 493–525. https://doi.org/10.1177/0013164408323233</w:t>
      </w:r>
    </w:p>
    <w:p>
      <w:pPr>
        <w:ind w:left="720" w:hanging="720"/>
      </w:pPr>
      <w:r>
        <w:rPr>
          <w:rFonts w:ascii="Times New Roman" w:hAnsi="Times New Roman"/>
          <w:b w:val="0"/>
          <w:i w:val="0"/>
          <w:sz w:val="24"/>
        </w:rPr>
        <w:t>Stake, R. E. (2006). Multiple case study analysis. Guilford Press.</w:t>
      </w:r>
    </w:p>
    <w:p>
      <w:pPr>
        <w:ind w:left="720" w:hanging="720"/>
      </w:pPr>
      <w:r>
        <w:rPr>
          <w:rFonts w:ascii="Times New Roman" w:hAnsi="Times New Roman"/>
          <w:b w:val="0"/>
          <w:i w:val="0"/>
          <w:sz w:val="24"/>
        </w:rPr>
        <w:t>Vygotsky, L. S. (1978). Mind in society: The development of higher psychological processes. Harvard University Press.</w:t>
      </w:r>
    </w:p>
    <w:p>
      <w:pPr>
        <w:ind w:left="720" w:hanging="720"/>
      </w:pPr>
      <w:r>
        <w:rPr>
          <w:rFonts w:ascii="Times New Roman" w:hAnsi="Times New Roman"/>
          <w:b w:val="0"/>
          <w:i w:val="0"/>
          <w:sz w:val="24"/>
        </w:rPr>
        <w:t>Webb, N. L. (2002). Depth-of-knowledge levels for four content areas. Wisconsin Center for Education Research.</w:t>
      </w:r>
    </w:p>
    <w:p>
      <w:pPr>
        <w:ind w:left="720" w:hanging="720"/>
      </w:pPr>
      <w:r>
        <w:rPr>
          <w:rFonts w:ascii="Times New Roman" w:hAnsi="Times New Roman"/>
          <w:b w:val="0"/>
          <w:i w:val="0"/>
          <w:sz w:val="24"/>
        </w:rPr>
        <w:t>Yan, L., Sha, L., Zhao, L., Li, Y., Martinez-Maldonado, R., Chen, G., &amp; Gasevic, D. (2024). Practical and ethical challenges of large language models in education: A systematic scoping review. British Journal of Educational Technology, 55(1), 90–112.</w:t>
      </w:r>
    </w:p>
    <w:p>
      <w:pPr>
        <w:ind w:left="720" w:hanging="720"/>
      </w:pPr>
      <w:r>
        <w:rPr>
          <w:rFonts w:ascii="Times New Roman" w:hAnsi="Times New Roman"/>
          <w:b w:val="0"/>
          <w:i w:val="0"/>
          <w:sz w:val="24"/>
        </w:rPr>
        <w:t>Yang, M., Jiang, S., Li, B., Herman, K., Luo, T., Moots, S. C., &amp; Lovett, N. (2025). Analysing nontraditional students' ChatGPT interaction, engagement, self-efficacy and performance: A mixed-methods approach. British Journal of Educational Technology, 56(6), 1973–2000. https://doi.org/10.1111/bjet.13588</w:t>
      </w:r>
    </w:p>
    <w:p>
      <w:pPr>
        <w:ind w:left="720" w:hanging="720"/>
      </w:pPr>
      <w:r>
        <w:rPr>
          <w:rFonts w:ascii="Times New Roman" w:hAnsi="Times New Roman"/>
          <w:b w:val="0"/>
          <w:i w:val="0"/>
          <w:sz w:val="24"/>
        </w:rPr>
        <w:t>Yin, R. K. (2018). Case study research and applications: Design and methods (6th ed.). Sage.</w:t>
      </w:r>
    </w:p>
    <w:p>
      <w:pPr>
        <w:ind w:left="720" w:hanging="720"/>
      </w:pPr>
      <w:r>
        <w:rPr>
          <w:rFonts w:ascii="Times New Roman" w:hAnsi="Times New Roman"/>
          <w:b w:val="0"/>
          <w:i w:val="0"/>
          <w:sz w:val="24"/>
        </w:rPr>
        <w:t>Zawacki-Richter, O., Marin, V. I., Bond, M., &amp; Gouverneur, F. (2019). Systematic review of research on artificial intelligence applications in higher education: Where are the educators? International Journal of Educational Technology in Higher Education, 16(1), 1–27.</w:t>
      </w:r>
    </w:p>
    <w:p>
      <w:pPr>
        <w:ind w:left="720" w:hanging="720"/>
      </w:pPr>
      <w:r>
        <w:rPr>
          <w:rFonts w:ascii="Times New Roman" w:hAnsi="Times New Roman"/>
          <w:b w:val="0"/>
          <w:i w:val="0"/>
          <w:sz w:val="24"/>
        </w:rPr>
        <w:t>[Author(s)]. (in preparation). [Title removed for review: Paper 1, design case]. International Journal of Designs for Learning.</w:t>
      </w:r>
    </w:p>
    <w:p>
      <w:pPr>
        <w:ind w:left="720" w:hanging="720"/>
      </w:pPr>
      <w:r>
        <w:rPr>
          <w:rFonts w:ascii="Times New Roman" w:hAnsi="Times New Roman"/>
          <w:b w:val="0"/>
          <w:i w:val="0"/>
          <w:sz w:val="24"/>
        </w:rPr>
        <w:t>[Author(s)]. (in preparation). [Title removed for review: Paper 2, methodology paper]. British Journal of Educational Technology.</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