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24"/>
        </w:rPr>
        <w:t>Designing Authentic AI Scaffolding for Research Methodology Learning:</w:t>
        <w:br/>
        <w:t>An LXD-Informed Design Case of a Multi-Agent Checkpoint System</w:t>
      </w:r>
    </w:p>
    <w:p/>
    <w:p>
      <w:pPr>
        <w:jc w:val="center"/>
      </w:pPr>
      <w:r>
        <w:rPr>
          <w:rFonts w:ascii="Times New Roman" w:hAnsi="Times New Roman"/>
          <w:b w:val="0"/>
          <w:i w:val="0"/>
          <w:sz w:val="24"/>
        </w:rPr>
        <w:t>Hosung You</w:t>
      </w:r>
    </w:p>
    <w:p>
      <w:pPr>
        <w:jc w:val="center"/>
      </w:pPr>
      <w:r>
        <w:rPr>
          <w:rFonts w:ascii="Times New Roman" w:hAnsi="Times New Roman"/>
          <w:b w:val="0"/>
          <w:i w:val="0"/>
          <w:sz w:val="24"/>
        </w:rPr>
        <w:t>College of Education, Pennsylvania State University</w:t>
      </w:r>
    </w:p>
    <w:p/>
    <w:p>
      <w:pPr>
        <w:jc w:val="center"/>
      </w:pPr>
      <w:r>
        <w:rPr>
          <w:rFonts w:ascii="Times New Roman" w:hAnsi="Times New Roman"/>
          <w:b w:val="0"/>
          <w:i w:val="0"/>
          <w:sz w:val="24"/>
        </w:rPr>
        <w:t>Mohan Yang</w:t>
      </w:r>
    </w:p>
    <w:p>
      <w:pPr>
        <w:jc w:val="center"/>
      </w:pPr>
      <w:r>
        <w:rPr>
          <w:rFonts w:ascii="Times New Roman" w:hAnsi="Times New Roman"/>
          <w:b w:val="0"/>
          <w:i w:val="0"/>
          <w:sz w:val="24"/>
        </w:rPr>
        <w:t>Texas A&amp;M University</w:t>
      </w:r>
    </w:p>
    <w:p/>
    <w:p>
      <w:pPr>
        <w:jc w:val="center"/>
      </w:pPr>
      <w:r>
        <w:rPr>
          <w:rFonts w:ascii="Times New Roman" w:hAnsi="Times New Roman"/>
          <w:b/>
          <w:i w:val="0"/>
          <w:sz w:val="24"/>
        </w:rPr>
        <w:t>Author Note</w:t>
      </w:r>
    </w:p>
    <w:p>
      <w:pPr>
        <w:ind w:firstLine="720"/>
      </w:pPr>
      <w:r>
        <w:rPr>
          <w:rFonts w:ascii="Times New Roman" w:hAnsi="Times New Roman"/>
          <w:b w:val="0"/>
          <w:i w:val="0"/>
          <w:sz w:val="24"/>
        </w:rPr>
        <w:t xml:space="preserve">Correspondence concerning this article should be addressed to Hosung You, College of Education, Pennsylvania State University. </w:t>
      </w:r>
    </w:p>
    <w:p>
      <w:r>
        <w:br w:type="page"/>
      </w:r>
    </w:p>
    <w:p>
      <w:pPr>
        <w:spacing w:before="240"/>
        <w:jc w:val="center"/>
      </w:pPr>
      <w:r>
        <w:rPr>
          <w:rFonts w:ascii="Times New Roman" w:hAnsi="Times New Roman"/>
          <w:b/>
          <w:i w:val="0"/>
          <w:sz w:val="24"/>
        </w:rPr>
        <w:t>Abstract</w:t>
      </w:r>
    </w:p>
    <w:p>
      <w:r>
        <w:rPr>
          <w:rFonts w:ascii="Times New Roman" w:hAnsi="Times New Roman"/>
          <w:b w:val="0"/>
          <w:i w:val="0"/>
          <w:sz w:val="24"/>
        </w:rPr>
        <w:t>AI-powered research tools are rapidly being adopted by graduate students for research design, yet mode collapse and automation bias threaten to homogenize and supplant researchers’ methodological reasoning. This study proposes a two-phase research design examining whether multi-agent AI tools can scaffold—rather than replace—researchers’ thinking. Integrating authentic learning theory (Herrington et al., 2010), Verbalized Sampling methodology, and the Model Context Protocol (MCP) architecture, we investigate Diverga, a 44-agent AI research methodology assistant with structured human checkpoints. Drawing on lessons from authentic learning design failures (Yang &amp; Harbor, 2023), Phase 1 employs an LXD-informed design case with systematic learner and contextual analysis. Phase 2 uses a convergent mixed-methods evaluation with doctoral students (N = 12–16) at two institutions. This study contributes an authentic AI scaffolding framework, evidence-based design principles, and a learner-centered evaluation methodology for AI-mediated research tools.</w:t>
      </w:r>
    </w:p>
    <w:p>
      <w:pPr>
        <w:ind w:firstLine="720"/>
      </w:pPr>
      <w:r>
        <w:rPr>
          <w:rFonts w:ascii="Times New Roman" w:hAnsi="Times New Roman"/>
          <w:b w:val="0"/>
          <w:i/>
          <w:sz w:val="24"/>
        </w:rPr>
        <w:t xml:space="preserve">Keywords: </w:t>
      </w:r>
      <w:r>
        <w:rPr>
          <w:rFonts w:ascii="Times New Roman" w:hAnsi="Times New Roman"/>
          <w:b w:val="0"/>
          <w:i w:val="0"/>
          <w:sz w:val="24"/>
        </w:rPr>
        <w:t>authentic learning, AI scaffolding, human checkpoint, mode collapse, verbalized sampling, learner analysis, research methodology education</w:t>
      </w:r>
    </w:p>
    <w:p>
      <w:r>
        <w:br w:type="page"/>
      </w:r>
    </w:p>
    <w:p>
      <w:pPr>
        <w:spacing w:before="240"/>
        <w:jc w:val="center"/>
      </w:pPr>
      <w:r>
        <w:rPr>
          <w:rFonts w:ascii="Times New Roman" w:hAnsi="Times New Roman"/>
          <w:b/>
          <w:i w:val="0"/>
          <w:sz w:val="24"/>
        </w:rPr>
        <w:t>Designing Authentic AI Scaffolding for Research Methodology Learning: An LXD-Informed Design Case of a Multi-Agent Checkpoint System</w:t>
      </w:r>
    </w:p>
    <w:p>
      <w:pPr>
        <w:ind w:firstLine="720"/>
      </w:pPr>
      <w:r>
        <w:rPr>
          <w:rFonts w:ascii="Times New Roman" w:hAnsi="Times New Roman"/>
          <w:b w:val="0"/>
          <w:i w:val="0"/>
          <w:sz w:val="24"/>
        </w:rPr>
        <w:t>It is spring 2026, and Jiwon, a third-year doctoral student in educational psychology, opens her laptop to design her dissertation study on how AI tutoring systems affect student motivation in K-12 settings. She prompts ChatGPT for a theoretical framework. Within seconds, the Technology Acceptance Model appears. She tries different phrasings; TAM returns each time. She switches to Claude and receives Self-Determination Theory—more appropriate, but still the field’s most frequently cited option. Across three AI tools, Jiwon encounters variations of the same two or three recommendations that dominate the published literature. She begins to wonder: Am I choosing a framework because it fits my research question, or because the AI keeps suggesting it?</w:t>
      </w:r>
    </w:p>
    <w:p>
      <w:pPr>
        <w:ind w:firstLine="720"/>
      </w:pPr>
      <w:r>
        <w:rPr>
          <w:rFonts w:ascii="Times New Roman" w:hAnsi="Times New Roman"/>
          <w:b w:val="0"/>
          <w:i w:val="0"/>
          <w:sz w:val="24"/>
        </w:rPr>
        <w:t>Down the hall, a fellow doctoral student runs a similar query through Diverga, a multi-agent AI research assistant. Instead of a single answer, Diverga presents five theoretical alternatives, each accompanied by a typicality score indicating how “modal” the recommendation is relative to the training data. At a required human checkpoint, the system pauses and prompts: “Before proceeding, consider how this framework aligns with your epistemological position and research context.” The student stops, reflects, and makes a deliberate, justified choice.</w:t>
      </w:r>
    </w:p>
    <w:p>
      <w:pPr>
        <w:ind w:firstLine="720"/>
      </w:pPr>
      <w:r>
        <w:rPr>
          <w:rFonts w:ascii="Times New Roman" w:hAnsi="Times New Roman"/>
          <w:b w:val="0"/>
          <w:i w:val="0"/>
          <w:sz w:val="24"/>
        </w:rPr>
        <w:t>These two scenarios—one in which AI narrows the researcher’s horizon, another in which it deliberately expands it—represent the central tension this study investigates. As AI research tools become ubiquitous in graduate education, a fundamental design question emerges: Can these tools be built to scaffold researchers’ methodological reasoning rather than replace it?</w:t>
      </w:r>
    </w:p>
    <w:p>
      <w:pPr>
        <w:spacing w:before="240"/>
        <w:jc w:val="left"/>
      </w:pPr>
      <w:r>
        <w:rPr>
          <w:rFonts w:ascii="Times New Roman" w:hAnsi="Times New Roman"/>
          <w:b/>
          <w:i w:val="0"/>
          <w:sz w:val="24"/>
        </w:rPr>
        <w:t>The Problem: Mode Collapse and Automation Bias</w:t>
      </w:r>
    </w:p>
    <w:p>
      <w:pPr>
        <w:ind w:firstLine="720"/>
      </w:pPr>
      <w:r>
        <w:rPr>
          <w:rFonts w:ascii="Times New Roman" w:hAnsi="Times New Roman"/>
          <w:b w:val="0"/>
          <w:i w:val="0"/>
          <w:sz w:val="24"/>
        </w:rPr>
        <w:t>The rapid adoption of AI-powered research tools—Elicit, Consensus, SciSpace, and general-purpose large language models—has introduced two structural problems into the research design process. The first is mode collapse: when AI tools converge on predictable, modal recommendations that reflect the typicality bias embedded in training data (arXiv:2510.01171). The second is automation bias: the well-documented tendency for users to accept AI-generated suggestions without critical evaluation. A systematic review reported that the majority of agents accepted AI output without independent review, and AI tool usage frequency has been found to correlate negatively with critical thinking ability, mediated by cognitive offloading (Microsoft Research, 2025). Together, these problems threaten to homogenize the methodological landscape of social science research.</w:t>
      </w:r>
    </w:p>
    <w:p>
      <w:pPr>
        <w:spacing w:before="240"/>
        <w:jc w:val="left"/>
      </w:pPr>
      <w:r>
        <w:rPr>
          <w:rFonts w:ascii="Times New Roman" w:hAnsi="Times New Roman"/>
          <w:b/>
          <w:i w:val="0"/>
          <w:sz w:val="24"/>
        </w:rPr>
        <w:t>The Gap: Missing Design Frameworks</w:t>
      </w:r>
    </w:p>
    <w:p>
      <w:pPr>
        <w:ind w:firstLine="720"/>
      </w:pPr>
      <w:r>
        <w:rPr>
          <w:rFonts w:ascii="Times New Roman" w:hAnsi="Times New Roman"/>
          <w:b w:val="0"/>
          <w:i w:val="0"/>
          <w:sz w:val="24"/>
        </w:rPr>
        <w:t>Despite growing awareness of these risks, the field lacks empirically grounded design frameworks specifying how AI research tools should be constructed to support—rather than supplant—researchers’ critical thinking. Existing ethical frameworks for AI in education address learners and educators but not researchers using AI for study design (EDUCAUSE, 2025). This gap calls for research that examines concrete design features—such as multi-agent architectures, human checkpoints, and diversity-generating mechanisms—through established pedagogical theory.</w:t>
      </w:r>
    </w:p>
    <w:p>
      <w:pPr>
        <w:spacing w:before="240"/>
        <w:jc w:val="left"/>
      </w:pPr>
      <w:r>
        <w:rPr>
          <w:rFonts w:ascii="Times New Roman" w:hAnsi="Times New Roman"/>
          <w:b/>
          <w:i w:val="0"/>
          <w:sz w:val="24"/>
        </w:rPr>
        <w:t>Lessons from Authentic Learning Design Failures</w:t>
      </w:r>
    </w:p>
    <w:p>
      <w:pPr>
        <w:ind w:firstLine="720"/>
      </w:pPr>
      <w:r>
        <w:rPr>
          <w:rFonts w:ascii="Times New Roman" w:hAnsi="Times New Roman"/>
          <w:b w:val="0"/>
          <w:i w:val="0"/>
          <w:sz w:val="24"/>
        </w:rPr>
        <w:t>A critical insight motivating this study comes from Yang and Harbor’s (2023) design case analysis of failures in an authentic learning program. Their study documented seven categories of design failure—from engagement difficulties to varied transfer of learning—and traced them to a common root cause: the absence of systematic upfront learner analysis and contextual analysis. When the program expanded from a homogeneous group to diverse participants without redesigning its foundations, the authentic learning principles that had guided the original design no longer aligned with learners’ actual needs, backgrounds, and contexts.</w:t>
      </w:r>
    </w:p>
    <w:p>
      <w:pPr>
        <w:ind w:firstLine="720"/>
      </w:pPr>
      <w:r>
        <w:rPr>
          <w:rFonts w:ascii="Times New Roman" w:hAnsi="Times New Roman"/>
          <w:b w:val="0"/>
          <w:i w:val="0"/>
          <w:sz w:val="24"/>
        </w:rPr>
        <w:t>This finding carries direct implications for AI research tool design. If authentic learning fails without understanding the learner and context, then designing an AI scaffolding system without analyzing who will use it and under what conditions is likely to produce similar failures. The present study therefore integrates learner and contextual analysis as a foundational phase, applying lessons from instructional design to the emerging domain of AI-mediated research methodology assistance.</w:t>
      </w:r>
    </w:p>
    <w:p>
      <w:pPr>
        <w:spacing w:before="240"/>
        <w:jc w:val="left"/>
      </w:pPr>
      <w:r>
        <w:rPr>
          <w:rFonts w:ascii="Times New Roman" w:hAnsi="Times New Roman"/>
          <w:b/>
          <w:i w:val="0"/>
          <w:sz w:val="24"/>
        </w:rPr>
        <w:t>The Present Study</w:t>
      </w:r>
    </w:p>
    <w:p>
      <w:pPr>
        <w:ind w:firstLine="720"/>
      </w:pPr>
      <w:r>
        <w:rPr>
          <w:rFonts w:ascii="Times New Roman" w:hAnsi="Times New Roman"/>
          <w:b w:val="0"/>
          <w:i w:val="0"/>
          <w:sz w:val="24"/>
        </w:rPr>
        <w:t>This study brings together two complementary lines of research. The first, grounded in authentic learning theory and instructional design, provides the pedagogical framework for understanding what makes learning environments effective and why they sometimes fail (Herrington et al., 2010; Yang &amp; Harbor, 2023). The second, grounded in computational approaches to AI diversity, provides the technical mechanisms for counteracting mode collapse through Verbalized Sampling and multi-agent orchestration via the Model Context Protocol (Yang et al., 2025). The convergence of these two perspectives creates a unique opportunity to examine AI research tool design through a theoretically grounded, learner-centered lens.</w:t>
      </w:r>
    </w:p>
    <w:p>
      <w:pPr>
        <w:spacing w:before="240"/>
        <w:jc w:val="center"/>
      </w:pPr>
      <w:r>
        <w:rPr>
          <w:rFonts w:ascii="Times New Roman" w:hAnsi="Times New Roman"/>
          <w:b/>
          <w:i w:val="0"/>
          <w:sz w:val="24"/>
        </w:rPr>
        <w:t>Theoretical Framework</w:t>
      </w:r>
    </w:p>
    <w:p>
      <w:pPr>
        <w:ind w:firstLine="720"/>
      </w:pPr>
      <w:r>
        <w:rPr>
          <w:rFonts w:ascii="Times New Roman" w:hAnsi="Times New Roman"/>
          <w:b w:val="0"/>
          <w:i w:val="0"/>
          <w:sz w:val="24"/>
        </w:rPr>
        <w:t>The theoretical architecture of this study integrates three components: authentic learning as the pedagogical design and analysis framework, Verbalized Sampling as the diversity-generation mechanism, and the Model Context Protocol as the technical infrastructure for multi-agent orchestration. Figure 1 presents the integrated conceptual framework.</w:t>
      </w:r>
    </w:p>
    <w:p>
      <w:pPr>
        <w:jc w:val="center"/>
      </w:pPr>
      <w:r>
        <w:drawing>
          <wp:inline xmlns:a="http://schemas.openxmlformats.org/drawingml/2006/main" xmlns:pic="http://schemas.openxmlformats.org/drawingml/2006/picture">
            <wp:extent cx="5486400" cy="6574971"/>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486400" cy="6574971"/>
                    </a:xfrm>
                    <a:prstGeom prst="rect"/>
                  </pic:spPr>
                </pic:pic>
              </a:graphicData>
            </a:graphic>
          </wp:inline>
        </w:drawing>
      </w:r>
    </w:p>
    <w:p>
      <w:pPr>
        <w:spacing w:before="120"/>
      </w:pPr>
      <w:r>
        <w:rPr>
          <w:rFonts w:ascii="Times New Roman" w:hAnsi="Times New Roman"/>
          <w:b/>
          <w:i/>
          <w:sz w:val="24"/>
        </w:rPr>
        <w:t>Figure 1</w:t>
      </w:r>
    </w:p>
    <w:p>
      <w:pPr>
        <w:spacing w:after="240"/>
      </w:pPr>
      <w:r>
        <w:rPr>
          <w:rFonts w:ascii="Times New Roman" w:hAnsi="Times New Roman"/>
          <w:b w:val="0"/>
          <w:i/>
          <w:sz w:val="24"/>
        </w:rPr>
        <w:t>Conceptual framework for authentic AI scaffolding. The framework integrates three theoretical pillars that, when operationalized through Diverga’s design features, produce three scaffolding mechanisms hypothesized to preserve and enhance researchers’ methodological reasoning.</w:t>
      </w:r>
    </w:p>
    <w:p>
      <w:pPr>
        <w:spacing w:before="240"/>
        <w:jc w:val="left"/>
      </w:pPr>
      <w:r>
        <w:rPr>
          <w:rFonts w:ascii="Times New Roman" w:hAnsi="Times New Roman"/>
          <w:b/>
          <w:i w:val="0"/>
          <w:sz w:val="24"/>
        </w:rPr>
        <w:t>Authentic Learning</w:t>
      </w:r>
    </w:p>
    <w:p>
      <w:pPr>
        <w:ind w:firstLine="720"/>
      </w:pPr>
      <w:r>
        <w:rPr>
          <w:rFonts w:ascii="Times New Roman" w:hAnsi="Times New Roman"/>
          <w:b w:val="0"/>
          <w:i w:val="0"/>
          <w:sz w:val="24"/>
        </w:rPr>
        <w:t>Herrington, Reeves, and Oliver’s (2010) authentic learning framework identifies nine elements that characterize learning environments promoting deep engagement and knowledge transfer: authentic context, authentic activity, multiple perspectives, collaboration, reflection, articulation, coaching and scaffolding, authentic assessment, and expert performance modeling. Originally developed for technology-enhanced learning in higher education, this framework has been applied across diverse instructional contexts but not yet to AI-mediated research tool design.</w:t>
      </w:r>
    </w:p>
    <w:p>
      <w:pPr>
        <w:ind w:firstLine="720"/>
      </w:pPr>
      <w:r>
        <w:rPr>
          <w:rFonts w:ascii="Times New Roman" w:hAnsi="Times New Roman"/>
          <w:b w:val="0"/>
          <w:i w:val="0"/>
          <w:sz w:val="24"/>
        </w:rPr>
        <w:t>Critically, Yang and Harbor (2023) demonstrated that authentic learning principles alone are insufficient—they must be grounded in systematic learner and contextual analysis. Their analysis of seven design failures revealed that misalignment between design assumptions and actual learner characteristics (e.g., disciplinary background, motivation, prior experience) led to engagement failures, cultural conflicts, and varied learning transfer. Applying this lesson, we propose that AI research tools must be designed not only with authentic learning principles but with explicit attention to who the researchers are and what contexts they bring.</w:t>
      </w:r>
    </w:p>
    <w:p>
      <w:pPr>
        <w:spacing w:before="240"/>
      </w:pPr>
      <w:r>
        <w:rPr>
          <w:rFonts w:ascii="Times New Roman" w:hAnsi="Times New Roman"/>
          <w:b/>
          <w:i w:val="0"/>
          <w:sz w:val="24"/>
        </w:rPr>
        <w:t>Table 1</w:t>
      </w:r>
    </w:p>
    <w:p>
      <w:pPr>
        <w:spacing w:after="120"/>
      </w:pPr>
      <w:r>
        <w:rPr>
          <w:rFonts w:ascii="Times New Roman" w:hAnsi="Times New Roman"/>
          <w:b w:val="0"/>
          <w:i/>
          <w:sz w:val="24"/>
        </w:rPr>
        <w:t>Mapping of Authentic Learning Elements to Diverga Design Features</w:t>
      </w:r>
    </w:p>
    <w:tbl>
      <w:tblPr>
        <w:tblW w:type="auto" w:w="0"/>
        <w:jc w:val="center"/>
        <w:tblLook w:firstColumn="1" w:firstRow="1" w:lastColumn="0" w:lastRow="0" w:noHBand="0" w:noVBand="1" w:val="04A0"/>
      </w:tblPr>
      <w:tblGrid>
        <w:gridCol w:w="3120"/>
        <w:gridCol w:w="3120"/>
        <w:gridCol w:w="3120"/>
      </w:tblGrid>
      <w:tr>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before="80" w:after="80"/>
            </w:pPr>
            <w:r/>
            <w:r>
              <w:rPr>
                <w:rFonts w:ascii="Times New Roman" w:hAnsi="Times New Roman"/>
                <w:b/>
                <w:i/>
                <w:sz w:val="20"/>
              </w:rPr>
              <w:t>Element</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before="80" w:after="80"/>
            </w:pPr>
            <w:r/>
            <w:r>
              <w:rPr>
                <w:rFonts w:ascii="Times New Roman" w:hAnsi="Times New Roman"/>
                <w:b/>
                <w:i/>
                <w:sz w:val="20"/>
              </w:rPr>
              <w:t>Diverga Feature</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before="80" w:after="80"/>
            </w:pPr>
            <w:r/>
            <w:r>
              <w:rPr>
                <w:rFonts w:ascii="Times New Roman" w:hAnsi="Times New Roman"/>
                <w:b/>
                <w:i/>
                <w:sz w:val="20"/>
              </w:rPr>
              <w:t>Design Rationale</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Authentic context</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Real research design scenarios</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Ecological validity; tasks mirror actual workflows</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Authentic activity</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Full RQ → theory → method pipeline</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Matches authentic research design process</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Multiple perspectives</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VS multi-alternative generation with T-Scores</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Counters mode collapse; surfaces non-modal options</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Collaboration</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Structured AI–researcher dialogue at checkpoints</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AI as epistemic partner, not oracle</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Reflection</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REQUIRED human checkpoints (forced pause)</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Cognitive forcing function (Buçinca et al., 2021)</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Articulation</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Decision audit trail (YAML log)</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Externalizes reasoning; supports metacognition</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Coaching &amp; scaffolding</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Agent-specific guidance with T-Score explanation</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Calibrated, transparent support</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Authentic assessment</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Research design artifact as product</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Performance-based evaluation</w:t>
            </w:r>
          </w:p>
        </w:tc>
      </w:tr>
      <w:tr>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before="40" w:after="40"/>
            </w:pPr>
            <w:r/>
            <w:r>
              <w:rPr>
                <w:rFonts w:ascii="Times New Roman" w:hAnsi="Times New Roman"/>
                <w:b w:val="0"/>
                <w:i w:val="0"/>
                <w:sz w:val="20"/>
              </w:rPr>
              <w:t>Expert performance</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before="40" w:after="40"/>
            </w:pPr>
            <w:r/>
            <w:r>
              <w:rPr>
                <w:rFonts w:ascii="Times New Roman" w:hAnsi="Times New Roman"/>
                <w:b w:val="0"/>
                <w:i w:val="0"/>
                <w:sz w:val="20"/>
              </w:rPr>
              <w:t>44 domain-specialized agents across 9 categories</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before="40" w:after="40"/>
            </w:pPr>
            <w:r/>
            <w:r>
              <w:rPr>
                <w:rFonts w:ascii="Times New Roman" w:hAnsi="Times New Roman"/>
                <w:b w:val="0"/>
                <w:i w:val="0"/>
                <w:sz w:val="20"/>
              </w:rPr>
              <w:t>Models expert reasoning per methodological domain</w:t>
            </w:r>
          </w:p>
        </w:tc>
      </w:tr>
    </w:tbl>
    <w:p>
      <w:pPr>
        <w:spacing w:before="80"/>
      </w:pPr>
      <w:r>
        <w:rPr>
          <w:rFonts w:ascii="Times New Roman" w:hAnsi="Times New Roman"/>
          <w:i/>
          <w:sz w:val="20"/>
        </w:rPr>
        <w:t xml:space="preserve">Note. </w:t>
      </w:r>
      <w:r>
        <w:rPr>
          <w:rFonts w:ascii="Times New Roman" w:hAnsi="Times New Roman"/>
          <w:sz w:val="20"/>
        </w:rPr>
        <w:t>AL = authentic learning; VS = Verbalized Sampling; RQ = research question; T-Score = typicality score indicating how modal a recommendation is.</w:t>
      </w:r>
    </w:p>
    <w:p/>
    <w:p>
      <w:pPr>
        <w:spacing w:before="240"/>
        <w:jc w:val="left"/>
      </w:pPr>
      <w:r>
        <w:rPr>
          <w:rFonts w:ascii="Times New Roman" w:hAnsi="Times New Roman"/>
          <w:b/>
          <w:i w:val="0"/>
          <w:sz w:val="24"/>
        </w:rPr>
        <w:t>Verbalized Sampling and Mode Collapse Theory</w:t>
      </w:r>
    </w:p>
    <w:p>
      <w:pPr>
        <w:ind w:firstLine="720"/>
      </w:pPr>
      <w:r>
        <w:rPr>
          <w:rFonts w:ascii="Times New Roman" w:hAnsi="Times New Roman"/>
          <w:b w:val="0"/>
          <w:i w:val="0"/>
          <w:sz w:val="24"/>
        </w:rPr>
        <w:t>Verbalized Sampling (VS; arXiv:2510.01171) is a prompting methodology designed to mitigate mode collapse by instructing language models to generate multiple alternative outputs with explicit typicality scores. The T-Score quantifies how modal each recommendation is relative to the training distribution, enabling users to distinguish between conventional and unconventional options. In Diverga, VS is integrated at every checkpoint where methodological recommendations are presented, ensuring that researchers encounter a range of alternatives rather than a single default answer. This mechanism directly operationalizes the authentic learning element of multiple perspectives.</w:t>
      </w:r>
    </w:p>
    <w:p>
      <w:pPr>
        <w:spacing w:before="240"/>
        <w:jc w:val="left"/>
      </w:pPr>
      <w:r>
        <w:rPr>
          <w:rFonts w:ascii="Times New Roman" w:hAnsi="Times New Roman"/>
          <w:b/>
          <w:i w:val="0"/>
          <w:sz w:val="24"/>
        </w:rPr>
        <w:t>Model Context Protocol Architecture</w:t>
      </w:r>
    </w:p>
    <w:p>
      <w:pPr>
        <w:ind w:firstLine="720"/>
      </w:pPr>
      <w:r>
        <w:rPr>
          <w:rFonts w:ascii="Times New Roman" w:hAnsi="Times New Roman"/>
          <w:b w:val="0"/>
          <w:i w:val="0"/>
          <w:sz w:val="24"/>
        </w:rPr>
        <w:t>The Model Context Protocol (MCP) provides the technical infrastructure for orchestrating multiple specialized AI agents within a unified system. Yang et al. (2025) theorized how MCP enables dynamic learner state management by coordinating AI agents that adapt to evolving performance contexts. Diverga implements 44 specialized agents across nine research categories, each possessing domain-specific methodological expertise and coordinated through MCP. This shared technical foundation between Yang’s theoretical framework and Diverga’s implementation creates a unique opportunity to examine how architectural decisions in multi-agent systems shape the scaffolding experience.</w:t>
      </w:r>
    </w:p>
    <w:p>
      <w:pPr>
        <w:spacing w:before="240"/>
        <w:jc w:val="left"/>
      </w:pPr>
      <w:r>
        <w:rPr>
          <w:rFonts w:ascii="Times New Roman" w:hAnsi="Times New Roman"/>
          <w:b/>
          <w:i w:val="0"/>
          <w:sz w:val="24"/>
        </w:rPr>
        <w:t>Core Conjecture</w:t>
      </w:r>
    </w:p>
    <w:p>
      <w:pPr>
        <w:ind w:firstLine="720"/>
      </w:pPr>
      <w:r>
        <w:rPr>
          <w:rFonts w:ascii="Times New Roman" w:hAnsi="Times New Roman"/>
          <w:b w:val="0"/>
          <w:i w:val="0"/>
          <w:sz w:val="24"/>
        </w:rPr>
        <w:t>Drawing these threads together, the core conjecture of this study is as follows: When an AI research tool implements authentic learning principles through multi-agent architecture with structured human checkpoints and diversity-generating mechanisms, it scaffolds—rather than replaces—researchers’ methodological reasoning. This scaffolding effect is hypothesized to operate through three mechanisms: forced reflection (checkpoints that interrupt automated acceptance), perspective expansion (VS alternatives that broaden the option space), and reasoning externalization (audit trails that make decision rationale visible and revisitable). Crucially, following Yang and Harbor’s (2023) lesson, this conjecture holds only when the tool design is informed by systematic learner and contextual analysis.</w:t>
      </w:r>
    </w:p>
    <w:p>
      <w:pPr>
        <w:spacing w:before="240"/>
        <w:jc w:val="center"/>
      </w:pPr>
      <w:r>
        <w:rPr>
          <w:rFonts w:ascii="Times New Roman" w:hAnsi="Times New Roman"/>
          <w:b/>
          <w:i w:val="0"/>
          <w:sz w:val="24"/>
        </w:rPr>
        <w:t>Research Questions</w:t>
      </w:r>
    </w:p>
    <w:p>
      <w:r>
        <w:rPr>
          <w:rFonts w:ascii="Times New Roman" w:hAnsi="Times New Roman"/>
          <w:b w:val="0"/>
          <w:i w:val="0"/>
          <w:sz w:val="24"/>
        </w:rPr>
        <w:t>This study is guided by three research questions:</w:t>
      </w:r>
    </w:p>
    <w:p/>
    <w:p>
      <w:pPr>
        <w:ind w:firstLine="720"/>
      </w:pPr>
      <w:r>
        <w:rPr>
          <w:rFonts w:ascii="Times New Roman" w:hAnsi="Times New Roman"/>
          <w:b/>
          <w:i w:val="0"/>
          <w:sz w:val="24"/>
        </w:rPr>
        <w:t xml:space="preserve">RQ1: </w:t>
      </w:r>
      <w:r>
        <w:rPr>
          <w:rFonts w:ascii="Times New Roman" w:hAnsi="Times New Roman"/>
          <w:b w:val="0"/>
          <w:i w:val="0"/>
          <w:sz w:val="24"/>
        </w:rPr>
        <w:t>How do the authentic learning elements embedded in Diverga’s checkpoint system manifest in researchers’ actual usage patterns and experiences?</w:t>
      </w:r>
    </w:p>
    <w:p>
      <w:pPr>
        <w:ind w:firstLine="720"/>
      </w:pPr>
      <w:r>
        <w:rPr>
          <w:rFonts w:ascii="Times New Roman" w:hAnsi="Times New Roman"/>
          <w:b/>
          <w:i w:val="0"/>
          <w:sz w:val="24"/>
        </w:rPr>
        <w:t xml:space="preserve">RQ2: </w:t>
      </w:r>
      <w:r>
        <w:rPr>
          <w:rFonts w:ascii="Times New Roman" w:hAnsi="Times New Roman"/>
          <w:b w:val="0"/>
          <w:i w:val="0"/>
          <w:sz w:val="24"/>
        </w:rPr>
        <w:t>To what extent does VS-based multi-alternative presentation affect the diversity and quality of researchers’ methodological choices?</w:t>
      </w:r>
    </w:p>
    <w:p>
      <w:pPr>
        <w:ind w:firstLine="720"/>
      </w:pPr>
      <w:r>
        <w:rPr>
          <w:rFonts w:ascii="Times New Roman" w:hAnsi="Times New Roman"/>
          <w:b/>
          <w:i w:val="0"/>
          <w:sz w:val="24"/>
        </w:rPr>
        <w:t xml:space="preserve">RQ3: </w:t>
      </w:r>
      <w:r>
        <w:rPr>
          <w:rFonts w:ascii="Times New Roman" w:hAnsi="Times New Roman"/>
          <w:b w:val="0"/>
          <w:i w:val="0"/>
          <w:sz w:val="24"/>
        </w:rPr>
        <w:t>What design tensions emerge between authentic scaffolding goals and actual user interactions in a multi-agent AI research tool, and how do learner and contextual factors mediate these tensions?</w:t>
      </w:r>
    </w:p>
    <w:p>
      <w:pPr>
        <w:spacing w:before="240"/>
        <w:jc w:val="center"/>
      </w:pPr>
      <w:r>
        <w:rPr>
          <w:rFonts w:ascii="Times New Roman" w:hAnsi="Times New Roman"/>
          <w:b/>
          <w:i w:val="0"/>
          <w:sz w:val="24"/>
        </w:rPr>
        <w:t>Method</w:t>
      </w:r>
    </w:p>
    <w:p>
      <w:pPr>
        <w:spacing w:before="240"/>
        <w:jc w:val="left"/>
      </w:pPr>
      <w:r>
        <w:rPr>
          <w:rFonts w:ascii="Times New Roman" w:hAnsi="Times New Roman"/>
          <w:b/>
          <w:i w:val="0"/>
          <w:sz w:val="24"/>
        </w:rPr>
        <w:t>Research Design Overview</w:t>
      </w:r>
    </w:p>
    <w:p>
      <w:pPr>
        <w:ind w:firstLine="720"/>
      </w:pPr>
      <w:r>
        <w:rPr>
          <w:rFonts w:ascii="Times New Roman" w:hAnsi="Times New Roman"/>
          <w:b w:val="0"/>
          <w:i w:val="0"/>
          <w:sz w:val="24"/>
        </w:rPr>
        <w:t>This study employs a two-phase design that combines a design case methodology with a convergent mixed-methods evaluation (see Figure 2). Phase 1 documents the design rationale of Diverga’s checkpoint system through an LXD-informed design case enriched by systematic learner and contextual analysis—a direct application of Yang and Harbor’s (2023) recommendation that authentic learning designs must be grounded in understanding the learner population and context before implementation. Phase 2 empirically examines how the design performs with actual users through quantitative behavioral data and qualitative experiential data, modeled on Yang et al.’s (2025) mixed-methods approach to studying AI tool interactions.</w:t>
      </w:r>
    </w:p>
    <w:p>
      <w:pPr>
        <w:jc w:val="center"/>
      </w:pPr>
      <w:r>
        <w:drawing>
          <wp:inline xmlns:a="http://schemas.openxmlformats.org/drawingml/2006/main" xmlns:pic="http://schemas.openxmlformats.org/drawingml/2006/picture">
            <wp:extent cx="5486400" cy="4034971"/>
            <wp:docPr id="2" name="Picture 2"/>
            <wp:cNvGraphicFramePr>
              <a:graphicFrameLocks noChangeAspect="1"/>
            </wp:cNvGraphicFramePr>
            <a:graphic>
              <a:graphicData uri="http://schemas.openxmlformats.org/drawingml/2006/picture">
                <pic:pic>
                  <pic:nvPicPr>
                    <pic:cNvPr id="0" name="figure2_design.png"/>
                    <pic:cNvPicPr/>
                  </pic:nvPicPr>
                  <pic:blipFill>
                    <a:blip r:embed="rId10"/>
                    <a:stretch>
                      <a:fillRect/>
                    </a:stretch>
                  </pic:blipFill>
                  <pic:spPr>
                    <a:xfrm>
                      <a:off x="0" y="0"/>
                      <a:ext cx="5486400" cy="4034971"/>
                    </a:xfrm>
                    <a:prstGeom prst="rect"/>
                  </pic:spPr>
                </pic:pic>
              </a:graphicData>
            </a:graphic>
          </wp:inline>
        </w:drawing>
      </w:r>
    </w:p>
    <w:p>
      <w:pPr>
        <w:spacing w:before="120"/>
      </w:pPr>
      <w:r>
        <w:rPr>
          <w:rFonts w:ascii="Times New Roman" w:hAnsi="Times New Roman"/>
          <w:b/>
          <w:i/>
          <w:sz w:val="24"/>
        </w:rPr>
        <w:t>Figure 2</w:t>
      </w:r>
    </w:p>
    <w:p>
      <w:pPr>
        <w:spacing w:after="240"/>
      </w:pPr>
      <w:r>
        <w:rPr>
          <w:rFonts w:ascii="Times New Roman" w:hAnsi="Times New Roman"/>
          <w:b w:val="0"/>
          <w:i/>
          <w:sz w:val="24"/>
        </w:rPr>
        <w:t>Two-phase research design overview. Phase 1 (design case with learner and contextual analysis) informs Phase 2 (mixed-methods evaluation). Findings converge to produce theoretical, practical, and methodological contributions.</w:t>
      </w:r>
    </w:p>
    <w:p>
      <w:pPr>
        <w:spacing w:before="240"/>
        <w:jc w:val="left"/>
      </w:pPr>
      <w:r>
        <w:rPr>
          <w:rFonts w:ascii="Times New Roman" w:hAnsi="Times New Roman"/>
          <w:b/>
          <w:i w:val="0"/>
          <w:sz w:val="24"/>
        </w:rPr>
        <w:t>Phase 1: LXD-Informed Design Case With Learner and Contextual Analysis</w:t>
      </w:r>
    </w:p>
    <w:p>
      <w:pPr>
        <w:ind w:firstLine="720"/>
      </w:pPr>
      <w:r>
        <w:rPr>
          <w:rFonts w:ascii="Times New Roman" w:hAnsi="Times New Roman"/>
          <w:b w:val="0"/>
          <w:i w:val="0"/>
          <w:sz w:val="24"/>
        </w:rPr>
        <w:t>Phase 1 serves a dual purpose: documenting the design decisions behind Diverga’s checkpoint architecture and establishing a learner-centered foundation for Phase 2. The design case methodology (Boling, 2010; Smith, 2010) provides the structure for the former, while the learner and contextual analysis framework addresses the latter.</w:t>
      </w:r>
    </w:p>
    <w:p>
      <w:pPr>
        <w:spacing w:before="240"/>
        <w:jc w:val="left"/>
      </w:pPr>
      <w:r>
        <w:rPr>
          <w:rFonts w:ascii="Times New Roman" w:hAnsi="Times New Roman"/>
          <w:b/>
          <w:i/>
          <w:sz w:val="24"/>
        </w:rPr>
        <w:t>Design Documentation</w:t>
      </w:r>
    </w:p>
    <w:p>
      <w:pPr>
        <w:ind w:firstLine="720"/>
      </w:pPr>
      <w:r>
        <w:rPr>
          <w:rFonts w:ascii="Times New Roman" w:hAnsi="Times New Roman"/>
          <w:b w:val="0"/>
          <w:i w:val="0"/>
          <w:sz w:val="24"/>
        </w:rPr>
        <w:t>Using Learning Experience Design (LXD) methods, this phase systematically maps each of the nine authentic learning elements to specific Diverga design features (see Table 1), documents the design decisions and alternatives considered at each stage, analyzes how the MCP architecture enables or constrains each authentic learning element, and subjects the mapping to review by two to three independent instructional design experts.</w:t>
      </w:r>
    </w:p>
    <w:p>
      <w:pPr>
        <w:spacing w:before="240"/>
        <w:jc w:val="left"/>
      </w:pPr>
      <w:r>
        <w:rPr>
          <w:rFonts w:ascii="Times New Roman" w:hAnsi="Times New Roman"/>
          <w:b/>
          <w:i/>
          <w:sz w:val="24"/>
        </w:rPr>
        <w:t>Learner and Contextual Analysis</w:t>
      </w:r>
    </w:p>
    <w:p>
      <w:pPr>
        <w:ind w:firstLine="720"/>
      </w:pPr>
      <w:r>
        <w:rPr>
          <w:rFonts w:ascii="Times New Roman" w:hAnsi="Times New Roman"/>
          <w:b w:val="0"/>
          <w:i w:val="0"/>
          <w:sz w:val="24"/>
        </w:rPr>
        <w:t>Yang and Harbor’s (2023) analysis demonstrated that authentic learning designs fail when they proceed without systematic understanding of their learner population. Adapting Tessmer and Richey’s (1997) three-context framework for the present study, we conduct learner and contextual analyses across three levels that inform both the task design and the analytic lens for Phase 2. Table 2 presents this framework.</w:t>
      </w:r>
    </w:p>
    <w:p>
      <w:pPr>
        <w:spacing w:before="240"/>
      </w:pPr>
      <w:r>
        <w:rPr>
          <w:rFonts w:ascii="Times New Roman" w:hAnsi="Times New Roman"/>
          <w:b/>
          <w:i w:val="0"/>
          <w:sz w:val="24"/>
        </w:rPr>
        <w:t>Table 2</w:t>
      </w:r>
    </w:p>
    <w:p>
      <w:pPr>
        <w:spacing w:after="120"/>
      </w:pPr>
      <w:r>
        <w:rPr>
          <w:rFonts w:ascii="Times New Roman" w:hAnsi="Times New Roman"/>
          <w:b w:val="0"/>
          <w:i/>
          <w:sz w:val="24"/>
        </w:rPr>
        <w:t>Learner and Contextual Analysis Framework Adapted for AI-Mediated Research Design</w:t>
      </w:r>
    </w:p>
    <w:tbl>
      <w:tblPr>
        <w:tblW w:type="auto" w:w="0"/>
        <w:jc w:val="center"/>
        <w:tblLook w:firstColumn="1" w:firstRow="1" w:lastColumn="0" w:lastRow="0" w:noHBand="0" w:noVBand="1" w:val="04A0"/>
      </w:tblPr>
      <w:tblGrid>
        <w:gridCol w:w="3120"/>
        <w:gridCol w:w="3120"/>
        <w:gridCol w:w="3120"/>
      </w:tblGrid>
      <w:tr>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before="80" w:after="80"/>
            </w:pPr>
            <w:r/>
            <w:r>
              <w:rPr>
                <w:rFonts w:ascii="Times New Roman" w:hAnsi="Times New Roman"/>
                <w:b/>
                <w:i/>
                <w:sz w:val="20"/>
              </w:rPr>
              <w:t>Context Level</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before="80" w:after="80"/>
            </w:pPr>
            <w:r/>
            <w:r>
              <w:rPr>
                <w:rFonts w:ascii="Times New Roman" w:hAnsi="Times New Roman"/>
                <w:b/>
                <w:i/>
                <w:sz w:val="20"/>
              </w:rPr>
              <w:t>Analysis Focus</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before="80" w:after="80"/>
            </w:pPr>
            <w:r/>
            <w:r>
              <w:rPr>
                <w:rFonts w:ascii="Times New Roman" w:hAnsi="Times New Roman"/>
                <w:b/>
                <w:i/>
                <w:sz w:val="20"/>
              </w:rPr>
              <w:t>Data Sources</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Orienting context</w:t>
              <w:br/>
              <w:t>(pre-interaction)</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Prior research methods training; AI tool experience and attitudes; disciplinary norms; epistemological orientation</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Pre-survey; background questionnaire</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Instructional context</w:t>
              <w:br/>
              <w:t>(during interaction)</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Diverga interaction patterns; checkpoint engagement quality; T-Score interpretation accuracy; agent navigation behavior</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Checkpoint logs; screen recording; think-aloud</w:t>
            </w:r>
          </w:p>
        </w:tc>
      </w:tr>
      <w:tr>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before="40" w:after="40"/>
            </w:pPr>
            <w:r/>
            <w:r>
              <w:rPr>
                <w:rFonts w:ascii="Times New Roman" w:hAnsi="Times New Roman"/>
                <w:b w:val="0"/>
                <w:i w:val="0"/>
                <w:sz w:val="20"/>
              </w:rPr>
              <w:t>Transfer context</w:t>
              <w:br/>
              <w:t>(post-interaction)</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before="40" w:after="40"/>
            </w:pPr>
            <w:r/>
            <w:r>
              <w:rPr>
                <w:rFonts w:ascii="Times New Roman" w:hAnsi="Times New Roman"/>
                <w:b w:val="0"/>
                <w:i w:val="0"/>
                <w:sz w:val="20"/>
              </w:rPr>
              <w:t>Application of scaffolded skills to independent design; persistence of methodological reasoning gains</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before="40" w:after="40"/>
            </w:pPr>
            <w:r/>
            <w:r>
              <w:rPr>
                <w:rFonts w:ascii="Times New Roman" w:hAnsi="Times New Roman"/>
                <w:b w:val="0"/>
                <w:i w:val="0"/>
                <w:sz w:val="20"/>
              </w:rPr>
              <w:t>Re-design task artifacts; follow-up interview</w:t>
            </w:r>
          </w:p>
        </w:tc>
      </w:tr>
    </w:tbl>
    <w:p>
      <w:pPr>
        <w:spacing w:before="80"/>
      </w:pPr>
      <w:r>
        <w:rPr>
          <w:rFonts w:ascii="Times New Roman" w:hAnsi="Times New Roman"/>
          <w:i/>
          <w:sz w:val="20"/>
        </w:rPr>
        <w:t xml:space="preserve">Note. </w:t>
      </w:r>
      <w:r>
        <w:rPr>
          <w:rFonts w:ascii="Times New Roman" w:hAnsi="Times New Roman"/>
          <w:sz w:val="20"/>
        </w:rPr>
        <w:t>Framework adapted from Tessmer and Richey (1997) as applied in Yang and Harbor (2023). The three-context model ensures that analysis accounts for factors before, during, and after the learning interaction.</w:t>
      </w:r>
    </w:p>
    <w:p/>
    <w:p>
      <w:pPr>
        <w:spacing w:before="240"/>
        <w:jc w:val="left"/>
      </w:pPr>
      <w:r>
        <w:rPr>
          <w:rFonts w:ascii="Times New Roman" w:hAnsi="Times New Roman"/>
          <w:b/>
          <w:i w:val="0"/>
          <w:sz w:val="24"/>
        </w:rPr>
        <w:t>Phase 2: Mixed-Methods Evaluation</w:t>
      </w:r>
    </w:p>
    <w:p>
      <w:pPr>
        <w:ind w:firstLine="720"/>
      </w:pPr>
      <w:r>
        <w:rPr>
          <w:rFonts w:ascii="Times New Roman" w:hAnsi="Times New Roman"/>
          <w:b w:val="0"/>
          <w:i w:val="0"/>
          <w:sz w:val="24"/>
        </w:rPr>
        <w:t>Phase 2 employs a convergent mixed-methods design in which quantitative behavioral data and qualitative experiential data are collected concurrently and integrated during analysis. The design is modeled on Yang et al.’s (2025) approach to studying ChatGPT interactions among graduate students.</w:t>
      </w:r>
    </w:p>
    <w:p>
      <w:pPr>
        <w:spacing w:before="240"/>
        <w:jc w:val="left"/>
      </w:pPr>
      <w:r>
        <w:rPr>
          <w:rFonts w:ascii="Times New Roman" w:hAnsi="Times New Roman"/>
          <w:b/>
          <w:i/>
          <w:sz w:val="24"/>
        </w:rPr>
        <w:t>Participants</w:t>
      </w:r>
    </w:p>
    <w:p>
      <w:pPr>
        <w:ind w:firstLine="720"/>
      </w:pPr>
      <w:r>
        <w:rPr>
          <w:rFonts w:ascii="Times New Roman" w:hAnsi="Times New Roman"/>
          <w:b w:val="0"/>
          <w:i w:val="0"/>
          <w:sz w:val="24"/>
        </w:rPr>
        <w:t>Participants will be 12 to 16 social science doctoral students recruited from Pennsylvania State University and Texas A&amp;M University. The multi-site design strengthens transferability by capturing variation across institutional contexts. Inclusion criteria require completion of at least one research methodology course, prior experience with any AI tool, and basic familiarity with command-line interfaces. Participants with prior Diverga experience or computer science backgrounds will be excluded to ensure the evaluation captures authentic first encounters with the system.</w:t>
      </w:r>
    </w:p>
    <w:p>
      <w:pPr>
        <w:spacing w:before="240"/>
        <w:jc w:val="left"/>
      </w:pPr>
      <w:r>
        <w:rPr>
          <w:rFonts w:ascii="Times New Roman" w:hAnsi="Times New Roman"/>
          <w:b/>
          <w:i/>
          <w:sz w:val="24"/>
        </w:rPr>
        <w:t>Task Design</w:t>
      </w:r>
    </w:p>
    <w:p>
      <w:pPr>
        <w:ind w:firstLine="720"/>
      </w:pPr>
      <w:r>
        <w:rPr>
          <w:rFonts w:ascii="Times New Roman" w:hAnsi="Times New Roman"/>
          <w:b w:val="0"/>
          <w:i w:val="0"/>
          <w:sz w:val="24"/>
        </w:rPr>
        <w:t>The evaluation employs a within-subjects design with two research design scenarios of varying familiarity. Participants first complete a pre-task without Diverga, designing a study on a familiar topic, to establish baseline methodological reasoning. Following a brief orientation to the system, participants complete a post-task with Diverga on an unfamiliar topic using think-aloud protocol, and then revisit the original scenario with Diverga to enable direct pre–post comparison. A semi-structured interview concludes the session.</w:t>
      </w:r>
    </w:p>
    <w:p>
      <w:pPr>
        <w:spacing w:before="240"/>
        <w:jc w:val="left"/>
      </w:pPr>
      <w:r>
        <w:rPr>
          <w:rFonts w:ascii="Times New Roman" w:hAnsi="Times New Roman"/>
          <w:b/>
          <w:i/>
          <w:sz w:val="24"/>
        </w:rPr>
        <w:t>Data Sources and Analysis</w:t>
      </w:r>
    </w:p>
    <w:p>
      <w:pPr>
        <w:ind w:firstLine="720"/>
      </w:pPr>
      <w:r>
        <w:rPr>
          <w:rFonts w:ascii="Times New Roman" w:hAnsi="Times New Roman"/>
          <w:b w:val="0"/>
          <w:i w:val="0"/>
          <w:sz w:val="24"/>
        </w:rPr>
        <w:t>Table 3 presents the data sources, their alignment with research questions, and the analytic approach for each. The integration strategy employs joint displays aligning quantitative patterns with qualitative interpretations, and a convergence matrix identifying where findings agree or diverge.</w:t>
      </w:r>
    </w:p>
    <w:p>
      <w:pPr>
        <w:spacing w:before="240"/>
      </w:pPr>
      <w:r>
        <w:rPr>
          <w:rFonts w:ascii="Times New Roman" w:hAnsi="Times New Roman"/>
          <w:b/>
          <w:i w:val="0"/>
          <w:sz w:val="24"/>
        </w:rPr>
        <w:t>Table 3</w:t>
      </w:r>
    </w:p>
    <w:p>
      <w:pPr>
        <w:spacing w:after="120"/>
      </w:pPr>
      <w:r>
        <w:rPr>
          <w:rFonts w:ascii="Times New Roman" w:hAnsi="Times New Roman"/>
          <w:b w:val="0"/>
          <w:i/>
          <w:sz w:val="24"/>
        </w:rPr>
        <w:t>Data Sources, Research Question Alignment, and Analytic Approach</w:t>
      </w:r>
    </w:p>
    <w:tbl>
      <w:tblPr>
        <w:tblW w:type="auto" w:w="0"/>
        <w:jc w:val="center"/>
        <w:tblLook w:firstColumn="1" w:firstRow="1" w:lastColumn="0" w:lastRow="0" w:noHBand="0" w:noVBand="1" w:val="04A0"/>
      </w:tblPr>
      <w:tblGrid>
        <w:gridCol w:w="3120"/>
        <w:gridCol w:w="3120"/>
        <w:gridCol w:w="3120"/>
      </w:tblGrid>
      <w:tr>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before="80" w:after="80"/>
            </w:pPr>
            <w:r/>
            <w:r>
              <w:rPr>
                <w:rFonts w:ascii="Times New Roman" w:hAnsi="Times New Roman"/>
                <w:b/>
                <w:i/>
                <w:sz w:val="20"/>
              </w:rPr>
              <w:t>Data Source</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before="80" w:after="80"/>
            </w:pPr>
            <w:r/>
            <w:r>
              <w:rPr>
                <w:rFonts w:ascii="Times New Roman" w:hAnsi="Times New Roman"/>
                <w:b/>
                <w:i/>
                <w:sz w:val="20"/>
              </w:rPr>
              <w:t>RQ</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before="80" w:after="80"/>
            </w:pPr>
            <w:r/>
            <w:r>
              <w:rPr>
                <w:rFonts w:ascii="Times New Roman" w:hAnsi="Times New Roman"/>
                <w:b/>
                <w:i/>
                <w:sz w:val="20"/>
              </w:rPr>
              <w:t>Analytic Approach</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Checkpoint interaction logs</w:t>
              <w:br/>
              <w:t>(decision-log.yaml)</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1, 2</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Selection distributions; deliberation time patterns; T-Score choice frequencies</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Pre/post research design artifacts</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2</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Shannon Entropy Index for framework diversity; Wilcoxon signed-rank test</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Think-aloud protocols</w:t>
              <w:br/>
              <w:t>(screen + audio)</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1, 3</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Thematic analysis (Braun &amp; Clarke, 2006) with AL elements as sensitizing concepts</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Semi-structured interviews</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1, 3</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Deductive coding (AL framework) + inductive open coding; cross-site comparison</w:t>
            </w:r>
          </w:p>
        </w:tc>
      </w:tr>
      <w:tr>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before="40" w:after="40"/>
            </w:pPr>
            <w:r/>
            <w:r>
              <w:rPr>
                <w:rFonts w:ascii="Times New Roman" w:hAnsi="Times New Roman"/>
                <w:b w:val="0"/>
                <w:i w:val="0"/>
                <w:sz w:val="20"/>
              </w:rPr>
              <w:t>Screen recording behavioral data</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before="40" w:after="40"/>
            </w:pPr>
            <w:r/>
            <w:r>
              <w:rPr>
                <w:rFonts w:ascii="Times New Roman" w:hAnsi="Times New Roman"/>
                <w:b w:val="0"/>
                <w:i w:val="0"/>
                <w:sz w:val="20"/>
              </w:rPr>
              <w:t>2</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before="40" w:after="40"/>
            </w:pPr>
            <w:r/>
            <w:r>
              <w:rPr>
                <w:rFonts w:ascii="Times New Roman" w:hAnsi="Times New Roman"/>
                <w:b w:val="0"/>
                <w:i w:val="0"/>
                <w:sz w:val="20"/>
              </w:rPr>
              <w:t>T-Score inspection frequency; agent navigation sequences</w:t>
            </w:r>
          </w:p>
        </w:tc>
      </w:tr>
    </w:tbl>
    <w:p>
      <w:pPr>
        <w:spacing w:before="80"/>
      </w:pPr>
      <w:r>
        <w:rPr>
          <w:rFonts w:ascii="Times New Roman" w:hAnsi="Times New Roman"/>
          <w:i/>
          <w:sz w:val="20"/>
        </w:rPr>
        <w:t xml:space="preserve">Note. </w:t>
      </w:r>
      <w:r>
        <w:rPr>
          <w:rFonts w:ascii="Times New Roman" w:hAnsi="Times New Roman"/>
          <w:sz w:val="20"/>
        </w:rPr>
        <w:t>AL = authentic learning. Qualitative coding proceeds independently by both investigators in Round 1, followed by joint reconciliation to establish inter-rater reliability.</w:t>
      </w:r>
    </w:p>
    <w:p/>
    <w:p>
      <w:pPr>
        <w:spacing w:before="240"/>
        <w:jc w:val="center"/>
      </w:pPr>
      <w:r>
        <w:rPr>
          <w:rFonts w:ascii="Times New Roman" w:hAnsi="Times New Roman"/>
          <w:b/>
          <w:i w:val="0"/>
          <w:sz w:val="24"/>
        </w:rPr>
        <w:t>Complementary Investigator Expertise</w:t>
      </w:r>
    </w:p>
    <w:p>
      <w:pPr>
        <w:ind w:firstLine="720"/>
      </w:pPr>
      <w:r>
        <w:rPr>
          <w:rFonts w:ascii="Times New Roman" w:hAnsi="Times New Roman"/>
          <w:b w:val="0"/>
          <w:i w:val="0"/>
          <w:sz w:val="24"/>
        </w:rPr>
        <w:t>A distinctive strength of this study is the convergence of two complementary research programs. Table 4 maps how each investigator’s expertise addresses specific aspects of the research design. Notably, the existing Diverga evaluation proposal identifies the developer-researcher dual role as a methodological limitation requiring external collaboration. Yang’s independent pedagogical perspective and established track record in authentic learning research directly address this limitation, while You’s technical expertise in the Diverga platform and VS methodology provides the system-level knowledge necessary for the design case.</w:t>
      </w:r>
    </w:p>
    <w:p>
      <w:pPr>
        <w:spacing w:before="240"/>
      </w:pPr>
      <w:r>
        <w:rPr>
          <w:rFonts w:ascii="Times New Roman" w:hAnsi="Times New Roman"/>
          <w:b/>
          <w:i w:val="0"/>
          <w:sz w:val="24"/>
        </w:rPr>
        <w:t>Table 4</w:t>
      </w:r>
    </w:p>
    <w:p>
      <w:pPr>
        <w:spacing w:after="120"/>
      </w:pPr>
      <w:r>
        <w:rPr>
          <w:rFonts w:ascii="Times New Roman" w:hAnsi="Times New Roman"/>
          <w:b w:val="0"/>
          <w:i/>
          <w:sz w:val="24"/>
        </w:rPr>
        <w:t>Complementary Investigator Expertise and Research Design Contributions</w:t>
      </w:r>
    </w:p>
    <w:tbl>
      <w:tblPr>
        <w:tblW w:type="auto" w:w="0"/>
        <w:jc w:val="center"/>
        <w:tblLook w:firstColumn="1" w:firstRow="1" w:lastColumn="0" w:lastRow="0" w:noHBand="0" w:noVBand="1" w:val="04A0"/>
      </w:tblPr>
      <w:tblGrid>
        <w:gridCol w:w="3120"/>
        <w:gridCol w:w="3120"/>
        <w:gridCol w:w="3120"/>
      </w:tblGrid>
      <w:tr>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before="80" w:after="80"/>
            </w:pPr>
            <w:r/>
            <w:r>
              <w:rPr>
                <w:rFonts w:ascii="Times New Roman" w:hAnsi="Times New Roman"/>
                <w:b/>
                <w:i/>
                <w:sz w:val="20"/>
              </w:rPr>
              <w:t>Dimension</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before="80" w:after="80"/>
            </w:pPr>
            <w:r/>
            <w:r>
              <w:rPr>
                <w:rFonts w:ascii="Times New Roman" w:hAnsi="Times New Roman"/>
                <w:b/>
                <w:i/>
                <w:sz w:val="20"/>
              </w:rPr>
              <w:t>Yang</w:t>
            </w:r>
          </w:p>
        </w:tc>
        <w:tc>
          <w:tcPr>
            <w:tcW w:type="dxa" w:w="3120"/>
            <w:tcBorders>
              <w:top w:val="none" w:sz="0" w:space="0" w:color="auto"/>
              <w:left w:val="none" w:sz="0" w:space="0" w:color="auto"/>
              <w:bottom w:val="none" w:sz="0" w:space="0" w:color="auto"/>
              <w:right w:val="none" w:sz="0" w:space="0" w:color="auto"/>
            </w:tcBorders>
            <w:tcBorders>
              <w:top w:val="single" w:sz="12" w:space="0" w:color="000000"/>
              <w:bottom w:val="single" w:sz="6" w:space="0" w:color="000000"/>
            </w:tcBorders>
          </w:tcPr>
          <w:p>
            <w:pPr>
              <w:spacing w:line="360" w:lineRule="auto" w:before="80" w:after="80"/>
            </w:pPr>
            <w:r/>
            <w:r>
              <w:rPr>
                <w:rFonts w:ascii="Times New Roman" w:hAnsi="Times New Roman"/>
                <w:b/>
                <w:i/>
                <w:sz w:val="20"/>
              </w:rPr>
              <w:t>You</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Theoretical lens</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Authentic learning; transfer of training</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Verbalized Sampling; mode collapse theory</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Technical platform</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MCP architecture (dynamic learner state)</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Diverga platform (44 MCP-based agents)</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Design methodology</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LXD; design case; learner analysis</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EDR; Activity Theory; Conjecture Mapping</w:t>
            </w:r>
          </w:p>
        </w:tc>
      </w:tr>
      <w:tr>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AI tool research</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ChatGPT mixed-methods study (BJET, 2025)</w:t>
            </w:r>
          </w:p>
        </w:tc>
        <w:tc>
          <w:tcPr>
            <w:tcW w:type="dxa" w:w="3120"/>
            <w:tcBorders>
              <w:top w:val="none" w:sz="0" w:space="0" w:color="auto"/>
              <w:left w:val="none" w:sz="0" w:space="0" w:color="auto"/>
              <w:bottom w:val="none" w:sz="0" w:space="0" w:color="auto"/>
              <w:right w:val="none" w:sz="0" w:space="0" w:color="auto"/>
            </w:tcBorders>
          </w:tcPr>
          <w:p>
            <w:pPr>
              <w:spacing w:line="360" w:lineRule="auto" w:before="40" w:after="40"/>
            </w:pPr>
            <w:r/>
            <w:r>
              <w:rPr>
                <w:rFonts w:ascii="Times New Roman" w:hAnsi="Times New Roman"/>
                <w:b w:val="0"/>
                <w:i w:val="0"/>
                <w:sz w:val="20"/>
              </w:rPr>
              <w:t>Diverga evaluation proposal; comparative analysis</w:t>
            </w:r>
          </w:p>
        </w:tc>
      </w:tr>
      <w:tr>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before="40" w:after="40"/>
            </w:pPr>
            <w:r/>
            <w:r>
              <w:rPr>
                <w:rFonts w:ascii="Times New Roman" w:hAnsi="Times New Roman"/>
                <w:b w:val="0"/>
                <w:i w:val="0"/>
                <w:sz w:val="20"/>
              </w:rPr>
              <w:t>Institutional access</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before="40" w:after="40"/>
            </w:pPr>
            <w:r/>
            <w:r>
              <w:rPr>
                <w:rFonts w:ascii="Times New Roman" w:hAnsi="Times New Roman"/>
                <w:b w:val="0"/>
                <w:i w:val="0"/>
                <w:sz w:val="20"/>
              </w:rPr>
              <w:t>Texas A&amp;M doctoral students</w:t>
            </w:r>
          </w:p>
        </w:tc>
        <w:tc>
          <w:tcPr>
            <w:tcW w:type="dxa" w:w="3120"/>
            <w:tcBorders>
              <w:top w:val="none" w:sz="0" w:space="0" w:color="auto"/>
              <w:left w:val="none" w:sz="0" w:space="0" w:color="auto"/>
              <w:bottom w:val="none" w:sz="0" w:space="0" w:color="auto"/>
              <w:right w:val="none" w:sz="0" w:space="0" w:color="auto"/>
            </w:tcBorders>
            <w:tcBorders>
              <w:bottom w:val="single" w:sz="12" w:space="0" w:color="000000"/>
            </w:tcBorders>
          </w:tcPr>
          <w:p>
            <w:pPr>
              <w:spacing w:line="360" w:lineRule="auto" w:before="40" w:after="40"/>
            </w:pPr>
            <w:r/>
            <w:r>
              <w:rPr>
                <w:rFonts w:ascii="Times New Roman" w:hAnsi="Times New Roman"/>
                <w:b w:val="0"/>
                <w:i w:val="0"/>
                <w:sz w:val="20"/>
              </w:rPr>
              <w:t>Penn State doctoral students</w:t>
            </w:r>
          </w:p>
        </w:tc>
      </w:tr>
    </w:tbl>
    <w:p>
      <w:pPr>
        <w:spacing w:before="80"/>
      </w:pPr>
      <w:r>
        <w:rPr>
          <w:rFonts w:ascii="Times New Roman" w:hAnsi="Times New Roman"/>
          <w:i/>
          <w:sz w:val="20"/>
        </w:rPr>
        <w:t xml:space="preserve">Note. </w:t>
      </w:r>
      <w:r>
        <w:rPr>
          <w:rFonts w:ascii="Times New Roman" w:hAnsi="Times New Roman"/>
          <w:sz w:val="20"/>
        </w:rPr>
        <w:t>MCP = Model Context Protocol; LXD = Learning Experience Design; EDR = Educational Design Research; BJET = British Journal of Educational Technology.</w:t>
      </w:r>
    </w:p>
    <w:p/>
    <w:p>
      <w:pPr>
        <w:spacing w:before="240"/>
        <w:jc w:val="center"/>
      </w:pPr>
      <w:r>
        <w:rPr>
          <w:rFonts w:ascii="Times New Roman" w:hAnsi="Times New Roman"/>
          <w:b/>
          <w:i w:val="0"/>
          <w:sz w:val="24"/>
        </w:rPr>
        <w:t>Expected Contributions</w:t>
      </w:r>
    </w:p>
    <w:p>
      <w:pPr>
        <w:spacing w:before="240"/>
        <w:jc w:val="left"/>
      </w:pPr>
      <w:r>
        <w:rPr>
          <w:rFonts w:ascii="Times New Roman" w:hAnsi="Times New Roman"/>
          <w:b/>
          <w:i w:val="0"/>
          <w:sz w:val="24"/>
        </w:rPr>
        <w:t>Theoretical Contributions</w:t>
      </w:r>
    </w:p>
    <w:p>
      <w:pPr>
        <w:ind w:firstLine="720"/>
      </w:pPr>
      <w:r>
        <w:rPr>
          <w:rFonts w:ascii="Times New Roman" w:hAnsi="Times New Roman"/>
          <w:b w:val="0"/>
          <w:i w:val="0"/>
          <w:sz w:val="24"/>
        </w:rPr>
        <w:t>This study makes three theoretical contributions. First, it proposes an authentic AI scaffolding framework—the first application of Herrington et al.’s (2010) authentic learning theory to multi-agent AI research tools. Second, it develops a checkpoint-as-scaffold model that reconceptualizes human checkpoints from simple approval gates to epistemic scaffolds that activate methodological reasoning through forced reflection, perspective expansion, and reasoning externalization. Third, it extends Yang and Harbor’s (2023) findings on learner analysis to AI-mediated contexts, demonstrating that the same learner-centered design principles that determine success in face-to-face authentic learning also apply to AI tool design.</w:t>
      </w:r>
    </w:p>
    <w:p>
      <w:pPr>
        <w:spacing w:before="240"/>
        <w:jc w:val="left"/>
      </w:pPr>
      <w:r>
        <w:rPr>
          <w:rFonts w:ascii="Times New Roman" w:hAnsi="Times New Roman"/>
          <w:b/>
          <w:i w:val="0"/>
          <w:sz w:val="24"/>
        </w:rPr>
        <w:t>Practical Contributions</w:t>
      </w:r>
    </w:p>
    <w:p>
      <w:pPr>
        <w:ind w:firstLine="720"/>
      </w:pPr>
      <w:r>
        <w:rPr>
          <w:rFonts w:ascii="Times New Roman" w:hAnsi="Times New Roman"/>
          <w:b w:val="0"/>
          <w:i w:val="0"/>
          <w:sz w:val="24"/>
        </w:rPr>
        <w:t>The study generates evidence-based design principles for AI research tool developers, specifying guidelines for checkpoint placement, VS integration, and scaffolding calibration. The multi-site validation at two institutions strengthens the transferability of these principles across institutional contexts.</w:t>
      </w:r>
    </w:p>
    <w:p>
      <w:pPr>
        <w:spacing w:before="240"/>
        <w:jc w:val="left"/>
      </w:pPr>
      <w:r>
        <w:rPr>
          <w:rFonts w:ascii="Times New Roman" w:hAnsi="Times New Roman"/>
          <w:b/>
          <w:i w:val="0"/>
          <w:sz w:val="24"/>
        </w:rPr>
        <w:t>Methodological Contributions</w:t>
      </w:r>
    </w:p>
    <w:p>
      <w:pPr>
        <w:ind w:firstLine="720"/>
      </w:pPr>
      <w:r>
        <w:rPr>
          <w:rFonts w:ascii="Times New Roman" w:hAnsi="Times New Roman"/>
          <w:b w:val="0"/>
          <w:i w:val="0"/>
          <w:sz w:val="24"/>
        </w:rPr>
        <w:t>The integration of an LXD-informed design case with systematic learner and contextual analysis offers a replicable methodology for studying AI educational tools. The use of Diverga’s decision audit trail as behavioral research data establishes a precedent for leveraging built-in AI tool logs in educational research—an approach that enhances ecological validity by capturing authentic interaction patterns rather than relying solely on self-report.</w:t>
      </w:r>
    </w:p>
    <w:p>
      <w:pPr>
        <w:spacing w:before="240"/>
        <w:jc w:val="center"/>
      </w:pPr>
      <w:r>
        <w:rPr>
          <w:rFonts w:ascii="Times New Roman" w:hAnsi="Times New Roman"/>
          <w:b/>
          <w:i w:val="0"/>
          <w:sz w:val="24"/>
        </w:rPr>
        <w:t>Future Directions</w:t>
      </w:r>
    </w:p>
    <w:p>
      <w:pPr>
        <w:ind w:firstLine="720"/>
      </w:pPr>
      <w:r>
        <w:rPr>
          <w:rFonts w:ascii="Times New Roman" w:hAnsi="Times New Roman"/>
          <w:b w:val="0"/>
          <w:i w:val="0"/>
          <w:sz w:val="24"/>
        </w:rPr>
        <w:t>This study is designed as the first in a programmatic line of research. Subsequent investigations will examine whether research design skills scaffolded by checkpoints transfer to unassisted contexts, drawing on transfer of training theory. A comparative study contrasting multi-agent scaffolding (Diverga) with single-agent AI (ChatGPT) and no-AI conditions will isolate the contribution of specific design features. A full three-cycle Educational Design Research study will iteratively refine the design principles generated here, extending eventually to cross-disciplinary contexts in STEM and humanities research methodology.</w:t>
      </w:r>
    </w:p>
    <w:p>
      <w:pPr>
        <w:spacing w:before="240"/>
        <w:jc w:val="center"/>
      </w:pPr>
      <w:r>
        <w:rPr>
          <w:rFonts w:ascii="Times New Roman" w:hAnsi="Times New Roman"/>
          <w:b/>
          <w:i w:val="0"/>
          <w:sz w:val="24"/>
        </w:rPr>
        <w:t>References</w:t>
      </w:r>
    </w:p>
    <w:p>
      <w:pPr>
        <w:ind w:left="720" w:hanging="720"/>
      </w:pPr>
      <w:r>
        <w:rPr>
          <w:rFonts w:ascii="Times New Roman" w:hAnsi="Times New Roman"/>
          <w:b w:val="0"/>
          <w:i w:val="0"/>
          <w:sz w:val="24"/>
        </w:rPr>
        <w:t>Boling, E. (2010). The need for design cases: Disseminating design knowledge. International Journal of Designs for Learning, 1(1), 1–8.</w:t>
      </w:r>
    </w:p>
    <w:p>
      <w:pPr>
        <w:ind w:left="720" w:hanging="720"/>
      </w:pPr>
      <w:r>
        <w:rPr>
          <w:rFonts w:ascii="Times New Roman" w:hAnsi="Times New Roman"/>
          <w:b w:val="0"/>
          <w:i w:val="0"/>
          <w:sz w:val="24"/>
        </w:rPr>
        <w:t>Braun, V., &amp; Clarke, V. (2006). Using thematic analysis in psychology. Qualitative Research in Psychology, 3(2), 77–101.</w:t>
      </w:r>
    </w:p>
    <w:p>
      <w:pPr>
        <w:ind w:left="720" w:hanging="720"/>
      </w:pPr>
      <w:r>
        <w:rPr>
          <w:rFonts w:ascii="Times New Roman" w:hAnsi="Times New Roman"/>
          <w:b w:val="0"/>
          <w:i w:val="0"/>
          <w:sz w:val="24"/>
        </w:rPr>
        <w:t>Buçinca, Z., Malaya, M. B., &amp; Gajos, K. Z. (2021). To trust or to think: Cognitive forcing functions can reduce overreliance on AI in AI-assisted decision-making. Proceedings of the ACM on Human-Computer Interaction, 5(CSCW1), 1–21.</w:t>
      </w:r>
    </w:p>
    <w:p>
      <w:pPr>
        <w:ind w:left="720" w:hanging="720"/>
      </w:pPr>
      <w:r>
        <w:rPr>
          <w:rFonts w:ascii="Times New Roman" w:hAnsi="Times New Roman"/>
          <w:b w:val="0"/>
          <w:i w:val="0"/>
          <w:sz w:val="24"/>
        </w:rPr>
        <w:t>Creswell, J. W., &amp; Plano Clark, V. L. (2018). Designing and conducting mixed methods research (3rd ed.). SAGE.</w:t>
      </w:r>
    </w:p>
    <w:p>
      <w:pPr>
        <w:ind w:left="720" w:hanging="720"/>
      </w:pPr>
      <w:r>
        <w:rPr>
          <w:rFonts w:ascii="Times New Roman" w:hAnsi="Times New Roman"/>
          <w:b w:val="0"/>
          <w:i w:val="0"/>
          <w:sz w:val="24"/>
        </w:rPr>
        <w:t>Davidson-Shivers, G. V., Rasmussen, K. L., &amp; Lowenthal, P. R. (2018). Web-based learning: Design, implementation, and evaluation (2nd ed.). Springer.</w:t>
      </w:r>
    </w:p>
    <w:p>
      <w:pPr>
        <w:ind w:left="720" w:hanging="720"/>
      </w:pPr>
      <w:r>
        <w:rPr>
          <w:rFonts w:ascii="Times New Roman" w:hAnsi="Times New Roman"/>
          <w:b w:val="0"/>
          <w:i w:val="0"/>
          <w:sz w:val="24"/>
        </w:rPr>
        <w:t>EDUCAUSE. (2025). AI ethical guidelines. https://library.educause.edu/resources/2025/6/ai-ethical-guidelines</w:t>
      </w:r>
    </w:p>
    <w:p>
      <w:pPr>
        <w:ind w:left="720" w:hanging="720"/>
      </w:pPr>
      <w:r>
        <w:rPr>
          <w:rFonts w:ascii="Times New Roman" w:hAnsi="Times New Roman"/>
          <w:b w:val="0"/>
          <w:i w:val="0"/>
          <w:sz w:val="24"/>
        </w:rPr>
        <w:t>Herrington, J., Reeves, T. C., &amp; Oliver, R. (2010). A guide to authentic e-learning. Routledge.</w:t>
      </w:r>
    </w:p>
    <w:p>
      <w:pPr>
        <w:ind w:left="720" w:hanging="720"/>
      </w:pPr>
      <w:r>
        <w:rPr>
          <w:rFonts w:ascii="Times New Roman" w:hAnsi="Times New Roman"/>
          <w:b w:val="0"/>
          <w:i w:val="0"/>
          <w:sz w:val="24"/>
        </w:rPr>
        <w:t>Smith, K. M. (2010). Producing the rigorous design case. International Journal of Designs for Learning, 1(1), 9–20.</w:t>
      </w:r>
    </w:p>
    <w:p>
      <w:pPr>
        <w:ind w:left="720" w:hanging="720"/>
      </w:pPr>
      <w:r>
        <w:rPr>
          <w:rFonts w:ascii="Times New Roman" w:hAnsi="Times New Roman"/>
          <w:b w:val="0"/>
          <w:i w:val="0"/>
          <w:sz w:val="24"/>
        </w:rPr>
        <w:t>Tessmer, M., &amp; Richey, R. C. (1997). The role of context in learning and instructional design. Educational Technology Research and Development, 45(2), 85–115.</w:t>
      </w:r>
    </w:p>
    <w:p>
      <w:pPr>
        <w:ind w:left="720" w:hanging="720"/>
      </w:pPr>
      <w:r>
        <w:rPr>
          <w:rFonts w:ascii="Times New Roman" w:hAnsi="Times New Roman"/>
          <w:b w:val="0"/>
          <w:i w:val="0"/>
          <w:sz w:val="24"/>
        </w:rPr>
        <w:t>Yang, M., &amp; Harbor, J. (2023). Authentic learning design failures: The need for learner and contextual analysis and participatory design. International Journal of Designs for Learning, 14(1), 88–105. https://doi.org/10.14434/ijdl.v14i1.35246</w:t>
      </w:r>
    </w:p>
    <w:p>
      <w:pPr>
        <w:ind w:left="720" w:hanging="720"/>
      </w:pPr>
      <w:r>
        <w:rPr>
          <w:rFonts w:ascii="Times New Roman" w:hAnsi="Times New Roman"/>
          <w:b w:val="0"/>
          <w:i w:val="0"/>
          <w:sz w:val="24"/>
        </w:rPr>
        <w:t>Yang, M., Jiang, S., Li, B., Herman, K., Luo, T., Moots, S. C., &amp; Lovett, N. (2025). Analysing nontraditional students’ ChatGPT interaction, engagement, self-efficacy and performance: A mixed-methods approach. British Journal of Educational Technology, 56(5), 1973–2000.</w:t>
      </w:r>
    </w:p>
    <w:p>
      <w:pPr>
        <w:ind w:left="720" w:hanging="720"/>
      </w:pPr>
      <w:r>
        <w:rPr>
          <w:rFonts w:ascii="Times New Roman" w:hAnsi="Times New Roman"/>
          <w:b w:val="0"/>
          <w:i w:val="0"/>
          <w:sz w:val="24"/>
        </w:rPr>
        <w:t>Yang, M., Lovett, N., Li, B., &amp; Hou, Z. (2025). Towards dynamic learner state: Orchestrating AI agents and workplace performance via the Model Context Protocol. Education Sciences, 15(8), 1004.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