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24"/>
        </w:rPr>
        <w:t>Designing Authentic AI Scaffolding for Research Methodology Learning:</w:t>
        <w:br/>
        <w:t>An LXD-Informed Design Case of a Multi-Agent Checkpoint System</w:t>
      </w:r>
    </w:p>
    <w:p/>
    <w:p>
      <w:pPr>
        <w:jc w:val="center"/>
      </w:pPr>
      <w:r>
        <w:rPr>
          <w:rFonts w:ascii="Times New Roman" w:hAnsi="Times New Roman"/>
          <w:sz w:val="24"/>
        </w:rPr>
        <w:t>Hosung You</w:t>
      </w:r>
    </w:p>
    <w:p>
      <w:pPr>
        <w:jc w:val="center"/>
      </w:pPr>
      <w:r>
        <w:rPr>
          <w:rFonts w:ascii="Times New Roman" w:hAnsi="Times New Roman"/>
          <w:sz w:val="24"/>
        </w:rPr>
        <w:t>College of Education, Pennsylvania State University</w:t>
      </w:r>
    </w:p>
    <w:p/>
    <w:p>
      <w:pPr>
        <w:jc w:val="center"/>
      </w:pPr>
      <w:r>
        <w:rPr>
          <w:rFonts w:ascii="Times New Roman" w:hAnsi="Times New Roman"/>
          <w:sz w:val="24"/>
        </w:rPr>
        <w:t>Mohan Yang</w:t>
      </w:r>
    </w:p>
    <w:p>
      <w:pPr>
        <w:jc w:val="center"/>
      </w:pPr>
      <w:r>
        <w:rPr>
          <w:rFonts w:ascii="Times New Roman" w:hAnsi="Times New Roman"/>
          <w:sz w:val="24"/>
        </w:rPr>
        <w:t>Texas A&amp;M University</w:t>
      </w:r>
    </w:p>
    <w:p/>
    <w:p>
      <w:pPr>
        <w:jc w:val="center"/>
      </w:pPr>
      <w:r>
        <w:rPr>
          <w:rFonts w:ascii="Times New Roman" w:hAnsi="Times New Roman"/>
          <w:b/>
          <w:sz w:val="24"/>
        </w:rPr>
        <w:t>Author Note</w:t>
      </w:r>
    </w:p>
    <w:p>
      <w:pPr>
        <w:ind w:firstLine="720"/>
        <w:jc w:val="left"/>
      </w:pPr>
      <w:r>
        <w:rPr>
          <w:rFonts w:ascii="Times New Roman" w:hAnsi="Times New Roman"/>
          <w:sz w:val="24"/>
        </w:rPr>
        <w:t xml:space="preserve">Hosung You </w:t>
      </w:r>
      <w:r>
        <w:rPr>
          <w:rFonts w:ascii="Times New Roman" w:hAnsi="Times New Roman"/>
          <w:sz w:val="24"/>
        </w:rPr>
        <w:t>https://orcid.org/XXXX-XXXX-XXXX-XXXX</w:t>
      </w:r>
    </w:p>
    <w:p>
      <w:pPr>
        <w:ind w:firstLine="720"/>
      </w:pPr>
      <w:r>
        <w:rPr>
          <w:rFonts w:ascii="Times New Roman" w:hAnsi="Times New Roman"/>
          <w:sz w:val="24"/>
        </w:rPr>
        <w:t>Correspondence concerning this article should be addressed to Hosung You, College of Education, Pennsylvania State University. Email: [email]</w:t>
      </w:r>
    </w:p>
    <w:p>
      <w:r>
        <w:br w:type="page"/>
      </w:r>
    </w:p>
    <w:p>
      <w:pPr>
        <w:spacing w:before="240"/>
        <w:jc w:val="center"/>
      </w:pPr>
      <w:r>
        <w:rPr>
          <w:rFonts w:ascii="Times New Roman" w:hAnsi="Times New Roman"/>
          <w:b/>
          <w:sz w:val="24"/>
        </w:rPr>
        <w:t>Abstract</w:t>
      </w:r>
    </w:p>
    <w:p>
      <w:r>
        <w:rPr>
          <w:rFonts w:ascii="Times New Roman" w:hAnsi="Times New Roman"/>
          <w:sz w:val="24"/>
        </w:rPr>
        <w:t>AI-powered research tools are rapidly being adopted by graduate students for research design, yet critical concerns about mode collapse and automation bias remain unaddressed. This study proposes a two-phase research design that examines whether multi-agent AI research tools can scaffold—rather than replace—researchers’ methodological reasoning. Integrating authentic learning theory (Herrington et al., 2010) with Verbalized Sampling methodology and the Model Context Protocol (MCP) architecture, we investigate Diverga, a 44-agent AI research methodology assistant with structured human checkpoints. Phase 1 employs a Learning Experience Design (LXD)-informed design case to document how authentic learning principles are operationalized in the checkpoint system. Phase 2 uses a mixed-methods evaluation with social science doctoral students (N = 12–16) at two institutions to empirically examine checkpoint-mediated scaffolding. Data sources include checkpoint interaction logs, pre/post research design artifacts, think-aloud protocols, and semi-structured interviews. This study contributes an authentic AI scaffolding framework, evidence-based design principles for AI research tool developers, and a replicable evaluation methodology for AI-mediated learning tools.</w:t>
      </w:r>
    </w:p>
    <w:p>
      <w:pPr>
        <w:ind w:firstLine="720"/>
      </w:pPr>
      <w:r>
        <w:rPr>
          <w:rFonts w:ascii="Times New Roman" w:hAnsi="Times New Roman"/>
          <w:i/>
          <w:sz w:val="24"/>
        </w:rPr>
        <w:t xml:space="preserve">Keywords: </w:t>
      </w:r>
      <w:r>
        <w:rPr>
          <w:rFonts w:ascii="Times New Roman" w:hAnsi="Times New Roman"/>
          <w:sz w:val="24"/>
        </w:rPr>
        <w:t>authentic learning, AI scaffolding, human checkpoint, mode collapse, verbalized sampling, multi-agent systems, research methodology education</w:t>
      </w:r>
    </w:p>
    <w:p>
      <w:r>
        <w:br w:type="page"/>
      </w:r>
    </w:p>
    <w:p>
      <w:pPr>
        <w:spacing w:before="240"/>
        <w:jc w:val="center"/>
      </w:pPr>
      <w:r>
        <w:rPr>
          <w:rFonts w:ascii="Times New Roman" w:hAnsi="Times New Roman"/>
          <w:b/>
          <w:sz w:val="24"/>
        </w:rPr>
        <w:t>Designing Authentic AI Scaffolding for Research Methodology Learning: An LXD-Informed Design Case of a Multi-Agent Checkpoint System</w:t>
      </w:r>
    </w:p>
    <w:p>
      <w:pPr>
        <w:ind w:firstLine="720"/>
      </w:pPr>
      <w:r>
        <w:rPr>
          <w:rFonts w:ascii="Times New Roman" w:hAnsi="Times New Roman"/>
          <w:sz w:val="24"/>
        </w:rPr>
        <w:t>AI-powered research tools such as Elicit, Consensus, SciSpace, and ChatGPT are being rapidly adopted by graduate students and early-career researchers for research design tasks. These tools have demonstrated utility in literature search and data synthesis; however, their application to research design—the stage where theoretical, methodological, and ethical decisions intersect—raises two critical concerns that remain largely unaddressed.</w:t>
      </w:r>
    </w:p>
    <w:p>
      <w:pPr>
        <w:ind w:firstLine="720"/>
      </w:pPr>
      <w:r>
        <w:rPr>
          <w:rFonts w:ascii="Times New Roman" w:hAnsi="Times New Roman"/>
          <w:sz w:val="24"/>
        </w:rPr>
        <w:t>The first concern is mode collapse. When general-purpose AI tools are asked for research methodology recommendations, they converge on predictable, modal responses: TAM for technology adoption studies, thematic analysis for qualitative research, random-effects models for meta-analysis. This phenomenon arises from typicality bias in training data, where annotators systematically prefer familiar text, causing models to converge on the most typical responses (arXiv:2510.01171). The implications for scholarly diversity are significant: researchers’ theoretical choices may become homogenized by AI’s modal recommendations.</w:t>
      </w:r>
    </w:p>
    <w:p>
      <w:pPr>
        <w:ind w:firstLine="720"/>
      </w:pPr>
      <w:r>
        <w:rPr>
          <w:rFonts w:ascii="Times New Roman" w:hAnsi="Times New Roman"/>
          <w:sz w:val="24"/>
        </w:rPr>
        <w:t>The second concern is automation bias. A systematic review found that 78% of agents accepted AI output without independent review, and 51% of decisions followed AI suggestions uncritically (Springer Nature, 2025). Furthermore, AI tool usage frequency has been found to correlate negatively with critical thinking ability, mediated by cognitive offloading (Microsoft Research, 2025). These findings raise urgent questions about the design of AI tools used in research training.</w:t>
      </w:r>
    </w:p>
    <w:p>
      <w:pPr>
        <w:ind w:firstLine="720"/>
      </w:pPr>
      <w:r>
        <w:rPr>
          <w:rFonts w:ascii="Times New Roman" w:hAnsi="Times New Roman"/>
          <w:sz w:val="24"/>
        </w:rPr>
        <w:t>The central question driving this research is: Can AI research tools be designed to scaffold—rather than replace—researchers’ methodological reasoning? This question is urgent because AI tools are being adopted faster than evidence-based design frameworks can guide their responsible integration into research training.</w:t>
      </w:r>
    </w:p>
    <w:p>
      <w:pPr>
        <w:ind w:firstLine="720"/>
      </w:pPr>
      <w:r>
        <w:rPr>
          <w:rFonts w:ascii="Times New Roman" w:hAnsi="Times New Roman"/>
          <w:sz w:val="24"/>
        </w:rPr>
        <w:t>This study addresses this question through an interdisciplinary collaboration that integrates authentic learning theory (Herrington et al., 2010) with Verbalized Sampling (VS) methodology and the Model Context Protocol (MCP) architecture. We examine Diverga, a 44-agent AI research methodology assistant with structured human checkpoints, through a two-phase design: an LXD-informed design case followed by a mixed-methods evaluation with doctoral students at two institutions.</w:t>
      </w:r>
    </w:p>
    <w:p>
      <w:pPr>
        <w:spacing w:before="240"/>
        <w:jc w:val="center"/>
      </w:pPr>
      <w:r>
        <w:rPr>
          <w:rFonts w:ascii="Times New Roman" w:hAnsi="Times New Roman"/>
          <w:b/>
          <w:sz w:val="24"/>
        </w:rPr>
        <w:t>Research Problem</w:t>
      </w:r>
    </w:p>
    <w:p>
      <w:pPr>
        <w:spacing w:before="240"/>
        <w:jc w:val="left"/>
      </w:pPr>
      <w:r>
        <w:rPr>
          <w:rFonts w:ascii="Times New Roman" w:hAnsi="Times New Roman"/>
          <w:b/>
          <w:sz w:val="24"/>
        </w:rPr>
        <w:t>Mode Collapse in AI Research Tools</w:t>
      </w:r>
    </w:p>
    <w:p>
      <w:pPr>
        <w:ind w:firstLine="720"/>
      </w:pPr>
      <w:r>
        <w:rPr>
          <w:rFonts w:ascii="Times New Roman" w:hAnsi="Times New Roman"/>
          <w:sz w:val="24"/>
        </w:rPr>
        <w:t>Mode collapse occurs when AI language models converge on a narrow set of highly predictable responses. In the context of research methodology, this manifests as repeated recommendations of the most commonly cited theories, methods, and analytical approaches. The root cause is typicality bias: human annotators in the training pipeline systematically prefer text that feels familiar, causing models to learn that typical outputs are "better" outputs (arXiv:2510.01171). This structural problem is not resolved by prompt engineering or model fine-tuning; it requires architectural intervention in how recommendations are generated and presented.</w:t>
      </w:r>
    </w:p>
    <w:p>
      <w:pPr>
        <w:spacing w:before="240"/>
        <w:jc w:val="left"/>
      </w:pPr>
      <w:r>
        <w:rPr>
          <w:rFonts w:ascii="Times New Roman" w:hAnsi="Times New Roman"/>
          <w:b/>
          <w:sz w:val="24"/>
        </w:rPr>
        <w:t>Automation Bias in Research Design</w:t>
      </w:r>
    </w:p>
    <w:p>
      <w:pPr>
        <w:ind w:firstLine="720"/>
      </w:pPr>
      <w:r>
        <w:rPr>
          <w:rFonts w:ascii="Times New Roman" w:hAnsi="Times New Roman"/>
          <w:sz w:val="24"/>
        </w:rPr>
        <w:t>Automation bias—the tendency to favor AI-generated suggestions over independent judgment—poses a particular threat in research design contexts. Unlike domains where AI recommendations can be verified against objective criteria (e.g., medical diagnosis, navigation), research design involves epistemological choices where multiple valid approaches exist. When researchers accept AI recommendations without critical evaluation, the diversity and creativity of scholarly inquiry are at risk. Studies on cognitive forcing functions (Buçinca et al., 2021) and warning nudges have demonstrated that structured intervention can reduce automation bias, but these mechanisms have not been systematically applied to AI research tools.</w:t>
      </w:r>
    </w:p>
    <w:p>
      <w:pPr>
        <w:spacing w:before="240"/>
        <w:jc w:val="left"/>
      </w:pPr>
      <w:r>
        <w:rPr>
          <w:rFonts w:ascii="Times New Roman" w:hAnsi="Times New Roman"/>
          <w:b/>
          <w:sz w:val="24"/>
        </w:rPr>
        <w:t>The Need for Design Frameworks</w:t>
      </w:r>
    </w:p>
    <w:p>
      <w:pPr>
        <w:ind w:firstLine="720"/>
      </w:pPr>
      <w:r>
        <w:rPr>
          <w:rFonts w:ascii="Times New Roman" w:hAnsi="Times New Roman"/>
          <w:sz w:val="24"/>
        </w:rPr>
        <w:t>Despite the rapid adoption of AI tools in research, we lack empirically grounded design frameworks that specify how these tools should be built to support—rather than supplant—researchers’ critical thinking. Existing ethical frameworks for AI in education (EDUCAUSE, 2025) address learners and educators but not researchers using AI for study design. This gap calls for research that examines concrete design features—such as multi-agent architectures, human checkpoints, and diversity-generating mechanisms—through established pedagogical theory.</w:t>
      </w:r>
    </w:p>
    <w:p>
      <w:pPr>
        <w:spacing w:before="240"/>
        <w:jc w:val="center"/>
      </w:pPr>
      <w:r>
        <w:rPr>
          <w:rFonts w:ascii="Times New Roman" w:hAnsi="Times New Roman"/>
          <w:b/>
          <w:sz w:val="24"/>
        </w:rPr>
        <w:t>Theoretical Framework</w:t>
      </w:r>
    </w:p>
    <w:p>
      <w:pPr>
        <w:ind w:firstLine="720"/>
      </w:pPr>
      <w:r>
        <w:rPr>
          <w:rFonts w:ascii="Times New Roman" w:hAnsi="Times New Roman"/>
          <w:sz w:val="24"/>
        </w:rPr>
        <w:t>This study integrates three theoretical and technical layers: authentic learning as the pedagogical framework, Verbalized Sampling as the diversity-generation mechanism, and the Model Context Protocol as the technical architecture enabling multi-agent orchestration.</w:t>
      </w:r>
    </w:p>
    <w:p>
      <w:pPr>
        <w:spacing w:before="240"/>
        <w:jc w:val="left"/>
      </w:pPr>
      <w:r>
        <w:rPr>
          <w:rFonts w:ascii="Times New Roman" w:hAnsi="Times New Roman"/>
          <w:b/>
          <w:sz w:val="24"/>
        </w:rPr>
        <w:t>Authentic Learning</w:t>
      </w:r>
    </w:p>
    <w:p>
      <w:pPr>
        <w:ind w:firstLine="720"/>
      </w:pPr>
      <w:r>
        <w:rPr>
          <w:rFonts w:ascii="Times New Roman" w:hAnsi="Times New Roman"/>
          <w:sz w:val="24"/>
        </w:rPr>
        <w:t>Herrington, Reeves, and Oliver’s (2010) authentic learning framework identifies nine elements that characterize learning environments promoting deep engagement and knowledge transfer: authentic context, authentic activity, multiple perspectives, collaboration, reflection, articulation, coaching and scaffolding, authentic assessment, and expert performance modeling. Originally developed for technology-enhanced learning in higher education, this framework provides both a design lens (criteria for designing the AI-mediated experience) and an analytical lens (dimensions for evaluating scaffolding effectiveness).</w:t>
      </w:r>
    </w:p>
    <w:p>
      <w:pPr>
        <w:ind w:firstLine="720"/>
      </w:pPr>
      <w:r>
        <w:rPr>
          <w:rFonts w:ascii="Times New Roman" w:hAnsi="Times New Roman"/>
          <w:sz w:val="24"/>
        </w:rPr>
        <w:t>We propose that Diverga’s checkpoint system operationalizes authentic learning principles within an AI-mediated research design context. Table 1 presents this mapping.</w:t>
      </w:r>
    </w:p>
    <w:p>
      <w:pPr>
        <w:spacing w:before="240"/>
        <w:jc w:val="left"/>
      </w:pPr>
      <w:r>
        <w:rPr>
          <w:rFonts w:ascii="Times New Roman" w:hAnsi="Times New Roman"/>
          <w:b/>
          <w:i/>
          <w:sz w:val="24"/>
        </w:rPr>
        <w:t>Table 1</w:t>
      </w:r>
    </w:p>
    <w:p>
      <w:r>
        <w:rPr>
          <w:rFonts w:ascii="Times New Roman" w:hAnsi="Times New Roman"/>
          <w:i/>
          <w:sz w:val="24"/>
        </w:rPr>
        <w:t>Mapping of Authentic Learning Elements to Diverga Design Features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0"/>
              </w:rPr>
              <w:t>Authentic Learning Element</w:t>
            </w:r>
          </w:p>
        </w:tc>
        <w:tc>
          <w:tcPr>
            <w:tcW w:type="dxa" w:w="3120"/>
          </w:tcPr>
          <w:p>
            <w:pPr>
              <w:spacing w:line="360" w:lineRule="auto"/>
            </w:pPr>
            <w:r/>
            <w:r>
              <w:rPr>
                <w:rFonts w:ascii="Times New Roman" w:hAnsi="Times New Roman"/>
                <w:b/>
                <w:sz w:val="20"/>
              </w:rPr>
              <w:t>Diverga Design Feature</w:t>
            </w:r>
          </w:p>
        </w:tc>
        <w:tc>
          <w:tcPr>
            <w:tcW w:type="dxa" w:w="3120"/>
          </w:tcPr>
          <w:p>
            <w:pPr>
              <w:spacing w:line="360" w:lineRule="auto"/>
            </w:pPr>
            <w:r/>
            <w:r>
              <w:rPr>
                <w:rFonts w:ascii="Times New Roman" w:hAnsi="Times New Roman"/>
                <w:b/>
                <w:sz w:val="20"/>
              </w:rPr>
              <w:t>Design Rationale</w:t>
            </w:r>
          </w:p>
        </w:tc>
      </w:tr>
      <w:tr>
        <w:tc>
          <w:tcPr>
            <w:tcW w:type="dxa" w:w="3120"/>
          </w:tcPr>
          <w:p>
            <w:pPr>
              <w:spacing w:line="360" w:lineRule="auto"/>
            </w:pPr>
            <w:r/>
            <w:r>
              <w:rPr>
                <w:rFonts w:ascii="Times New Roman" w:hAnsi="Times New Roman"/>
                <w:sz w:val="20"/>
              </w:rPr>
              <w:t>Authentic context</w:t>
            </w:r>
          </w:p>
        </w:tc>
        <w:tc>
          <w:tcPr>
            <w:tcW w:type="dxa" w:w="3120"/>
          </w:tcPr>
          <w:p>
            <w:pPr>
              <w:spacing w:line="360" w:lineRule="auto"/>
            </w:pPr>
            <w:r/>
            <w:r>
              <w:rPr>
                <w:rFonts w:ascii="Times New Roman" w:hAnsi="Times New Roman"/>
                <w:sz w:val="20"/>
              </w:rPr>
              <w:t>Real research design scenarios</w:t>
            </w:r>
          </w:p>
        </w:tc>
        <w:tc>
          <w:tcPr>
            <w:tcW w:type="dxa" w:w="3120"/>
          </w:tcPr>
          <w:p>
            <w:pPr>
              <w:spacing w:line="360" w:lineRule="auto"/>
            </w:pPr>
            <w:r/>
            <w:r>
              <w:rPr>
                <w:rFonts w:ascii="Times New Roman" w:hAnsi="Times New Roman"/>
                <w:sz w:val="20"/>
              </w:rPr>
              <w:t>Ecological validity; tasks mirror actual researcher workflow</w:t>
            </w:r>
          </w:p>
        </w:tc>
      </w:tr>
      <w:tr>
        <w:tc>
          <w:tcPr>
            <w:tcW w:type="dxa" w:w="3120"/>
          </w:tcPr>
          <w:p>
            <w:pPr>
              <w:spacing w:line="360" w:lineRule="auto"/>
            </w:pPr>
            <w:r/>
            <w:r>
              <w:rPr>
                <w:rFonts w:ascii="Times New Roman" w:hAnsi="Times New Roman"/>
                <w:sz w:val="20"/>
              </w:rPr>
              <w:t>Authentic activity</w:t>
            </w:r>
          </w:p>
        </w:tc>
        <w:tc>
          <w:tcPr>
            <w:tcW w:type="dxa" w:w="3120"/>
          </w:tcPr>
          <w:p>
            <w:pPr>
              <w:spacing w:line="360" w:lineRule="auto"/>
            </w:pPr>
            <w:r/>
            <w:r>
              <w:rPr>
                <w:rFonts w:ascii="Times New Roman" w:hAnsi="Times New Roman"/>
                <w:sz w:val="20"/>
              </w:rPr>
              <w:t>Full RQ → theory → method pipeline</w:t>
            </w:r>
          </w:p>
        </w:tc>
        <w:tc>
          <w:tcPr>
            <w:tcW w:type="dxa" w:w="3120"/>
          </w:tcPr>
          <w:p>
            <w:pPr>
              <w:spacing w:line="360" w:lineRule="auto"/>
            </w:pPr>
            <w:r/>
            <w:r>
              <w:rPr>
                <w:rFonts w:ascii="Times New Roman" w:hAnsi="Times New Roman"/>
                <w:sz w:val="20"/>
              </w:rPr>
              <w:t>Matches authentic research design process</w:t>
            </w:r>
          </w:p>
        </w:tc>
      </w:tr>
      <w:tr>
        <w:tc>
          <w:tcPr>
            <w:tcW w:type="dxa" w:w="3120"/>
          </w:tcPr>
          <w:p>
            <w:pPr>
              <w:spacing w:line="360" w:lineRule="auto"/>
            </w:pPr>
            <w:r/>
            <w:r>
              <w:rPr>
                <w:rFonts w:ascii="Times New Roman" w:hAnsi="Times New Roman"/>
                <w:sz w:val="20"/>
              </w:rPr>
              <w:t>Multiple perspectives</w:t>
            </w:r>
          </w:p>
        </w:tc>
        <w:tc>
          <w:tcPr>
            <w:tcW w:type="dxa" w:w="3120"/>
          </w:tcPr>
          <w:p>
            <w:pPr>
              <w:spacing w:line="360" w:lineRule="auto"/>
            </w:pPr>
            <w:r/>
            <w:r>
              <w:rPr>
                <w:rFonts w:ascii="Times New Roman" w:hAnsi="Times New Roman"/>
                <w:sz w:val="20"/>
              </w:rPr>
              <w:t>VS multi-alternative generation + T-Score</w:t>
            </w:r>
          </w:p>
        </w:tc>
        <w:tc>
          <w:tcPr>
            <w:tcW w:type="dxa" w:w="3120"/>
          </w:tcPr>
          <w:p>
            <w:pPr>
              <w:spacing w:line="360" w:lineRule="auto"/>
            </w:pPr>
            <w:r/>
            <w:r>
              <w:rPr>
                <w:rFonts w:ascii="Times New Roman" w:hAnsi="Times New Roman"/>
                <w:sz w:val="20"/>
              </w:rPr>
              <w:t>Counters mode collapse; surfaces non-modal options</w:t>
            </w:r>
          </w:p>
        </w:tc>
      </w:tr>
      <w:tr>
        <w:tc>
          <w:tcPr>
            <w:tcW w:type="dxa" w:w="3120"/>
          </w:tcPr>
          <w:p>
            <w:pPr>
              <w:spacing w:line="360" w:lineRule="auto"/>
            </w:pPr>
            <w:r/>
            <w:r>
              <w:rPr>
                <w:rFonts w:ascii="Times New Roman" w:hAnsi="Times New Roman"/>
                <w:sz w:val="20"/>
              </w:rPr>
              <w:t>Collaboration</w:t>
            </w:r>
          </w:p>
        </w:tc>
        <w:tc>
          <w:tcPr>
            <w:tcW w:type="dxa" w:w="3120"/>
          </w:tcPr>
          <w:p>
            <w:pPr>
              <w:spacing w:line="360" w:lineRule="auto"/>
            </w:pPr>
            <w:r/>
            <w:r>
              <w:rPr>
                <w:rFonts w:ascii="Times New Roman" w:hAnsi="Times New Roman"/>
                <w:sz w:val="20"/>
              </w:rPr>
              <w:t>Structured AI-researcher dialogue at checkpoints</w:t>
            </w:r>
          </w:p>
        </w:tc>
        <w:tc>
          <w:tcPr>
            <w:tcW w:type="dxa" w:w="3120"/>
          </w:tcPr>
          <w:p>
            <w:pPr>
              <w:spacing w:line="360" w:lineRule="auto"/>
            </w:pPr>
            <w:r/>
            <w:r>
              <w:rPr>
                <w:rFonts w:ascii="Times New Roman" w:hAnsi="Times New Roman"/>
                <w:sz w:val="20"/>
              </w:rPr>
              <w:t>AI as epistemic partner, not oracle</w:t>
            </w:r>
          </w:p>
        </w:tc>
      </w:tr>
      <w:tr>
        <w:tc>
          <w:tcPr>
            <w:tcW w:type="dxa" w:w="3120"/>
          </w:tcPr>
          <w:p>
            <w:pPr>
              <w:spacing w:line="360" w:lineRule="auto"/>
            </w:pPr>
            <w:r/>
            <w:r>
              <w:rPr>
                <w:rFonts w:ascii="Times New Roman" w:hAnsi="Times New Roman"/>
                <w:sz w:val="20"/>
              </w:rPr>
              <w:t>Reflection</w:t>
            </w:r>
          </w:p>
        </w:tc>
        <w:tc>
          <w:tcPr>
            <w:tcW w:type="dxa" w:w="3120"/>
          </w:tcPr>
          <w:p>
            <w:pPr>
              <w:spacing w:line="360" w:lineRule="auto"/>
            </w:pPr>
            <w:r/>
            <w:r>
              <w:rPr>
                <w:rFonts w:ascii="Times New Roman" w:hAnsi="Times New Roman"/>
                <w:sz w:val="20"/>
              </w:rPr>
              <w:t>REQUIRED human checkpoints (forced pause)</w:t>
            </w:r>
          </w:p>
        </w:tc>
        <w:tc>
          <w:tcPr>
            <w:tcW w:type="dxa" w:w="3120"/>
          </w:tcPr>
          <w:p>
            <w:pPr>
              <w:spacing w:line="360" w:lineRule="auto"/>
            </w:pPr>
            <w:r/>
            <w:r>
              <w:rPr>
                <w:rFonts w:ascii="Times New Roman" w:hAnsi="Times New Roman"/>
                <w:sz w:val="20"/>
              </w:rPr>
              <w:t>Cognitive forcing function (Buçinca et al., 2021)</w:t>
            </w:r>
          </w:p>
        </w:tc>
      </w:tr>
      <w:tr>
        <w:tc>
          <w:tcPr>
            <w:tcW w:type="dxa" w:w="3120"/>
          </w:tcPr>
          <w:p>
            <w:pPr>
              <w:spacing w:line="360" w:lineRule="auto"/>
            </w:pPr>
            <w:r/>
            <w:r>
              <w:rPr>
                <w:rFonts w:ascii="Times New Roman" w:hAnsi="Times New Roman"/>
                <w:sz w:val="20"/>
              </w:rPr>
              <w:t>Articulation</w:t>
            </w:r>
          </w:p>
        </w:tc>
        <w:tc>
          <w:tcPr>
            <w:tcW w:type="dxa" w:w="3120"/>
          </w:tcPr>
          <w:p>
            <w:pPr>
              <w:spacing w:line="360" w:lineRule="auto"/>
            </w:pPr>
            <w:r/>
            <w:r>
              <w:rPr>
                <w:rFonts w:ascii="Times New Roman" w:hAnsi="Times New Roman"/>
                <w:sz w:val="20"/>
              </w:rPr>
              <w:t>Decision audit trail (YAML log)</w:t>
            </w:r>
          </w:p>
        </w:tc>
        <w:tc>
          <w:tcPr>
            <w:tcW w:type="dxa" w:w="3120"/>
          </w:tcPr>
          <w:p>
            <w:pPr>
              <w:spacing w:line="360" w:lineRule="auto"/>
            </w:pPr>
            <w:r/>
            <w:r>
              <w:rPr>
                <w:rFonts w:ascii="Times New Roman" w:hAnsi="Times New Roman"/>
                <w:sz w:val="20"/>
              </w:rPr>
              <w:t>Externalizes reasoning; supports metacognition</w:t>
            </w:r>
          </w:p>
        </w:tc>
      </w:tr>
      <w:tr>
        <w:tc>
          <w:tcPr>
            <w:tcW w:type="dxa" w:w="3120"/>
          </w:tcPr>
          <w:p>
            <w:pPr>
              <w:spacing w:line="360" w:lineRule="auto"/>
            </w:pPr>
            <w:r/>
            <w:r>
              <w:rPr>
                <w:rFonts w:ascii="Times New Roman" w:hAnsi="Times New Roman"/>
                <w:sz w:val="20"/>
              </w:rPr>
              <w:t>Coaching &amp; scaffolding</w:t>
            </w:r>
          </w:p>
        </w:tc>
        <w:tc>
          <w:tcPr>
            <w:tcW w:type="dxa" w:w="3120"/>
          </w:tcPr>
          <w:p>
            <w:pPr>
              <w:spacing w:line="360" w:lineRule="auto"/>
            </w:pPr>
            <w:r/>
            <w:r>
              <w:rPr>
                <w:rFonts w:ascii="Times New Roman" w:hAnsi="Times New Roman"/>
                <w:sz w:val="20"/>
              </w:rPr>
              <w:t>Agent-specific contextual guidance + T-Score</w:t>
            </w:r>
          </w:p>
        </w:tc>
        <w:tc>
          <w:tcPr>
            <w:tcW w:type="dxa" w:w="3120"/>
          </w:tcPr>
          <w:p>
            <w:pPr>
              <w:spacing w:line="360" w:lineRule="auto"/>
            </w:pPr>
            <w:r/>
            <w:r>
              <w:rPr>
                <w:rFonts w:ascii="Times New Roman" w:hAnsi="Times New Roman"/>
                <w:sz w:val="20"/>
              </w:rPr>
              <w:t>Calibrated support with transparency</w:t>
            </w:r>
          </w:p>
        </w:tc>
      </w:tr>
      <w:tr>
        <w:tc>
          <w:tcPr>
            <w:tcW w:type="dxa" w:w="3120"/>
          </w:tcPr>
          <w:p>
            <w:pPr>
              <w:spacing w:line="360" w:lineRule="auto"/>
            </w:pPr>
            <w:r/>
            <w:r>
              <w:rPr>
                <w:rFonts w:ascii="Times New Roman" w:hAnsi="Times New Roman"/>
                <w:sz w:val="20"/>
              </w:rPr>
              <w:t>Authentic assessment</w:t>
            </w:r>
          </w:p>
        </w:tc>
        <w:tc>
          <w:tcPr>
            <w:tcW w:type="dxa" w:w="3120"/>
          </w:tcPr>
          <w:p>
            <w:pPr>
              <w:spacing w:line="360" w:lineRule="auto"/>
            </w:pPr>
            <w:r/>
            <w:r>
              <w:rPr>
                <w:rFonts w:ascii="Times New Roman" w:hAnsi="Times New Roman"/>
                <w:sz w:val="20"/>
              </w:rPr>
              <w:t>Research design artifact as product</w:t>
            </w:r>
          </w:p>
        </w:tc>
        <w:tc>
          <w:tcPr>
            <w:tcW w:type="dxa" w:w="3120"/>
          </w:tcPr>
          <w:p>
            <w:pPr>
              <w:spacing w:line="360" w:lineRule="auto"/>
            </w:pPr>
            <w:r/>
            <w:r>
              <w:rPr>
                <w:rFonts w:ascii="Times New Roman" w:hAnsi="Times New Roman"/>
                <w:sz w:val="20"/>
              </w:rPr>
              <w:t>Performance-based, not test-based evaluation</w:t>
            </w:r>
          </w:p>
        </w:tc>
      </w:tr>
      <w:tr>
        <w:tc>
          <w:tcPr>
            <w:tcW w:type="dxa" w:w="3120"/>
          </w:tcPr>
          <w:p>
            <w:pPr>
              <w:spacing w:line="360" w:lineRule="auto"/>
            </w:pPr>
            <w:r/>
            <w:r>
              <w:rPr>
                <w:rFonts w:ascii="Times New Roman" w:hAnsi="Times New Roman"/>
                <w:sz w:val="20"/>
              </w:rPr>
              <w:t>Expert performance modeling</w:t>
            </w:r>
          </w:p>
        </w:tc>
        <w:tc>
          <w:tcPr>
            <w:tcW w:type="dxa" w:w="3120"/>
          </w:tcPr>
          <w:p>
            <w:pPr>
              <w:spacing w:line="360" w:lineRule="auto"/>
            </w:pPr>
            <w:r/>
            <w:r>
              <w:rPr>
                <w:rFonts w:ascii="Times New Roman" w:hAnsi="Times New Roman"/>
                <w:sz w:val="20"/>
              </w:rPr>
              <w:t>Domain-specialized agents (44 across 9 categories)</w:t>
            </w:r>
          </w:p>
        </w:tc>
        <w:tc>
          <w:tcPr>
            <w:tcW w:type="dxa" w:w="3120"/>
          </w:tcPr>
          <w:p>
            <w:pPr>
              <w:spacing w:line="360" w:lineRule="auto"/>
            </w:pPr>
            <w:r/>
            <w:r>
              <w:rPr>
                <w:rFonts w:ascii="Times New Roman" w:hAnsi="Times New Roman"/>
                <w:sz w:val="20"/>
              </w:rPr>
              <w:t>Models expert reasoning in each methodological domain</w:t>
            </w:r>
          </w:p>
        </w:tc>
      </w:tr>
    </w:tbl>
    <w:p/>
    <w:p>
      <w:pPr>
        <w:spacing w:before="240"/>
        <w:jc w:val="left"/>
      </w:pPr>
      <w:r>
        <w:rPr>
          <w:rFonts w:ascii="Times New Roman" w:hAnsi="Times New Roman"/>
          <w:b/>
          <w:sz w:val="24"/>
        </w:rPr>
        <w:t>Verbalized Sampling and Mode Collapse Theory</w:t>
      </w:r>
    </w:p>
    <w:p>
      <w:pPr>
        <w:ind w:firstLine="720"/>
      </w:pPr>
      <w:r>
        <w:rPr>
          <w:rFonts w:ascii="Times New Roman" w:hAnsi="Times New Roman"/>
          <w:sz w:val="24"/>
        </w:rPr>
        <w:t>Verbalized Sampling (VS; arXiv:2510.01171) is a prompting methodology that mitigates mode collapse by instructing language models to generate multiple alternative outputs with explicit typicality scores (T-Scores). The T-Score quantifies how "modal" each recommendation is relative to the model’s training distribution, enabling users to see both familiar and unconventional options. In Diverga, VS is integrated at every checkpoint where methodological recommendations are presented, ensuring that researchers are exposed to a range of alternatives rather than a single "best" answer.</w:t>
      </w:r>
    </w:p>
    <w:p>
      <w:pPr>
        <w:spacing w:before="240"/>
        <w:jc w:val="left"/>
      </w:pPr>
      <w:r>
        <w:rPr>
          <w:rFonts w:ascii="Times New Roman" w:hAnsi="Times New Roman"/>
          <w:b/>
          <w:sz w:val="24"/>
        </w:rPr>
        <w:t>Model Context Protocol Architecture</w:t>
      </w:r>
    </w:p>
    <w:p>
      <w:pPr>
        <w:ind w:firstLine="720"/>
      </w:pPr>
      <w:r>
        <w:rPr>
          <w:rFonts w:ascii="Times New Roman" w:hAnsi="Times New Roman"/>
          <w:sz w:val="24"/>
        </w:rPr>
        <w:t>The Model Context Protocol (MCP) provides the technical infrastructure for orchestrating multiple specialized AI agents. Yang et al. (2025) theorized how MCP enables dynamic learner state management in workplace performance contexts. Diverga extends this by implementing 44 specialized agents across nine research categories (A–G, I, X), each with domain-specific expertise, coordinated through MCP. The shared MCP foundation between Yang’s theoretical framework and Diverga’s implementation creates a unique opportunity to bridge theory and practice in AI-mediated research scaffolding.</w:t>
      </w:r>
    </w:p>
    <w:p>
      <w:pPr>
        <w:spacing w:before="240"/>
        <w:jc w:val="left"/>
      </w:pPr>
      <w:r>
        <w:rPr>
          <w:rFonts w:ascii="Times New Roman" w:hAnsi="Times New Roman"/>
          <w:b/>
          <w:sz w:val="24"/>
        </w:rPr>
        <w:t>Core Conjecture</w:t>
      </w:r>
    </w:p>
    <w:p>
      <w:pPr>
        <w:ind w:firstLine="720"/>
      </w:pPr>
      <w:r>
        <w:rPr>
          <w:rFonts w:ascii="Times New Roman" w:hAnsi="Times New Roman"/>
          <w:sz w:val="24"/>
        </w:rPr>
        <w:t>When an AI research tool implements authentic learning principles through multi-agent architecture with structured human checkpoints and diversity-generating mechanisms (VS), it scaffolds—rather than replaces—researchers’ methodological reasoning. This scaffolding effect is mediated by three mechanisms: forced reflection (checkpoints), perspective expansion (VS alternatives), and reasoning externalization (decision audit trail).</w:t>
      </w:r>
    </w:p>
    <w:p>
      <w:pPr>
        <w:spacing w:before="240"/>
        <w:jc w:val="center"/>
      </w:pPr>
      <w:r>
        <w:rPr>
          <w:rFonts w:ascii="Times New Roman" w:hAnsi="Times New Roman"/>
          <w:b/>
          <w:sz w:val="24"/>
        </w:rPr>
        <w:t>Research Questions</w:t>
      </w:r>
    </w:p>
    <w:p>
      <w:r>
        <w:rPr>
          <w:rFonts w:ascii="Times New Roman" w:hAnsi="Times New Roman"/>
          <w:sz w:val="24"/>
        </w:rPr>
        <w:t>This study is guided by three research questions:</w:t>
      </w:r>
    </w:p>
    <w:p>
      <w:pPr>
        <w:ind w:firstLine="720"/>
      </w:pPr>
      <w:r>
        <w:rPr>
          <w:rFonts w:ascii="Times New Roman" w:hAnsi="Times New Roman"/>
          <w:sz w:val="24"/>
        </w:rPr>
        <w:t>RQ1: How do the authentic learning elements embedded in Diverga’s checkpoint system manifest in researchers’ actual usage patterns and experiences?</w:t>
      </w:r>
    </w:p>
    <w:p>
      <w:pPr>
        <w:ind w:firstLine="720"/>
      </w:pPr>
      <w:r>
        <w:rPr>
          <w:rFonts w:ascii="Times New Roman" w:hAnsi="Times New Roman"/>
          <w:sz w:val="24"/>
        </w:rPr>
        <w:t>RQ2: To what extent does VS-based multi-alternative presentation affect the diversity and quality of researchers’ methodological choices?</w:t>
      </w:r>
    </w:p>
    <w:p>
      <w:pPr>
        <w:ind w:firstLine="720"/>
      </w:pPr>
      <w:r>
        <w:rPr>
          <w:rFonts w:ascii="Times New Roman" w:hAnsi="Times New Roman"/>
          <w:sz w:val="24"/>
        </w:rPr>
        <w:t>RQ3: What design tensions emerge between authentic scaffolding and automation bias in multi-agent AI research tools?</w:t>
      </w:r>
    </w:p>
    <w:p>
      <w:pPr>
        <w:spacing w:before="240"/>
        <w:jc w:val="center"/>
      </w:pPr>
      <w:r>
        <w:rPr>
          <w:rFonts w:ascii="Times New Roman" w:hAnsi="Times New Roman"/>
          <w:b/>
          <w:sz w:val="24"/>
        </w:rPr>
        <w:t>Method</w:t>
      </w:r>
    </w:p>
    <w:p>
      <w:pPr>
        <w:spacing w:before="240"/>
        <w:jc w:val="left"/>
      </w:pPr>
      <w:r>
        <w:rPr>
          <w:rFonts w:ascii="Times New Roman" w:hAnsi="Times New Roman"/>
          <w:b/>
          <w:sz w:val="24"/>
        </w:rPr>
        <w:t>Research Design Overview</w:t>
      </w:r>
    </w:p>
    <w:p>
      <w:pPr>
        <w:ind w:firstLine="720"/>
      </w:pPr>
      <w:r>
        <w:rPr>
          <w:rFonts w:ascii="Times New Roman" w:hAnsi="Times New Roman"/>
          <w:sz w:val="24"/>
        </w:rPr>
        <w:t>This study employs a two-phase design combining a design case methodology (Phase 1) with a mixed-methods evaluation (Phase 2). Phase 1 documents the design rationale of Diverga’s checkpoint system through the authentic learning framework using Learning Experience Design (LXD) methods. Phase 2 empirically examines how the design performs with actual users through quantitative behavioral data and qualitative interview and think-aloud data.</w:t>
      </w:r>
    </w:p>
    <w:p>
      <w:pPr>
        <w:spacing w:before="240"/>
        <w:jc w:val="left"/>
      </w:pPr>
      <w:r>
        <w:rPr>
          <w:rFonts w:ascii="Times New Roman" w:hAnsi="Times New Roman"/>
          <w:b/>
          <w:sz w:val="24"/>
        </w:rPr>
        <w:t>Phase 1: LXD-Informed Design Case</w:t>
      </w:r>
    </w:p>
    <w:p>
      <w:pPr>
        <w:ind w:firstLine="720"/>
      </w:pPr>
      <w:r>
        <w:rPr>
          <w:rFonts w:ascii="Times New Roman" w:hAnsi="Times New Roman"/>
          <w:sz w:val="24"/>
        </w:rPr>
        <w:t>Phase 1 adopts the design case methodology (Boling, 2010; Smith, 2010) informed by Learning Experience Design (LXD) principles. The design case systematically documents how authentic learning principles were operationalized in Diverga’s checkpoint architecture, including design decisions made, alternatives considered, and rationale for each choice.</w:t>
      </w:r>
    </w:p>
    <w:p>
      <w:pPr>
        <w:spacing w:before="240"/>
        <w:jc w:val="left"/>
      </w:pPr>
      <w:r>
        <w:rPr>
          <w:rFonts w:ascii="Times New Roman" w:hAnsi="Times New Roman"/>
          <w:b/>
          <w:i/>
          <w:sz w:val="24"/>
        </w:rPr>
        <w:t>Activities</w:t>
      </w:r>
    </w:p>
    <w:p>
      <w:pPr>
        <w:ind w:firstLine="720"/>
      </w:pPr>
      <w:r>
        <w:rPr>
          <w:rFonts w:ascii="Times New Roman" w:hAnsi="Times New Roman"/>
          <w:sz w:val="24"/>
        </w:rPr>
        <w:t>Four activities comprise Phase 1: (a) an authentic learning audit mapping each of the nine elements to specific Diverga features; (b) design decision documentation using LXD-structured retrospective analysis; (c) MCP architecture analysis documenting how the protocol enables or constrains each authentic learning element; and (d) expert review by two to three instructional design experts who evaluate the alignment mapping.</w:t>
      </w:r>
    </w:p>
    <w:p>
      <w:pPr>
        <w:spacing w:before="240"/>
        <w:jc w:val="left"/>
      </w:pPr>
      <w:r>
        <w:rPr>
          <w:rFonts w:ascii="Times New Roman" w:hAnsi="Times New Roman"/>
          <w:b/>
          <w:sz w:val="24"/>
        </w:rPr>
        <w:t>Phase 2: Mixed-Methods Evaluation</w:t>
      </w:r>
    </w:p>
    <w:p>
      <w:pPr>
        <w:ind w:firstLine="720"/>
      </w:pPr>
      <w:r>
        <w:rPr>
          <w:rFonts w:ascii="Times New Roman" w:hAnsi="Times New Roman"/>
          <w:sz w:val="24"/>
        </w:rPr>
        <w:t>Phase 2 employs a convergent mixed-methods design modeled on Yang et al.’s (2025) ChatGPT interaction study published in the British Journal of Educational Technology. Quantitative behavioral data from checkpoint logs and pre/post design artifacts are integrated with qualitative data from think-aloud protocols and semi-structured interviews.</w:t>
      </w:r>
    </w:p>
    <w:p>
      <w:pPr>
        <w:spacing w:before="240"/>
        <w:jc w:val="left"/>
      </w:pPr>
      <w:r>
        <w:rPr>
          <w:rFonts w:ascii="Times New Roman" w:hAnsi="Times New Roman"/>
          <w:b/>
          <w:i/>
          <w:sz w:val="24"/>
        </w:rPr>
        <w:t>Participants</w:t>
      </w:r>
    </w:p>
    <w:p>
      <w:pPr>
        <w:ind w:firstLine="720"/>
      </w:pPr>
      <w:r>
        <w:rPr>
          <w:rFonts w:ascii="Times New Roman" w:hAnsi="Times New Roman"/>
          <w:sz w:val="24"/>
        </w:rPr>
        <w:t>Participants will be 12 to 16 social science doctoral students recruited from Pennsylvania State University and Texas A&amp;M University. Inclusion criteria are: (a) completion of at least one research methodology course, (b) prior experience with AI tools, and (c) basic familiarity with command-line interface environments. Exclusion criteria are: (a) prior Diverga usage and (b) computer science or engineering major. Participants will be recruited through guest workshops in research methods courses at both institutions.</w:t>
      </w:r>
    </w:p>
    <w:p>
      <w:pPr>
        <w:spacing w:before="240"/>
        <w:jc w:val="left"/>
      </w:pPr>
      <w:r>
        <w:rPr>
          <w:rFonts w:ascii="Times New Roman" w:hAnsi="Times New Roman"/>
          <w:b/>
          <w:i/>
          <w:sz w:val="24"/>
        </w:rPr>
        <w:t>Task Design</w:t>
      </w:r>
    </w:p>
    <w:p>
      <w:pPr>
        <w:ind w:firstLine="720"/>
      </w:pPr>
      <w:r>
        <w:rPr>
          <w:rFonts w:ascii="Times New Roman" w:hAnsi="Times New Roman"/>
          <w:sz w:val="24"/>
        </w:rPr>
        <w:t>The evaluation employs a within-subjects pre/post design with four sequential phases. First, a pre-task without Diverga: participants design a study on "The impact of AI tools on K-12 student academic achievement" including theoretical framework, methods, and data collection plan (30 minutes). Second, a tool orientation session introducing Diverga features, the checkpoint system, and VS/T-Score mechanics (20 minutes). Third, a post-task with Diverga: participants design a study on "The impact of AI-based collaboration tools on team creativity in remote work" using think-aloud protocol (60 minutes). Fourth, a re-design task: participants revisit the pre-task scenario using Diverga with think-aloud protocol (40 minutes). Finally, a 30-minute semi-structured interview is conducted.</w:t>
      </w:r>
    </w:p>
    <w:p>
      <w:pPr>
        <w:spacing w:before="240"/>
        <w:jc w:val="left"/>
      </w:pPr>
      <w:r>
        <w:rPr>
          <w:rFonts w:ascii="Times New Roman" w:hAnsi="Times New Roman"/>
          <w:b/>
          <w:i/>
          <w:sz w:val="24"/>
        </w:rPr>
        <w:t>Data Sources</w:t>
      </w:r>
    </w:p>
    <w:p>
      <w:pPr>
        <w:ind w:firstLine="720"/>
      </w:pPr>
      <w:r>
        <w:rPr>
          <w:rFonts w:ascii="Times New Roman" w:hAnsi="Times New Roman"/>
          <w:sz w:val="24"/>
        </w:rPr>
        <w:t>Five categories of data will be collected. Table 2 summarizes the data sources, collection methods, and their alignment with research questions.</w:t>
      </w:r>
    </w:p>
    <w:p>
      <w:pPr>
        <w:spacing w:before="240"/>
        <w:jc w:val="left"/>
      </w:pPr>
      <w:r>
        <w:rPr>
          <w:rFonts w:ascii="Times New Roman" w:hAnsi="Times New Roman"/>
          <w:b/>
          <w:i/>
          <w:sz w:val="24"/>
        </w:rPr>
        <w:t>Table 2</w:t>
      </w:r>
    </w:p>
    <w:p>
      <w:r>
        <w:rPr>
          <w:rFonts w:ascii="Times New Roman" w:hAnsi="Times New Roman"/>
          <w:i/>
          <w:sz w:val="24"/>
        </w:rPr>
        <w:t>Data Sources and Research Question Alignment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360" w:lineRule="auto"/>
            </w:pPr>
            <w:r/>
            <w:r>
              <w:rPr>
                <w:rFonts w:ascii="Times New Roman" w:hAnsi="Times New Roman"/>
                <w:b/>
                <w:sz w:val="20"/>
              </w:rPr>
              <w:t>Data Source</w:t>
            </w:r>
          </w:p>
        </w:tc>
        <w:tc>
          <w:tcPr>
            <w:tcW w:type="dxa" w:w="2340"/>
          </w:tcPr>
          <w:p>
            <w:pPr>
              <w:spacing w:line="360" w:lineRule="auto"/>
            </w:pPr>
            <w:r/>
            <w:r>
              <w:rPr>
                <w:rFonts w:ascii="Times New Roman" w:hAnsi="Times New Roman"/>
                <w:b/>
                <w:sz w:val="20"/>
              </w:rPr>
              <w:t>Collection Method</w:t>
            </w:r>
          </w:p>
        </w:tc>
        <w:tc>
          <w:tcPr>
            <w:tcW w:type="dxa" w:w="2340"/>
          </w:tcPr>
          <w:p>
            <w:pPr>
              <w:spacing w:line="360" w:lineRule="auto"/>
            </w:pPr>
            <w:r/>
            <w:r>
              <w:rPr>
                <w:rFonts w:ascii="Times New Roman" w:hAnsi="Times New Roman"/>
                <w:b/>
                <w:sz w:val="20"/>
              </w:rPr>
              <w:t>Analysis Purpose</w:t>
            </w:r>
          </w:p>
        </w:tc>
        <w:tc>
          <w:tcPr>
            <w:tcW w:type="dxa" w:w="2340"/>
          </w:tcPr>
          <w:p>
            <w:pPr>
              <w:spacing w:line="360" w:lineRule="auto"/>
            </w:pPr>
            <w:r/>
            <w:r>
              <w:rPr>
                <w:rFonts w:ascii="Times New Roman" w:hAnsi="Times New Roman"/>
                <w:b/>
                <w:sz w:val="20"/>
              </w:rPr>
              <w:t>RQ</w:t>
            </w:r>
          </w:p>
        </w:tc>
      </w:tr>
      <w:tr>
        <w:tc>
          <w:tcPr>
            <w:tcW w:type="dxa" w:w="2340"/>
          </w:tcPr>
          <w:p>
            <w:pPr>
              <w:spacing w:line="360" w:lineRule="auto"/>
            </w:pPr>
            <w:r/>
            <w:r>
              <w:rPr>
                <w:rFonts w:ascii="Times New Roman" w:hAnsi="Times New Roman"/>
                <w:sz w:val="20"/>
              </w:rPr>
              <w:t>Checkpoint logs</w:t>
            </w:r>
          </w:p>
        </w:tc>
        <w:tc>
          <w:tcPr>
            <w:tcW w:type="dxa" w:w="2340"/>
          </w:tcPr>
          <w:p>
            <w:pPr>
              <w:spacing w:line="360" w:lineRule="auto"/>
            </w:pPr>
            <w:r/>
            <w:r>
              <w:rPr>
                <w:rFonts w:ascii="Times New Roman" w:hAnsi="Times New Roman"/>
                <w:sz w:val="20"/>
              </w:rPr>
              <w:t>Diverga decision-log.yaml</w:t>
            </w:r>
          </w:p>
        </w:tc>
        <w:tc>
          <w:tcPr>
            <w:tcW w:type="dxa" w:w="2340"/>
          </w:tcPr>
          <w:p>
            <w:pPr>
              <w:spacing w:line="360" w:lineRule="auto"/>
            </w:pPr>
            <w:r/>
            <w:r>
              <w:rPr>
                <w:rFonts w:ascii="Times New Roman" w:hAnsi="Times New Roman"/>
                <w:sz w:val="20"/>
              </w:rPr>
              <w:t>Selection patterns, deliberation time, T-Score choices</w:t>
            </w:r>
          </w:p>
        </w:tc>
        <w:tc>
          <w:tcPr>
            <w:tcW w:type="dxa" w:w="2340"/>
          </w:tcPr>
          <w:p>
            <w:pPr>
              <w:spacing w:line="360" w:lineRule="auto"/>
            </w:pPr>
            <w:r/>
            <w:r>
              <w:rPr>
                <w:rFonts w:ascii="Times New Roman" w:hAnsi="Times New Roman"/>
                <w:sz w:val="20"/>
              </w:rPr>
              <w:t>RQ1, RQ2</w:t>
            </w:r>
          </w:p>
        </w:tc>
      </w:tr>
      <w:tr>
        <w:tc>
          <w:tcPr>
            <w:tcW w:type="dxa" w:w="2340"/>
          </w:tcPr>
          <w:p>
            <w:pPr>
              <w:spacing w:line="360" w:lineRule="auto"/>
            </w:pPr>
            <w:r/>
            <w:r>
              <w:rPr>
                <w:rFonts w:ascii="Times New Roman" w:hAnsi="Times New Roman"/>
                <w:sz w:val="20"/>
              </w:rPr>
              <w:t>Design artifacts</w:t>
            </w:r>
          </w:p>
        </w:tc>
        <w:tc>
          <w:tcPr>
            <w:tcW w:type="dxa" w:w="2340"/>
          </w:tcPr>
          <w:p>
            <w:pPr>
              <w:spacing w:line="360" w:lineRule="auto"/>
            </w:pPr>
            <w:r/>
            <w:r>
              <w:rPr>
                <w:rFonts w:ascii="Times New Roman" w:hAnsi="Times New Roman"/>
                <w:sz w:val="20"/>
              </w:rPr>
              <w:t>Pre/post research design documents</w:t>
            </w:r>
          </w:p>
        </w:tc>
        <w:tc>
          <w:tcPr>
            <w:tcW w:type="dxa" w:w="2340"/>
          </w:tcPr>
          <w:p>
            <w:pPr>
              <w:spacing w:line="360" w:lineRule="auto"/>
            </w:pPr>
            <w:r/>
            <w:r>
              <w:rPr>
                <w:rFonts w:ascii="Times New Roman" w:hAnsi="Times New Roman"/>
                <w:sz w:val="20"/>
              </w:rPr>
              <w:t>Framework diversity, design quality change</w:t>
            </w:r>
          </w:p>
        </w:tc>
        <w:tc>
          <w:tcPr>
            <w:tcW w:type="dxa" w:w="2340"/>
          </w:tcPr>
          <w:p>
            <w:pPr>
              <w:spacing w:line="360" w:lineRule="auto"/>
            </w:pPr>
            <w:r/>
            <w:r>
              <w:rPr>
                <w:rFonts w:ascii="Times New Roman" w:hAnsi="Times New Roman"/>
                <w:sz w:val="20"/>
              </w:rPr>
              <w:t>RQ2</w:t>
            </w:r>
          </w:p>
        </w:tc>
      </w:tr>
      <w:tr>
        <w:tc>
          <w:tcPr>
            <w:tcW w:type="dxa" w:w="2340"/>
          </w:tcPr>
          <w:p>
            <w:pPr>
              <w:spacing w:line="360" w:lineRule="auto"/>
            </w:pPr>
            <w:r/>
            <w:r>
              <w:rPr>
                <w:rFonts w:ascii="Times New Roman" w:hAnsi="Times New Roman"/>
                <w:sz w:val="20"/>
              </w:rPr>
              <w:t>Think-aloud protocols</w:t>
            </w:r>
          </w:p>
        </w:tc>
        <w:tc>
          <w:tcPr>
            <w:tcW w:type="dxa" w:w="2340"/>
          </w:tcPr>
          <w:p>
            <w:pPr>
              <w:spacing w:line="360" w:lineRule="auto"/>
            </w:pPr>
            <w:r/>
            <w:r>
              <w:rPr>
                <w:rFonts w:ascii="Times New Roman" w:hAnsi="Times New Roman"/>
                <w:sz w:val="20"/>
              </w:rPr>
              <w:t>Screen + audio recording</w:t>
            </w:r>
          </w:p>
        </w:tc>
        <w:tc>
          <w:tcPr>
            <w:tcW w:type="dxa" w:w="2340"/>
          </w:tcPr>
          <w:p>
            <w:pPr>
              <w:spacing w:line="360" w:lineRule="auto"/>
            </w:pPr>
            <w:r/>
            <w:r>
              <w:rPr>
                <w:rFonts w:ascii="Times New Roman" w:hAnsi="Times New Roman"/>
                <w:sz w:val="20"/>
              </w:rPr>
              <w:t>Cognitive processes at checkpoints</w:t>
            </w:r>
          </w:p>
        </w:tc>
        <w:tc>
          <w:tcPr>
            <w:tcW w:type="dxa" w:w="2340"/>
          </w:tcPr>
          <w:p>
            <w:pPr>
              <w:spacing w:line="360" w:lineRule="auto"/>
            </w:pPr>
            <w:r/>
            <w:r>
              <w:rPr>
                <w:rFonts w:ascii="Times New Roman" w:hAnsi="Times New Roman"/>
                <w:sz w:val="20"/>
              </w:rPr>
              <w:t>RQ1, RQ3</w:t>
            </w:r>
          </w:p>
        </w:tc>
      </w:tr>
      <w:tr>
        <w:tc>
          <w:tcPr>
            <w:tcW w:type="dxa" w:w="2340"/>
          </w:tcPr>
          <w:p>
            <w:pPr>
              <w:spacing w:line="360" w:lineRule="auto"/>
            </w:pPr>
            <w:r/>
            <w:r>
              <w:rPr>
                <w:rFonts w:ascii="Times New Roman" w:hAnsi="Times New Roman"/>
                <w:sz w:val="20"/>
              </w:rPr>
              <w:t>Semi-structured interviews</w:t>
            </w:r>
          </w:p>
        </w:tc>
        <w:tc>
          <w:tcPr>
            <w:tcW w:type="dxa" w:w="2340"/>
          </w:tcPr>
          <w:p>
            <w:pPr>
              <w:spacing w:line="360" w:lineRule="auto"/>
            </w:pPr>
            <w:r/>
            <w:r>
              <w:rPr>
                <w:rFonts w:ascii="Times New Roman" w:hAnsi="Times New Roman"/>
                <w:sz w:val="20"/>
              </w:rPr>
              <w:t>Post-session individual interviews</w:t>
            </w:r>
          </w:p>
        </w:tc>
        <w:tc>
          <w:tcPr>
            <w:tcW w:type="dxa" w:w="2340"/>
          </w:tcPr>
          <w:p>
            <w:pPr>
              <w:spacing w:line="360" w:lineRule="auto"/>
            </w:pPr>
            <w:r/>
            <w:r>
              <w:rPr>
                <w:rFonts w:ascii="Times New Roman" w:hAnsi="Times New Roman"/>
                <w:sz w:val="20"/>
              </w:rPr>
              <w:t>Perceived scaffolding, design tensions</w:t>
            </w:r>
          </w:p>
        </w:tc>
        <w:tc>
          <w:tcPr>
            <w:tcW w:type="dxa" w:w="2340"/>
          </w:tcPr>
          <w:p>
            <w:pPr>
              <w:spacing w:line="360" w:lineRule="auto"/>
            </w:pPr>
            <w:r/>
            <w:r>
              <w:rPr>
                <w:rFonts w:ascii="Times New Roman" w:hAnsi="Times New Roman"/>
                <w:sz w:val="20"/>
              </w:rPr>
              <w:t>RQ1, RQ3</w:t>
            </w:r>
          </w:p>
        </w:tc>
      </w:tr>
      <w:tr>
        <w:tc>
          <w:tcPr>
            <w:tcW w:type="dxa" w:w="2340"/>
          </w:tcPr>
          <w:p>
            <w:pPr>
              <w:spacing w:line="360" w:lineRule="auto"/>
            </w:pPr>
            <w:r/>
            <w:r>
              <w:rPr>
                <w:rFonts w:ascii="Times New Roman" w:hAnsi="Times New Roman"/>
                <w:sz w:val="20"/>
              </w:rPr>
              <w:t>Behavioral data</w:t>
            </w:r>
          </w:p>
        </w:tc>
        <w:tc>
          <w:tcPr>
            <w:tcW w:type="dxa" w:w="2340"/>
          </w:tcPr>
          <w:p>
            <w:pPr>
              <w:spacing w:line="360" w:lineRule="auto"/>
            </w:pPr>
            <w:r/>
            <w:r>
              <w:rPr>
                <w:rFonts w:ascii="Times New Roman" w:hAnsi="Times New Roman"/>
                <w:sz w:val="20"/>
              </w:rPr>
              <w:t>Screen recording</w:t>
            </w:r>
          </w:p>
        </w:tc>
        <w:tc>
          <w:tcPr>
            <w:tcW w:type="dxa" w:w="2340"/>
          </w:tcPr>
          <w:p>
            <w:pPr>
              <w:spacing w:line="360" w:lineRule="auto"/>
            </w:pPr>
            <w:r/>
            <w:r>
              <w:rPr>
                <w:rFonts w:ascii="Times New Roman" w:hAnsi="Times New Roman"/>
                <w:sz w:val="20"/>
              </w:rPr>
              <w:t>T-Score inspection, navigation patterns</w:t>
            </w:r>
          </w:p>
        </w:tc>
        <w:tc>
          <w:tcPr>
            <w:tcW w:type="dxa" w:w="2340"/>
          </w:tcPr>
          <w:p>
            <w:pPr>
              <w:spacing w:line="360" w:lineRule="auto"/>
            </w:pPr>
            <w:r/>
            <w:r>
              <w:rPr>
                <w:rFonts w:ascii="Times New Roman" w:hAnsi="Times New Roman"/>
                <w:sz w:val="20"/>
              </w:rPr>
              <w:t>RQ2</w:t>
            </w:r>
          </w:p>
        </w:tc>
      </w:tr>
    </w:tbl>
    <w:p/>
    <w:p>
      <w:pPr>
        <w:spacing w:before="240"/>
        <w:jc w:val="left"/>
      </w:pPr>
      <w:r>
        <w:rPr>
          <w:rFonts w:ascii="Times New Roman" w:hAnsi="Times New Roman"/>
          <w:b/>
          <w:i/>
          <w:sz w:val="24"/>
        </w:rPr>
        <w:t>Data Analysis</w:t>
      </w:r>
    </w:p>
    <w:p>
      <w:pPr>
        <w:ind w:firstLine="720"/>
      </w:pPr>
      <w:r>
        <w:rPr>
          <w:rFonts w:ascii="Times New Roman" w:hAnsi="Times New Roman"/>
          <w:sz w:val="24"/>
        </w:rPr>
        <w:t>Quantitative analysis will include: (a) Shannon Entropy Index comparing pre- and post-task framework selection diversity, (b) descriptive statistics for T-Score selection distributions and checkpoint deliberation times, and (c) Wilcoxon signed-rank tests for pre-post comparisons given the small sample size.</w:t>
      </w:r>
    </w:p>
    <w:p>
      <w:pPr>
        <w:ind w:firstLine="720"/>
      </w:pPr>
      <w:r>
        <w:rPr>
          <w:rFonts w:ascii="Times New Roman" w:hAnsi="Times New Roman"/>
          <w:sz w:val="24"/>
        </w:rPr>
        <w:t>Qualitative analysis will employ thematic analysis (Braun &amp; Clarke, 2006) for think-aloud transcripts, using authentic learning elements as sensitizing concepts. Interview transcripts will be analyzed through both deductive coding with the authentic learning framework and inductive open coding. Both researchers will code independently in the first round, followed by reconciliation sessions to establish inter-rater reliability. Cross-case analysis across the two institutional sites will examine contextual variations.</w:t>
      </w:r>
    </w:p>
    <w:p>
      <w:pPr>
        <w:ind w:firstLine="720"/>
      </w:pPr>
      <w:r>
        <w:rPr>
          <w:rFonts w:ascii="Times New Roman" w:hAnsi="Times New Roman"/>
          <w:sz w:val="24"/>
        </w:rPr>
        <w:t>Integration will be achieved through joint displays aligning quantitative patterns (e.g., T-Score selection distributions) with qualitative interpretations (e.g., reasons for specific choices), and a convergence matrix identifying where quantitative and qualitative findings agree or diverge.</w:t>
      </w:r>
    </w:p>
    <w:p>
      <w:pPr>
        <w:spacing w:before="240"/>
        <w:jc w:val="center"/>
      </w:pPr>
      <w:r>
        <w:rPr>
          <w:rFonts w:ascii="Times New Roman" w:hAnsi="Times New Roman"/>
          <w:b/>
          <w:sz w:val="24"/>
        </w:rPr>
        <w:t>Investigator Roles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0"/>
              </w:rPr>
              <w:t>Task</w:t>
            </w:r>
          </w:p>
        </w:tc>
        <w:tc>
          <w:tcPr>
            <w:tcW w:type="dxa" w:w="3120"/>
          </w:tcPr>
          <w:p>
            <w:pPr>
              <w:spacing w:line="360" w:lineRule="auto"/>
            </w:pPr>
            <w:r/>
            <w:r>
              <w:rPr>
                <w:rFonts w:ascii="Times New Roman" w:hAnsi="Times New Roman"/>
                <w:b/>
                <w:sz w:val="20"/>
              </w:rPr>
              <w:t>Lead</w:t>
            </w:r>
          </w:p>
        </w:tc>
        <w:tc>
          <w:tcPr>
            <w:tcW w:type="dxa" w:w="3120"/>
          </w:tcPr>
          <w:p>
            <w:pPr>
              <w:spacing w:line="360" w:lineRule="auto"/>
            </w:pPr>
            <w:r/>
            <w:r>
              <w:rPr>
                <w:rFonts w:ascii="Times New Roman" w:hAnsi="Times New Roman"/>
                <w:b/>
                <w:sz w:val="20"/>
              </w:rPr>
              <w:t>Support</w:t>
            </w:r>
          </w:p>
        </w:tc>
      </w:tr>
      <w:tr>
        <w:tc>
          <w:tcPr>
            <w:tcW w:type="dxa" w:w="3120"/>
          </w:tcPr>
          <w:p>
            <w:pPr>
              <w:spacing w:line="360" w:lineRule="auto"/>
            </w:pPr>
            <w:r/>
            <w:r>
              <w:rPr>
                <w:rFonts w:ascii="Times New Roman" w:hAnsi="Times New Roman"/>
                <w:sz w:val="20"/>
              </w:rPr>
              <w:t>Authentic learning theoretical framing</w:t>
            </w:r>
          </w:p>
        </w:tc>
        <w:tc>
          <w:tcPr>
            <w:tcW w:type="dxa" w:w="3120"/>
          </w:tcPr>
          <w:p>
            <w:pPr>
              <w:spacing w:line="360" w:lineRule="auto"/>
            </w:pPr>
            <w:r/>
            <w:r>
              <w:rPr>
                <w:rFonts w:ascii="Times New Roman" w:hAnsi="Times New Roman"/>
                <w:sz w:val="20"/>
              </w:rPr>
              <w:t>Yang</w:t>
            </w:r>
          </w:p>
        </w:tc>
        <w:tc>
          <w:tcPr>
            <w:tcW w:type="dxa" w:w="3120"/>
          </w:tcPr>
          <w:p>
            <w:pPr>
              <w:spacing w:line="360" w:lineRule="auto"/>
            </w:pPr>
            <w:r/>
            <w:r>
              <w:rPr>
                <w:rFonts w:ascii="Times New Roman" w:hAnsi="Times New Roman"/>
                <w:sz w:val="20"/>
              </w:rPr>
              <w:t>You</w:t>
            </w:r>
          </w:p>
        </w:tc>
      </w:tr>
      <w:tr>
        <w:tc>
          <w:tcPr>
            <w:tcW w:type="dxa" w:w="3120"/>
          </w:tcPr>
          <w:p>
            <w:pPr>
              <w:spacing w:line="360" w:lineRule="auto"/>
            </w:pPr>
            <w:r/>
            <w:r>
              <w:rPr>
                <w:rFonts w:ascii="Times New Roman" w:hAnsi="Times New Roman"/>
                <w:sz w:val="20"/>
              </w:rPr>
              <w:t>LXD-informed design case structure</w:t>
            </w:r>
          </w:p>
        </w:tc>
        <w:tc>
          <w:tcPr>
            <w:tcW w:type="dxa" w:w="3120"/>
          </w:tcPr>
          <w:p>
            <w:pPr>
              <w:spacing w:line="360" w:lineRule="auto"/>
            </w:pPr>
            <w:r/>
            <w:r>
              <w:rPr>
                <w:rFonts w:ascii="Times New Roman" w:hAnsi="Times New Roman"/>
                <w:sz w:val="20"/>
              </w:rPr>
              <w:t>Yang</w:t>
            </w:r>
          </w:p>
        </w:tc>
        <w:tc>
          <w:tcPr>
            <w:tcW w:type="dxa" w:w="3120"/>
          </w:tcPr>
          <w:p>
            <w:pPr>
              <w:spacing w:line="360" w:lineRule="auto"/>
            </w:pPr>
            <w:r/>
            <w:r>
              <w:rPr>
                <w:rFonts w:ascii="Times New Roman" w:hAnsi="Times New Roman"/>
                <w:sz w:val="20"/>
              </w:rPr>
              <w:t>You</w:t>
            </w:r>
          </w:p>
        </w:tc>
      </w:tr>
      <w:tr>
        <w:tc>
          <w:tcPr>
            <w:tcW w:type="dxa" w:w="3120"/>
          </w:tcPr>
          <w:p>
            <w:pPr>
              <w:spacing w:line="360" w:lineRule="auto"/>
            </w:pPr>
            <w:r/>
            <w:r>
              <w:rPr>
                <w:rFonts w:ascii="Times New Roman" w:hAnsi="Times New Roman"/>
                <w:sz w:val="20"/>
              </w:rPr>
              <w:t>VS/Mode collapse theoretical contribution</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Yang</w:t>
            </w:r>
          </w:p>
        </w:tc>
      </w:tr>
      <w:tr>
        <w:tc>
          <w:tcPr>
            <w:tcW w:type="dxa" w:w="3120"/>
          </w:tcPr>
          <w:p>
            <w:pPr>
              <w:spacing w:line="360" w:lineRule="auto"/>
            </w:pPr>
            <w:r/>
            <w:r>
              <w:rPr>
                <w:rFonts w:ascii="Times New Roman" w:hAnsi="Times New Roman"/>
                <w:sz w:val="20"/>
              </w:rPr>
              <w:t>MCP architecture documentation</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Yang</w:t>
            </w:r>
          </w:p>
        </w:tc>
      </w:tr>
      <w:tr>
        <w:tc>
          <w:tcPr>
            <w:tcW w:type="dxa" w:w="3120"/>
          </w:tcPr>
          <w:p>
            <w:pPr>
              <w:spacing w:line="360" w:lineRule="auto"/>
            </w:pPr>
            <w:r/>
            <w:r>
              <w:rPr>
                <w:rFonts w:ascii="Times New Roman" w:hAnsi="Times New Roman"/>
                <w:sz w:val="20"/>
              </w:rPr>
              <w:t>Diverga platform &amp; technical support</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w:t>
            </w:r>
          </w:p>
        </w:tc>
      </w:tr>
      <w:tr>
        <w:tc>
          <w:tcPr>
            <w:tcW w:type="dxa" w:w="3120"/>
          </w:tcPr>
          <w:p>
            <w:pPr>
              <w:spacing w:line="360" w:lineRule="auto"/>
            </w:pPr>
            <w:r/>
            <w:r>
              <w:rPr>
                <w:rFonts w:ascii="Times New Roman" w:hAnsi="Times New Roman"/>
                <w:sz w:val="20"/>
              </w:rPr>
              <w:t>Study design &amp; IRB (Penn State)</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Yang</w:t>
            </w:r>
          </w:p>
        </w:tc>
      </w:tr>
      <w:tr>
        <w:tc>
          <w:tcPr>
            <w:tcW w:type="dxa" w:w="3120"/>
          </w:tcPr>
          <w:p>
            <w:pPr>
              <w:spacing w:line="360" w:lineRule="auto"/>
            </w:pPr>
            <w:r/>
            <w:r>
              <w:rPr>
                <w:rFonts w:ascii="Times New Roman" w:hAnsi="Times New Roman"/>
                <w:sz w:val="20"/>
              </w:rPr>
              <w:t>Study design &amp; IRB (Texas A&amp;M)</w:t>
            </w:r>
          </w:p>
        </w:tc>
        <w:tc>
          <w:tcPr>
            <w:tcW w:type="dxa" w:w="3120"/>
          </w:tcPr>
          <w:p>
            <w:pPr>
              <w:spacing w:line="360" w:lineRule="auto"/>
            </w:pPr>
            <w:r/>
            <w:r>
              <w:rPr>
                <w:rFonts w:ascii="Times New Roman" w:hAnsi="Times New Roman"/>
                <w:sz w:val="20"/>
              </w:rPr>
              <w:t>Yang</w:t>
            </w:r>
          </w:p>
        </w:tc>
        <w:tc>
          <w:tcPr>
            <w:tcW w:type="dxa" w:w="3120"/>
          </w:tcPr>
          <w:p>
            <w:pPr>
              <w:spacing w:line="360" w:lineRule="auto"/>
            </w:pPr>
            <w:r/>
            <w:r>
              <w:rPr>
                <w:rFonts w:ascii="Times New Roman" w:hAnsi="Times New Roman"/>
                <w:sz w:val="20"/>
              </w:rPr>
              <w:t>You</w:t>
            </w:r>
          </w:p>
        </w:tc>
      </w:tr>
      <w:tr>
        <w:tc>
          <w:tcPr>
            <w:tcW w:type="dxa" w:w="3120"/>
          </w:tcPr>
          <w:p>
            <w:pPr>
              <w:spacing w:line="360" w:lineRule="auto"/>
            </w:pPr>
            <w:r/>
            <w:r>
              <w:rPr>
                <w:rFonts w:ascii="Times New Roman" w:hAnsi="Times New Roman"/>
                <w:sz w:val="20"/>
              </w:rPr>
              <w:t>Participant recruitment (Penn State)</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w:t>
            </w:r>
          </w:p>
        </w:tc>
      </w:tr>
      <w:tr>
        <w:tc>
          <w:tcPr>
            <w:tcW w:type="dxa" w:w="3120"/>
          </w:tcPr>
          <w:p>
            <w:pPr>
              <w:spacing w:line="360" w:lineRule="auto"/>
            </w:pPr>
            <w:r/>
            <w:r>
              <w:rPr>
                <w:rFonts w:ascii="Times New Roman" w:hAnsi="Times New Roman"/>
                <w:sz w:val="20"/>
              </w:rPr>
              <w:t>Participant recruitment (Texas A&amp;M)</w:t>
            </w:r>
          </w:p>
        </w:tc>
        <w:tc>
          <w:tcPr>
            <w:tcW w:type="dxa" w:w="3120"/>
          </w:tcPr>
          <w:p>
            <w:pPr>
              <w:spacing w:line="360" w:lineRule="auto"/>
            </w:pPr>
            <w:r/>
            <w:r>
              <w:rPr>
                <w:rFonts w:ascii="Times New Roman" w:hAnsi="Times New Roman"/>
                <w:sz w:val="20"/>
              </w:rPr>
              <w:t>Yang</w:t>
            </w:r>
          </w:p>
        </w:tc>
        <w:tc>
          <w:tcPr>
            <w:tcW w:type="dxa" w:w="3120"/>
          </w:tcPr>
          <w:p>
            <w:pPr>
              <w:spacing w:line="360" w:lineRule="auto"/>
            </w:pPr>
            <w:r/>
            <w:r>
              <w:rPr>
                <w:rFonts w:ascii="Times New Roman" w:hAnsi="Times New Roman"/>
                <w:sz w:val="20"/>
              </w:rPr>
              <w:t>—</w:t>
            </w:r>
          </w:p>
        </w:tc>
      </w:tr>
      <w:tr>
        <w:tc>
          <w:tcPr>
            <w:tcW w:type="dxa" w:w="3120"/>
          </w:tcPr>
          <w:p>
            <w:pPr>
              <w:spacing w:line="360" w:lineRule="auto"/>
            </w:pPr>
            <w:r/>
            <w:r>
              <w:rPr>
                <w:rFonts w:ascii="Times New Roman" w:hAnsi="Times New Roman"/>
                <w:sz w:val="20"/>
              </w:rPr>
              <w:t>Quantitative analysis</w:t>
            </w:r>
          </w:p>
        </w:tc>
        <w:tc>
          <w:tcPr>
            <w:tcW w:type="dxa" w:w="3120"/>
          </w:tcPr>
          <w:p>
            <w:pPr>
              <w:spacing w:line="360" w:lineRule="auto"/>
            </w:pPr>
            <w:r/>
            <w:r>
              <w:rPr>
                <w:rFonts w:ascii="Times New Roman" w:hAnsi="Times New Roman"/>
                <w:sz w:val="20"/>
              </w:rPr>
              <w:t>Joint</w:t>
            </w:r>
          </w:p>
        </w:tc>
        <w:tc>
          <w:tcPr>
            <w:tcW w:type="dxa" w:w="3120"/>
          </w:tcPr>
          <w:p>
            <w:pPr>
              <w:spacing w:line="360" w:lineRule="auto"/>
            </w:pPr>
            <w:r/>
            <w:r>
              <w:rPr>
                <w:rFonts w:ascii="Times New Roman" w:hAnsi="Times New Roman"/>
                <w:sz w:val="20"/>
              </w:rPr>
              <w:t>Joint</w:t>
            </w:r>
          </w:p>
        </w:tc>
      </w:tr>
      <w:tr>
        <w:tc>
          <w:tcPr>
            <w:tcW w:type="dxa" w:w="3120"/>
          </w:tcPr>
          <w:p>
            <w:pPr>
              <w:spacing w:line="360" w:lineRule="auto"/>
            </w:pPr>
            <w:r/>
            <w:r>
              <w:rPr>
                <w:rFonts w:ascii="Times New Roman" w:hAnsi="Times New Roman"/>
                <w:sz w:val="20"/>
              </w:rPr>
              <w:t>Qualitative coding — Round 1</w:t>
            </w:r>
          </w:p>
        </w:tc>
        <w:tc>
          <w:tcPr>
            <w:tcW w:type="dxa" w:w="3120"/>
          </w:tcPr>
          <w:p>
            <w:pPr>
              <w:spacing w:line="360" w:lineRule="auto"/>
            </w:pPr>
            <w:r/>
            <w:r>
              <w:rPr>
                <w:rFonts w:ascii="Times New Roman" w:hAnsi="Times New Roman"/>
                <w:sz w:val="20"/>
              </w:rPr>
              <w:t>Independent</w:t>
            </w:r>
          </w:p>
        </w:tc>
        <w:tc>
          <w:tcPr>
            <w:tcW w:type="dxa" w:w="3120"/>
          </w:tcPr>
          <w:p>
            <w:pPr>
              <w:spacing w:line="360" w:lineRule="auto"/>
            </w:pPr>
            <w:r/>
            <w:r>
              <w:rPr>
                <w:rFonts w:ascii="Times New Roman" w:hAnsi="Times New Roman"/>
                <w:sz w:val="20"/>
              </w:rPr>
              <w:t>—</w:t>
            </w:r>
          </w:p>
        </w:tc>
      </w:tr>
      <w:tr>
        <w:tc>
          <w:tcPr>
            <w:tcW w:type="dxa" w:w="3120"/>
          </w:tcPr>
          <w:p>
            <w:pPr>
              <w:spacing w:line="360" w:lineRule="auto"/>
            </w:pPr>
            <w:r/>
            <w:r>
              <w:rPr>
                <w:rFonts w:ascii="Times New Roman" w:hAnsi="Times New Roman"/>
                <w:sz w:val="20"/>
              </w:rPr>
              <w:t>Qualitative coding — Reconciliation</w:t>
            </w:r>
          </w:p>
        </w:tc>
        <w:tc>
          <w:tcPr>
            <w:tcW w:type="dxa" w:w="3120"/>
          </w:tcPr>
          <w:p>
            <w:pPr>
              <w:spacing w:line="360" w:lineRule="auto"/>
            </w:pPr>
            <w:r/>
            <w:r>
              <w:rPr>
                <w:rFonts w:ascii="Times New Roman" w:hAnsi="Times New Roman"/>
                <w:sz w:val="20"/>
              </w:rPr>
              <w:t>Joint</w:t>
            </w:r>
          </w:p>
        </w:tc>
        <w:tc>
          <w:tcPr>
            <w:tcW w:type="dxa" w:w="3120"/>
          </w:tcPr>
          <w:p>
            <w:pPr>
              <w:spacing w:line="360" w:lineRule="auto"/>
            </w:pPr>
            <w:r/>
            <w:r>
              <w:rPr>
                <w:rFonts w:ascii="Times New Roman" w:hAnsi="Times New Roman"/>
                <w:sz w:val="20"/>
              </w:rPr>
              <w:t>Joint</w:t>
            </w:r>
          </w:p>
        </w:tc>
      </w:tr>
      <w:tr>
        <w:tc>
          <w:tcPr>
            <w:tcW w:type="dxa" w:w="3120"/>
          </w:tcPr>
          <w:p>
            <w:pPr>
              <w:spacing w:line="360" w:lineRule="auto"/>
            </w:pPr>
            <w:r/>
            <w:r>
              <w:rPr>
                <w:rFonts w:ascii="Times New Roman" w:hAnsi="Times New Roman"/>
                <w:sz w:val="20"/>
              </w:rPr>
              <w:t>Manuscript: Introduction &amp; Literature Review</w:t>
            </w:r>
          </w:p>
        </w:tc>
        <w:tc>
          <w:tcPr>
            <w:tcW w:type="dxa" w:w="3120"/>
          </w:tcPr>
          <w:p>
            <w:pPr>
              <w:spacing w:line="360" w:lineRule="auto"/>
            </w:pPr>
            <w:r/>
            <w:r>
              <w:rPr>
                <w:rFonts w:ascii="Times New Roman" w:hAnsi="Times New Roman"/>
                <w:sz w:val="20"/>
              </w:rPr>
              <w:t>Yang</w:t>
            </w:r>
          </w:p>
        </w:tc>
        <w:tc>
          <w:tcPr>
            <w:tcW w:type="dxa" w:w="3120"/>
          </w:tcPr>
          <w:p>
            <w:pPr>
              <w:spacing w:line="360" w:lineRule="auto"/>
            </w:pPr>
            <w:r/>
            <w:r>
              <w:rPr>
                <w:rFonts w:ascii="Times New Roman" w:hAnsi="Times New Roman"/>
                <w:sz w:val="20"/>
              </w:rPr>
              <w:t>You</w:t>
            </w:r>
          </w:p>
        </w:tc>
      </w:tr>
      <w:tr>
        <w:tc>
          <w:tcPr>
            <w:tcW w:type="dxa" w:w="3120"/>
          </w:tcPr>
          <w:p>
            <w:pPr>
              <w:spacing w:line="360" w:lineRule="auto"/>
            </w:pPr>
            <w:r/>
            <w:r>
              <w:rPr>
                <w:rFonts w:ascii="Times New Roman" w:hAnsi="Times New Roman"/>
                <w:sz w:val="20"/>
              </w:rPr>
              <w:t>Manuscript: System Description</w:t>
            </w:r>
          </w:p>
        </w:tc>
        <w:tc>
          <w:tcPr>
            <w:tcW w:type="dxa" w:w="3120"/>
          </w:tcPr>
          <w:p>
            <w:pPr>
              <w:spacing w:line="360" w:lineRule="auto"/>
            </w:pPr>
            <w:r/>
            <w:r>
              <w:rPr>
                <w:rFonts w:ascii="Times New Roman" w:hAnsi="Times New Roman"/>
                <w:sz w:val="20"/>
              </w:rPr>
              <w:t>You</w:t>
            </w:r>
          </w:p>
        </w:tc>
        <w:tc>
          <w:tcPr>
            <w:tcW w:type="dxa" w:w="3120"/>
          </w:tcPr>
          <w:p>
            <w:pPr>
              <w:spacing w:line="360" w:lineRule="auto"/>
            </w:pPr>
            <w:r/>
            <w:r>
              <w:rPr>
                <w:rFonts w:ascii="Times New Roman" w:hAnsi="Times New Roman"/>
                <w:sz w:val="20"/>
              </w:rPr>
              <w:t>Yang</w:t>
            </w:r>
          </w:p>
        </w:tc>
      </w:tr>
      <w:tr>
        <w:tc>
          <w:tcPr>
            <w:tcW w:type="dxa" w:w="3120"/>
          </w:tcPr>
          <w:p>
            <w:pPr>
              <w:spacing w:line="360" w:lineRule="auto"/>
            </w:pPr>
            <w:r/>
            <w:r>
              <w:rPr>
                <w:rFonts w:ascii="Times New Roman" w:hAnsi="Times New Roman"/>
                <w:sz w:val="20"/>
              </w:rPr>
              <w:t>Manuscript: Methods &amp; Results</w:t>
            </w:r>
          </w:p>
        </w:tc>
        <w:tc>
          <w:tcPr>
            <w:tcW w:type="dxa" w:w="3120"/>
          </w:tcPr>
          <w:p>
            <w:pPr>
              <w:spacing w:line="360" w:lineRule="auto"/>
            </w:pPr>
            <w:r/>
            <w:r>
              <w:rPr>
                <w:rFonts w:ascii="Times New Roman" w:hAnsi="Times New Roman"/>
                <w:sz w:val="20"/>
              </w:rPr>
              <w:t>Joint</w:t>
            </w:r>
          </w:p>
        </w:tc>
        <w:tc>
          <w:tcPr>
            <w:tcW w:type="dxa" w:w="3120"/>
          </w:tcPr>
          <w:p>
            <w:pPr>
              <w:spacing w:line="360" w:lineRule="auto"/>
            </w:pPr>
            <w:r/>
            <w:r>
              <w:rPr>
                <w:rFonts w:ascii="Times New Roman" w:hAnsi="Times New Roman"/>
                <w:sz w:val="20"/>
              </w:rPr>
              <w:t>Joint</w:t>
            </w:r>
          </w:p>
        </w:tc>
      </w:tr>
      <w:tr>
        <w:tc>
          <w:tcPr>
            <w:tcW w:type="dxa" w:w="3120"/>
          </w:tcPr>
          <w:p>
            <w:pPr>
              <w:spacing w:line="360" w:lineRule="auto"/>
            </w:pPr>
            <w:r/>
            <w:r>
              <w:rPr>
                <w:rFonts w:ascii="Times New Roman" w:hAnsi="Times New Roman"/>
                <w:sz w:val="20"/>
              </w:rPr>
              <w:t>Manuscript: Discussion</w:t>
            </w:r>
          </w:p>
        </w:tc>
        <w:tc>
          <w:tcPr>
            <w:tcW w:type="dxa" w:w="3120"/>
          </w:tcPr>
          <w:p>
            <w:pPr>
              <w:spacing w:line="360" w:lineRule="auto"/>
            </w:pPr>
            <w:r/>
            <w:r>
              <w:rPr>
                <w:rFonts w:ascii="Times New Roman" w:hAnsi="Times New Roman"/>
                <w:sz w:val="20"/>
              </w:rPr>
              <w:t>Joint</w:t>
            </w:r>
          </w:p>
        </w:tc>
        <w:tc>
          <w:tcPr>
            <w:tcW w:type="dxa" w:w="3120"/>
          </w:tcPr>
          <w:p>
            <w:pPr>
              <w:spacing w:line="360" w:lineRule="auto"/>
            </w:pPr>
            <w:r/>
            <w:r>
              <w:rPr>
                <w:rFonts w:ascii="Times New Roman" w:hAnsi="Times New Roman"/>
                <w:sz w:val="20"/>
              </w:rPr>
              <w:t>Joint</w:t>
            </w:r>
          </w:p>
        </w:tc>
      </w:tr>
    </w:tbl>
    <w:p/>
    <w:p>
      <w:pPr>
        <w:spacing w:before="240"/>
        <w:jc w:val="center"/>
      </w:pPr>
      <w:r>
        <w:rPr>
          <w:rFonts w:ascii="Times New Roman" w:hAnsi="Times New Roman"/>
          <w:b/>
          <w:sz w:val="24"/>
        </w:rPr>
        <w:t>Expected Contributions</w:t>
      </w:r>
    </w:p>
    <w:p>
      <w:pPr>
        <w:spacing w:before="240"/>
        <w:jc w:val="left"/>
      </w:pPr>
      <w:r>
        <w:rPr>
          <w:rFonts w:ascii="Times New Roman" w:hAnsi="Times New Roman"/>
          <w:b/>
          <w:sz w:val="24"/>
        </w:rPr>
        <w:t>Theoretical Contributions</w:t>
      </w:r>
    </w:p>
    <w:p>
      <w:pPr>
        <w:ind w:firstLine="720"/>
      </w:pPr>
      <w:r>
        <w:rPr>
          <w:rFonts w:ascii="Times New Roman" w:hAnsi="Times New Roman"/>
          <w:sz w:val="24"/>
        </w:rPr>
        <w:t>First, this study proposes an authentic AI scaffolding framework—the first application of authentic learning theory to multi-agent AI research tools. Second, we develop a checkpoint-as-scaffold model that repositions human checkpoints from simple approval mechanisms to epistemic scaffolds that activate methodological reasoning. Third, we contribute to MCP pedagogy by examining how the Model Context Protocol architecture enables pedagogically grounded AI agent orchestration.</w:t>
      </w:r>
    </w:p>
    <w:p>
      <w:pPr>
        <w:spacing w:before="240"/>
        <w:jc w:val="left"/>
      </w:pPr>
      <w:r>
        <w:rPr>
          <w:rFonts w:ascii="Times New Roman" w:hAnsi="Times New Roman"/>
          <w:b/>
          <w:sz w:val="24"/>
        </w:rPr>
        <w:t>Practical Contributions</w:t>
      </w:r>
    </w:p>
    <w:p>
      <w:pPr>
        <w:ind w:firstLine="720"/>
      </w:pPr>
      <w:r>
        <w:rPr>
          <w:rFonts w:ascii="Times New Roman" w:hAnsi="Times New Roman"/>
          <w:sz w:val="24"/>
        </w:rPr>
        <w:t>This study generates evidence-based design principles for AI research tool developers, specifying guidelines for checkpoint placement, VS integration, and scaffolding calibration. Additionally, the replicable evaluation methodology can be adopted by other researchers studying AI-mediated learning tools. The multi-site design at two institutions strengthens the transferability of findings.</w:t>
      </w:r>
    </w:p>
    <w:p>
      <w:pPr>
        <w:spacing w:before="240"/>
        <w:jc w:val="left"/>
      </w:pPr>
      <w:r>
        <w:rPr>
          <w:rFonts w:ascii="Times New Roman" w:hAnsi="Times New Roman"/>
          <w:b/>
          <w:sz w:val="24"/>
        </w:rPr>
        <w:t>Methodological Contributions</w:t>
      </w:r>
    </w:p>
    <w:p>
      <w:pPr>
        <w:ind w:firstLine="720"/>
      </w:pPr>
      <w:r>
        <w:rPr>
          <w:rFonts w:ascii="Times New Roman" w:hAnsi="Times New Roman"/>
          <w:sz w:val="24"/>
        </w:rPr>
        <w:t>The combination of an LXD-informed design case with mixed-methods evaluation offers a methodological template for studying AI educational tools. Furthermore, the use of Diverga’s decision audit trail as behavioral research data establishes a methodological precedent for leveraging AI tool logs in educational research.</w:t>
      </w:r>
    </w:p>
    <w:p>
      <w:pPr>
        <w:spacing w:before="240"/>
        <w:jc w:val="center"/>
      </w:pPr>
      <w:r>
        <w:rPr>
          <w:rFonts w:ascii="Times New Roman" w:hAnsi="Times New Roman"/>
          <w:b/>
          <w:sz w:val="24"/>
        </w:rPr>
        <w:t>Timeline</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360" w:lineRule="auto"/>
            </w:pPr>
            <w:r/>
            <w:r>
              <w:rPr>
                <w:rFonts w:ascii="Times New Roman" w:hAnsi="Times New Roman"/>
                <w:b/>
                <w:sz w:val="20"/>
              </w:rPr>
              <w:t>Period</w:t>
            </w:r>
          </w:p>
        </w:tc>
        <w:tc>
          <w:tcPr>
            <w:tcW w:type="dxa" w:w="3120"/>
          </w:tcPr>
          <w:p>
            <w:pPr>
              <w:spacing w:line="360" w:lineRule="auto"/>
            </w:pPr>
            <w:r/>
            <w:r>
              <w:rPr>
                <w:rFonts w:ascii="Times New Roman" w:hAnsi="Times New Roman"/>
                <w:b/>
                <w:sz w:val="20"/>
              </w:rPr>
              <w:t>Phase</w:t>
            </w:r>
          </w:p>
        </w:tc>
        <w:tc>
          <w:tcPr>
            <w:tcW w:type="dxa" w:w="3120"/>
          </w:tcPr>
          <w:p>
            <w:pPr>
              <w:spacing w:line="360" w:lineRule="auto"/>
            </w:pPr>
            <w:r/>
            <w:r>
              <w:rPr>
                <w:rFonts w:ascii="Times New Roman" w:hAnsi="Times New Roman"/>
                <w:b/>
                <w:sz w:val="20"/>
              </w:rPr>
              <w:t>Activities</w:t>
            </w:r>
          </w:p>
        </w:tc>
      </w:tr>
      <w:tr>
        <w:tc>
          <w:tcPr>
            <w:tcW w:type="dxa" w:w="3120"/>
          </w:tcPr>
          <w:p>
            <w:pPr>
              <w:spacing w:line="360" w:lineRule="auto"/>
            </w:pPr>
            <w:r/>
            <w:r>
              <w:rPr>
                <w:rFonts w:ascii="Times New Roman" w:hAnsi="Times New Roman"/>
                <w:sz w:val="20"/>
              </w:rPr>
              <w:t>Weeks 1–2</w:t>
            </w:r>
          </w:p>
        </w:tc>
        <w:tc>
          <w:tcPr>
            <w:tcW w:type="dxa" w:w="3120"/>
          </w:tcPr>
          <w:p>
            <w:pPr>
              <w:spacing w:line="360" w:lineRule="auto"/>
            </w:pPr>
            <w:r/>
            <w:r>
              <w:rPr>
                <w:rFonts w:ascii="Times New Roman" w:hAnsi="Times New Roman"/>
                <w:sz w:val="20"/>
              </w:rPr>
              <w:t>Preparation</w:t>
            </w:r>
          </w:p>
        </w:tc>
        <w:tc>
          <w:tcPr>
            <w:tcW w:type="dxa" w:w="3120"/>
          </w:tcPr>
          <w:p>
            <w:pPr>
              <w:spacing w:line="360" w:lineRule="auto"/>
            </w:pPr>
            <w:r/>
            <w:r>
              <w:rPr>
                <w:rFonts w:ascii="Times New Roman" w:hAnsi="Times New Roman"/>
                <w:sz w:val="20"/>
              </w:rPr>
              <w:t>Joint research design meetings; finalize framework alignment</w:t>
            </w:r>
          </w:p>
        </w:tc>
      </w:tr>
      <w:tr>
        <w:tc>
          <w:tcPr>
            <w:tcW w:type="dxa" w:w="3120"/>
          </w:tcPr>
          <w:p>
            <w:pPr>
              <w:spacing w:line="360" w:lineRule="auto"/>
            </w:pPr>
            <w:r/>
            <w:r>
              <w:rPr>
                <w:rFonts w:ascii="Times New Roman" w:hAnsi="Times New Roman"/>
                <w:sz w:val="20"/>
              </w:rPr>
              <w:t>Weeks 3–4</w:t>
            </w:r>
          </w:p>
        </w:tc>
        <w:tc>
          <w:tcPr>
            <w:tcW w:type="dxa" w:w="3120"/>
          </w:tcPr>
          <w:p>
            <w:pPr>
              <w:spacing w:line="360" w:lineRule="auto"/>
            </w:pPr>
            <w:r/>
            <w:r>
              <w:rPr>
                <w:rFonts w:ascii="Times New Roman" w:hAnsi="Times New Roman"/>
                <w:sz w:val="20"/>
              </w:rPr>
              <w:t>Phase 1</w:t>
            </w:r>
          </w:p>
        </w:tc>
        <w:tc>
          <w:tcPr>
            <w:tcW w:type="dxa" w:w="3120"/>
          </w:tcPr>
          <w:p>
            <w:pPr>
              <w:spacing w:line="360" w:lineRule="auto"/>
            </w:pPr>
            <w:r/>
            <w:r>
              <w:rPr>
                <w:rFonts w:ascii="Times New Roman" w:hAnsi="Times New Roman"/>
                <w:sz w:val="20"/>
              </w:rPr>
              <w:t>Design case: AL audit, LXD documentation, expert review</w:t>
            </w:r>
          </w:p>
        </w:tc>
      </w:tr>
      <w:tr>
        <w:tc>
          <w:tcPr>
            <w:tcW w:type="dxa" w:w="3120"/>
          </w:tcPr>
          <w:p>
            <w:pPr>
              <w:spacing w:line="360" w:lineRule="auto"/>
            </w:pPr>
            <w:r/>
            <w:r>
              <w:rPr>
                <w:rFonts w:ascii="Times New Roman" w:hAnsi="Times New Roman"/>
                <w:sz w:val="20"/>
              </w:rPr>
              <w:t>Weeks 5–6</w:t>
            </w:r>
          </w:p>
        </w:tc>
        <w:tc>
          <w:tcPr>
            <w:tcW w:type="dxa" w:w="3120"/>
          </w:tcPr>
          <w:p>
            <w:pPr>
              <w:spacing w:line="360" w:lineRule="auto"/>
            </w:pPr>
            <w:r/>
            <w:r>
              <w:rPr>
                <w:rFonts w:ascii="Times New Roman" w:hAnsi="Times New Roman"/>
                <w:sz w:val="20"/>
              </w:rPr>
              <w:t>Phase 2 Prep</w:t>
            </w:r>
          </w:p>
        </w:tc>
        <w:tc>
          <w:tcPr>
            <w:tcW w:type="dxa" w:w="3120"/>
          </w:tcPr>
          <w:p>
            <w:pPr>
              <w:spacing w:line="360" w:lineRule="auto"/>
            </w:pPr>
            <w:r/>
            <w:r>
              <w:rPr>
                <w:rFonts w:ascii="Times New Roman" w:hAnsi="Times New Roman"/>
                <w:sz w:val="20"/>
              </w:rPr>
              <w:t>IRB applications (both sites); participant recruitment; pilot test</w:t>
            </w:r>
          </w:p>
        </w:tc>
      </w:tr>
      <w:tr>
        <w:tc>
          <w:tcPr>
            <w:tcW w:type="dxa" w:w="3120"/>
          </w:tcPr>
          <w:p>
            <w:pPr>
              <w:spacing w:line="360" w:lineRule="auto"/>
            </w:pPr>
            <w:r/>
            <w:r>
              <w:rPr>
                <w:rFonts w:ascii="Times New Roman" w:hAnsi="Times New Roman"/>
                <w:sz w:val="20"/>
              </w:rPr>
              <w:t>Weeks 7–10</w:t>
            </w:r>
          </w:p>
        </w:tc>
        <w:tc>
          <w:tcPr>
            <w:tcW w:type="dxa" w:w="3120"/>
          </w:tcPr>
          <w:p>
            <w:pPr>
              <w:spacing w:line="360" w:lineRule="auto"/>
            </w:pPr>
            <w:r/>
            <w:r>
              <w:rPr>
                <w:rFonts w:ascii="Times New Roman" w:hAnsi="Times New Roman"/>
                <w:sz w:val="20"/>
              </w:rPr>
              <w:t>Phase 2 Data</w:t>
            </w:r>
          </w:p>
        </w:tc>
        <w:tc>
          <w:tcPr>
            <w:tcW w:type="dxa" w:w="3120"/>
          </w:tcPr>
          <w:p>
            <w:pPr>
              <w:spacing w:line="360" w:lineRule="auto"/>
            </w:pPr>
            <w:r/>
            <w:r>
              <w:rPr>
                <w:rFonts w:ascii="Times New Roman" w:hAnsi="Times New Roman"/>
                <w:sz w:val="20"/>
              </w:rPr>
              <w:t>Data collection at Penn State and Texas A&amp;M</w:t>
            </w:r>
          </w:p>
        </w:tc>
      </w:tr>
      <w:tr>
        <w:tc>
          <w:tcPr>
            <w:tcW w:type="dxa" w:w="3120"/>
          </w:tcPr>
          <w:p>
            <w:pPr>
              <w:spacing w:line="360" w:lineRule="auto"/>
            </w:pPr>
            <w:r/>
            <w:r>
              <w:rPr>
                <w:rFonts w:ascii="Times New Roman" w:hAnsi="Times New Roman"/>
                <w:sz w:val="20"/>
              </w:rPr>
              <w:t>Weeks 11–14</w:t>
            </w:r>
          </w:p>
        </w:tc>
        <w:tc>
          <w:tcPr>
            <w:tcW w:type="dxa" w:w="3120"/>
          </w:tcPr>
          <w:p>
            <w:pPr>
              <w:spacing w:line="360" w:lineRule="auto"/>
            </w:pPr>
            <w:r/>
            <w:r>
              <w:rPr>
                <w:rFonts w:ascii="Times New Roman" w:hAnsi="Times New Roman"/>
                <w:sz w:val="20"/>
              </w:rPr>
              <w:t>Analysis</w:t>
            </w:r>
          </w:p>
        </w:tc>
        <w:tc>
          <w:tcPr>
            <w:tcW w:type="dxa" w:w="3120"/>
          </w:tcPr>
          <w:p>
            <w:pPr>
              <w:spacing w:line="360" w:lineRule="auto"/>
            </w:pPr>
            <w:r/>
            <w:r>
              <w:rPr>
                <w:rFonts w:ascii="Times New Roman" w:hAnsi="Times New Roman"/>
                <w:sz w:val="20"/>
              </w:rPr>
              <w:t>Quantitative and qualitative analysis; joint coding sessions</w:t>
            </w:r>
          </w:p>
        </w:tc>
      </w:tr>
      <w:tr>
        <w:tc>
          <w:tcPr>
            <w:tcW w:type="dxa" w:w="3120"/>
          </w:tcPr>
          <w:p>
            <w:pPr>
              <w:spacing w:line="360" w:lineRule="auto"/>
            </w:pPr>
            <w:r/>
            <w:r>
              <w:rPr>
                <w:rFonts w:ascii="Times New Roman" w:hAnsi="Times New Roman"/>
                <w:sz w:val="20"/>
              </w:rPr>
              <w:t>Weeks 15–18</w:t>
            </w:r>
          </w:p>
        </w:tc>
        <w:tc>
          <w:tcPr>
            <w:tcW w:type="dxa" w:w="3120"/>
          </w:tcPr>
          <w:p>
            <w:pPr>
              <w:spacing w:line="360" w:lineRule="auto"/>
            </w:pPr>
            <w:r/>
            <w:r>
              <w:rPr>
                <w:rFonts w:ascii="Times New Roman" w:hAnsi="Times New Roman"/>
                <w:sz w:val="20"/>
              </w:rPr>
              <w:t>Writing</w:t>
            </w:r>
          </w:p>
        </w:tc>
        <w:tc>
          <w:tcPr>
            <w:tcW w:type="dxa" w:w="3120"/>
          </w:tcPr>
          <w:p>
            <w:pPr>
              <w:spacing w:line="360" w:lineRule="auto"/>
            </w:pPr>
            <w:r/>
            <w:r>
              <w:rPr>
                <w:rFonts w:ascii="Times New Roman" w:hAnsi="Times New Roman"/>
                <w:sz w:val="20"/>
              </w:rPr>
              <w:t>Manuscript drafting; internal review cycles</w:t>
            </w:r>
          </w:p>
        </w:tc>
      </w:tr>
      <w:tr>
        <w:tc>
          <w:tcPr>
            <w:tcW w:type="dxa" w:w="3120"/>
          </w:tcPr>
          <w:p>
            <w:pPr>
              <w:spacing w:line="360" w:lineRule="auto"/>
            </w:pPr>
            <w:r/>
            <w:r>
              <w:rPr>
                <w:rFonts w:ascii="Times New Roman" w:hAnsi="Times New Roman"/>
                <w:sz w:val="20"/>
              </w:rPr>
              <w:t>Weeks 19–20</w:t>
            </w:r>
          </w:p>
        </w:tc>
        <w:tc>
          <w:tcPr>
            <w:tcW w:type="dxa" w:w="3120"/>
          </w:tcPr>
          <w:p>
            <w:pPr>
              <w:spacing w:line="360" w:lineRule="auto"/>
            </w:pPr>
            <w:r/>
            <w:r>
              <w:rPr>
                <w:rFonts w:ascii="Times New Roman" w:hAnsi="Times New Roman"/>
                <w:sz w:val="20"/>
              </w:rPr>
              <w:t>Submission</w:t>
            </w:r>
          </w:p>
        </w:tc>
        <w:tc>
          <w:tcPr>
            <w:tcW w:type="dxa" w:w="3120"/>
          </w:tcPr>
          <w:p>
            <w:pPr>
              <w:spacing w:line="360" w:lineRule="auto"/>
            </w:pPr>
            <w:r/>
            <w:r>
              <w:rPr>
                <w:rFonts w:ascii="Times New Roman" w:hAnsi="Times New Roman"/>
                <w:sz w:val="20"/>
              </w:rPr>
              <w:t>Target journal selection; formatting; submission</w:t>
            </w:r>
          </w:p>
        </w:tc>
      </w:tr>
    </w:tbl>
    <w:p/>
    <w:p>
      <w:pPr>
        <w:spacing w:before="240"/>
        <w:jc w:val="center"/>
      </w:pPr>
      <w:r>
        <w:rPr>
          <w:rFonts w:ascii="Times New Roman" w:hAnsi="Times New Roman"/>
          <w:b/>
          <w:sz w:val="24"/>
        </w:rPr>
        <w:t>Future Directions</w:t>
      </w:r>
    </w:p>
    <w:p>
      <w:pPr>
        <w:ind w:firstLine="720"/>
      </w:pPr>
      <w:r>
        <w:rPr>
          <w:rFonts w:ascii="Times New Roman" w:hAnsi="Times New Roman"/>
          <w:sz w:val="24"/>
        </w:rPr>
        <w:t>This study establishes the foundation for a programmatic research agenda. A second study would examine the transfer of checkpoint-scaffolded research design skills to unassisted contexts, directly leveraging transfer of training theory. A third study would employ a comparative design contrasting multi-agent AI (Diverga), single-agent AI (ChatGPT), and no-AI conditions using instruments developed in the present study. A fourth study would conduct a full three-cycle Educational Design Research building on the design principles generated here. A fifth study would extend the investigation to STEM and humanities research methodology contexts for cross-disciplinary generalization.</w:t>
      </w:r>
    </w:p>
    <w:p>
      <w:pPr>
        <w:spacing w:before="240"/>
        <w:jc w:val="center"/>
      </w:pPr>
      <w:r>
        <w:rPr>
          <w:rFonts w:ascii="Times New Roman" w:hAnsi="Times New Roman"/>
          <w:b/>
          <w:sz w:val="24"/>
        </w:rPr>
        <w:t>References</w:t>
      </w:r>
    </w:p>
    <w:p>
      <w:pPr>
        <w:ind w:left="720" w:hanging="720"/>
      </w:pPr>
      <w:r>
        <w:rPr>
          <w:rFonts w:ascii="Times New Roman" w:hAnsi="Times New Roman"/>
          <w:sz w:val="24"/>
        </w:rPr>
        <w:t>Boling, E. (2010). The need for design cases: Disseminating design knowledge. International Journal of Designs for Learning, 1(1), 1–8.</w:t>
      </w:r>
    </w:p>
    <w:p>
      <w:pPr>
        <w:ind w:left="720" w:hanging="720"/>
      </w:pPr>
      <w:r>
        <w:rPr>
          <w:rFonts w:ascii="Times New Roman" w:hAnsi="Times New Roman"/>
          <w:sz w:val="24"/>
        </w:rPr>
        <w:t>Braun, V., &amp; Clarke, V. (2006). Using thematic analysis in psychology. Qualitative Research in Psychology, 3(2), 77–101.</w:t>
      </w:r>
    </w:p>
    <w:p>
      <w:pPr>
        <w:ind w:left="720" w:hanging="720"/>
      </w:pPr>
      <w:r>
        <w:rPr>
          <w:rFonts w:ascii="Times New Roman" w:hAnsi="Times New Roman"/>
          <w:sz w:val="24"/>
        </w:rPr>
        <w:t>Buçinca, Z., Malaya, M. B., &amp; Gajos, K. Z. (2021). To trust or to think: Cognitive forcing functions can reduce overreliance on AI in AI-assisted decision-making. Proceedings of the ACM on Human-Computer Interaction, 5(CSCW1), 1–21.</w:t>
      </w:r>
    </w:p>
    <w:p>
      <w:pPr>
        <w:ind w:left="720" w:hanging="720"/>
      </w:pPr>
      <w:r>
        <w:rPr>
          <w:rFonts w:ascii="Times New Roman" w:hAnsi="Times New Roman"/>
          <w:sz w:val="24"/>
        </w:rPr>
        <w:t>Creswell, J. W., &amp; Plano Clark, V. L. (2018). Designing and conducting mixed methods research (3rd ed.). SAGE.</w:t>
      </w:r>
    </w:p>
    <w:p>
      <w:pPr>
        <w:ind w:left="720" w:hanging="720"/>
      </w:pPr>
      <w:r>
        <w:rPr>
          <w:rFonts w:ascii="Times New Roman" w:hAnsi="Times New Roman"/>
          <w:sz w:val="24"/>
        </w:rPr>
        <w:t>EDUCAUSE. (2025). AI ethical guidelines. https://library.educause.edu/resources/2025/6/ai-ethical-guidelines</w:t>
      </w:r>
    </w:p>
    <w:p>
      <w:pPr>
        <w:ind w:left="720" w:hanging="720"/>
      </w:pPr>
      <w:r>
        <w:rPr>
          <w:rFonts w:ascii="Times New Roman" w:hAnsi="Times New Roman"/>
          <w:sz w:val="24"/>
        </w:rPr>
        <w:t>Herrington, J., Reeves, T. C., &amp; Oliver, R. (2010). A guide to authentic e-learning. Routledge.</w:t>
      </w:r>
    </w:p>
    <w:p>
      <w:pPr>
        <w:ind w:left="720" w:hanging="720"/>
      </w:pPr>
      <w:r>
        <w:rPr>
          <w:rFonts w:ascii="Times New Roman" w:hAnsi="Times New Roman"/>
          <w:sz w:val="24"/>
        </w:rPr>
        <w:t>Smith, K. M. (2010). Producing the rigorous design case. International Journal of Designs for Learning, 1(1), 9–20.</w:t>
      </w:r>
    </w:p>
    <w:p>
      <w:pPr>
        <w:ind w:left="720" w:hanging="720"/>
      </w:pPr>
      <w:r>
        <w:rPr>
          <w:rFonts w:ascii="Times New Roman" w:hAnsi="Times New Roman"/>
          <w:sz w:val="24"/>
        </w:rPr>
        <w:t>Yang, M., Jiang, S., Li, B., Herman, K., Luo, T., Moots, S. C., &amp; Lovett, N. (2025). Analysing nontraditional students’ ChatGPT interaction, engagement, self-efficacy and performance: A mixed-methods approach. British Journal of Educational Technology, 56(5), 1973–2000.</w:t>
      </w:r>
    </w:p>
    <w:p>
      <w:pPr>
        <w:ind w:left="720" w:hanging="720"/>
      </w:pPr>
      <w:r>
        <w:rPr>
          <w:rFonts w:ascii="Times New Roman" w:hAnsi="Times New Roman"/>
          <w:sz w:val="24"/>
        </w:rPr>
        <w:t>Yang, M., Lovett, N., Li, B., &amp; Hou, Z. (2025). Towards dynamic learner state: Orchestrating AI agents and workplace performance via the Model Context Protocol. Education Sciences, 15(8), 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