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438E3" w14:textId="77777777" w:rsidR="00AF590A" w:rsidRDefault="00000000">
      <w:pPr>
        <w:spacing w:before="240"/>
        <w:jc w:val="center"/>
      </w:pPr>
      <w:r>
        <w:rPr>
          <w:b/>
        </w:rPr>
        <w:t>Design Case Outline: Diverga</w:t>
      </w:r>
    </w:p>
    <w:p w14:paraId="51673E2C" w14:textId="77777777" w:rsidR="00AF590A" w:rsidRDefault="00000000">
      <w:pPr>
        <w:spacing w:before="240"/>
        <w:jc w:val="center"/>
      </w:pPr>
      <w:r>
        <w:rPr>
          <w:b/>
        </w:rPr>
        <w:t>For IJDL Submission</w:t>
      </w:r>
    </w:p>
    <w:p w14:paraId="00C8F26F" w14:textId="77777777" w:rsidR="00AF590A" w:rsidRDefault="00AF590A"/>
    <w:p w14:paraId="380934A3" w14:textId="77777777" w:rsidR="00AF590A" w:rsidRDefault="00000000">
      <w:r>
        <w:t>Target: International Journal of Designs for Learning</w:t>
      </w:r>
    </w:p>
    <w:p w14:paraId="5435206A" w14:textId="77777777" w:rsidR="00AF590A" w:rsidRDefault="00000000">
      <w:r>
        <w:t>Format: First-person design case (~5,000 words)</w:t>
      </w:r>
    </w:p>
    <w:p w14:paraId="15296797" w14:textId="77777777" w:rsidR="00AF590A" w:rsidRDefault="00000000">
      <w:r>
        <w:t>Genre conventions: Boling (2010); Smith (2010)</w:t>
      </w:r>
    </w:p>
    <w:p w14:paraId="7077C09A" w14:textId="77777777" w:rsidR="00AF590A" w:rsidRDefault="00000000">
      <w:pPr>
        <w:spacing w:before="240"/>
      </w:pPr>
      <w:r>
        <w:rPr>
          <w:b/>
        </w:rPr>
        <w:t>Proposed Title</w:t>
      </w:r>
    </w:p>
    <w:p w14:paraId="3D24CF5A" w14:textId="77777777" w:rsidR="00AF590A" w:rsidRDefault="00000000">
      <w:pPr>
        <w:ind w:firstLine="720"/>
      </w:pPr>
      <w:r>
        <w:t>"Scaffolding Without Replacing: A Design Case of Human Checkpoints and Verbalized Sampling in an AI Research Methodology Assistant"</w:t>
      </w:r>
    </w:p>
    <w:p w14:paraId="48338FD4" w14:textId="77777777" w:rsidR="00AF590A" w:rsidRDefault="00000000">
      <w:pPr>
        <w:spacing w:before="240"/>
        <w:jc w:val="center"/>
      </w:pPr>
      <w:r>
        <w:rPr>
          <w:b/>
        </w:rPr>
        <w:t>Structure</w:t>
      </w:r>
    </w:p>
    <w:p w14:paraId="7D219393" w14:textId="77777777" w:rsidR="00AF590A" w:rsidRDefault="00000000">
      <w:pPr>
        <w:spacing w:before="240"/>
      </w:pPr>
      <w:r>
        <w:rPr>
          <w:b/>
        </w:rPr>
        <w:t>1. Introduction</w:t>
      </w:r>
    </w:p>
    <w:p w14:paraId="0C276D42" w14:textId="77777777" w:rsidR="00AF590A" w:rsidRDefault="00000000">
      <w:pPr>
        <w:ind w:left="720" w:hanging="357"/>
      </w:pPr>
      <w:r>
        <w:t>•  AI research tools exhibit mode collapse (convergence on predictable recommendations) and encourage automation bias</w:t>
      </w:r>
    </w:p>
    <w:p w14:paraId="5F974462" w14:textId="77777777" w:rsidR="00AF590A" w:rsidRDefault="00000000">
      <w:pPr>
        <w:ind w:left="720" w:hanging="357"/>
      </w:pPr>
      <w:r>
        <w:t>•  Design challenge: scaffold methodological reasoning rather than replace it</w:t>
      </w:r>
    </w:p>
    <w:p w14:paraId="49274169" w14:textId="77777777" w:rsidR="00AF590A" w:rsidRDefault="00000000">
      <w:pPr>
        <w:ind w:left="720" w:hanging="357"/>
      </w:pPr>
      <w:r>
        <w:t>•  Cognitive Apprenticeship (Collins et al., 1989) as lightweight theoretical lens; 6 methods map to 3 design decisions</w:t>
      </w:r>
    </w:p>
    <w:p w14:paraId="020542DF" w14:textId="77777777" w:rsidR="00AF590A" w:rsidRDefault="00000000">
      <w:pPr>
        <w:ind w:left="720" w:hanging="357"/>
      </w:pPr>
      <w:r>
        <w:t>•  Scope: design story only; empirical evaluation reserved for companion paper</w:t>
      </w:r>
    </w:p>
    <w:p w14:paraId="1EE323CE" w14:textId="77777777" w:rsidR="00AF590A" w:rsidRDefault="00000000">
      <w:pPr>
        <w:spacing w:before="240"/>
      </w:pPr>
      <w:r>
        <w:rPr>
          <w:b/>
        </w:rPr>
        <w:t>2. Design Context</w:t>
      </w:r>
    </w:p>
    <w:p w14:paraId="0AE1518F" w14:textId="77777777" w:rsidR="00AF590A" w:rsidRDefault="00000000">
      <w:pPr>
        <w:ind w:left="720" w:hanging="357"/>
      </w:pPr>
      <w:r>
        <w:t>•  Designer: doctoral student, dual role (builder + researcher)</w:t>
      </w:r>
    </w:p>
    <w:p w14:paraId="01029C84" w14:textId="77777777" w:rsidR="00AF590A" w:rsidRDefault="00000000">
      <w:pPr>
        <w:ind w:left="720" w:hanging="357"/>
      </w:pPr>
      <w:r>
        <w:t>•  External collaborator provides critical distance and design case expertise</w:t>
      </w:r>
    </w:p>
    <w:p w14:paraId="5C3B24F4" w14:textId="77777777" w:rsidR="00AF590A" w:rsidRDefault="00000000">
      <w:pPr>
        <w:ind w:left="720" w:hanging="357"/>
      </w:pPr>
      <w:r>
        <w:t>•  Target users: social science doctoral students</w:t>
      </w:r>
    </w:p>
    <w:p w14:paraId="64059CE6" w14:textId="77777777" w:rsidR="00AF590A" w:rsidRDefault="00000000">
      <w:pPr>
        <w:ind w:left="720" w:hanging="357"/>
      </w:pPr>
      <w:r>
        <w:lastRenderedPageBreak/>
        <w:t>•  Technical platform: MCP + Claude Code</w:t>
      </w:r>
    </w:p>
    <w:p w14:paraId="46611D50" w14:textId="77777777" w:rsidR="00AF590A" w:rsidRDefault="00000000">
      <w:pPr>
        <w:spacing w:before="240"/>
      </w:pPr>
      <w:r>
        <w:rPr>
          <w:b/>
        </w:rPr>
        <w:t>3. Design Process</w:t>
      </w:r>
    </w:p>
    <w:p w14:paraId="16AE6646" w14:textId="77777777" w:rsidR="00AF590A" w:rsidRDefault="00000000">
      <w:pPr>
        <w:ind w:left="720" w:hanging="357"/>
      </w:pPr>
      <w:r>
        <w:t>•  57 days, 224 commits, 5 iterative cycles (EDR; McKenney &amp; Reeves, 2012)</w:t>
      </w:r>
    </w:p>
    <w:p w14:paraId="3B964799" w14:textId="77777777" w:rsidR="00AF590A" w:rsidRDefault="00000000">
      <w:pPr>
        <w:ind w:left="720" w:hanging="357"/>
      </w:pPr>
      <w:r>
        <w:t>•  Key trajectory: 20 agents (v1) to 44 (peak) to 24 (consolidated)</w:t>
      </w:r>
    </w:p>
    <w:p w14:paraId="0F458CF4" w14:textId="77777777" w:rsidR="00AF590A" w:rsidRDefault="00000000">
      <w:pPr>
        <w:ind w:left="720" w:hanging="357"/>
      </w:pPr>
      <w:r>
        <w:t>•  Platform co-evolution: Claude Code capabilities (hooks, Agent Teams) triggered design iterations</w:t>
      </w:r>
    </w:p>
    <w:p w14:paraId="7A3D3458" w14:textId="77777777" w:rsidR="00AF590A" w:rsidRDefault="00000000">
      <w:pPr>
        <w:ind w:left="720" w:hanging="357"/>
      </w:pPr>
      <w:r>
        <w:t>•  Design failures documented: Sisyphus Protocol (same-day reversal), checkpoint bug (silent auto-approval), cross-platform support (abandoned after 41 days)</w:t>
      </w:r>
    </w:p>
    <w:p w14:paraId="190E0DA8" w14:textId="77777777" w:rsidR="00AF590A" w:rsidRDefault="00000000">
      <w:pPr>
        <w:spacing w:before="240"/>
      </w:pPr>
      <w:r>
        <w:rPr>
          <w:b/>
        </w:rPr>
        <w:t>4. Design Problem</w:t>
      </w:r>
    </w:p>
    <w:p w14:paraId="4B2E98E8" w14:textId="77777777" w:rsidR="00AF590A" w:rsidRDefault="00000000">
      <w:pPr>
        <w:ind w:left="720" w:hanging="357"/>
      </w:pPr>
      <w:r>
        <w:t>•  Mode collapse: AI converges on modal recommendations regardless of context</w:t>
      </w:r>
    </w:p>
    <w:p w14:paraId="55ACE2EF" w14:textId="77777777" w:rsidR="00AF590A" w:rsidRDefault="00000000">
      <w:pPr>
        <w:ind w:left="720" w:hanging="357"/>
      </w:pPr>
      <w:r>
        <w:t>•  Automation bias: 78% uncritical acceptance rate</w:t>
      </w:r>
    </w:p>
    <w:p w14:paraId="648ABED1" w14:textId="77777777" w:rsidR="00AF590A" w:rsidRDefault="00000000">
      <w:pPr>
        <w:ind w:left="720" w:hanging="357"/>
      </w:pPr>
      <w:r>
        <w:t>•  No existing tool combines structured oversight with diversity-generating mechanisms</w:t>
      </w:r>
    </w:p>
    <w:p w14:paraId="39C74985" w14:textId="77777777" w:rsidR="00AF590A" w:rsidRDefault="00000000">
      <w:pPr>
        <w:spacing w:before="240"/>
      </w:pPr>
      <w:r>
        <w:rPr>
          <w:b/>
        </w:rPr>
        <w:t>5. Design Decisions (core of the paper)</w:t>
      </w:r>
    </w:p>
    <w:p w14:paraId="2D5C34E1" w14:textId="77777777" w:rsidR="00AF590A" w:rsidRDefault="00000000">
      <w:pPr>
        <w:spacing w:before="120"/>
      </w:pPr>
      <w:r>
        <w:rPr>
          <w:b/>
          <w:i/>
        </w:rPr>
        <w:t>5.1 Multi-Agent Architecture (44 to 24)</w:t>
      </w:r>
    </w:p>
    <w:p w14:paraId="4565731B" w14:textId="77777777" w:rsidR="00AF590A" w:rsidRDefault="00000000">
      <w:pPr>
        <w:ind w:left="720" w:hanging="357"/>
      </w:pPr>
      <w:r>
        <w:t>•  Alternatives: single-agent, modular tool-use, maintain 44</w:t>
      </w:r>
    </w:p>
    <w:p w14:paraId="5FFDA4B4" w14:textId="77777777" w:rsidR="00AF590A" w:rsidRDefault="00000000">
      <w:pPr>
        <w:ind w:left="720" w:hanging="357"/>
      </w:pPr>
      <w:r>
        <w:t>•  Rationale: functional overlap, "more agents is less" scaling, epistemic rather than topical boundaries</w:t>
      </w:r>
    </w:p>
    <w:p w14:paraId="20A47BB0" w14:textId="77777777" w:rsidR="00AF590A" w:rsidRDefault="00000000">
      <w:pPr>
        <w:ind w:left="720" w:hanging="357"/>
      </w:pPr>
      <w:r>
        <w:t>•  Evidence: architecture diagram, consolidation table</w:t>
      </w:r>
    </w:p>
    <w:p w14:paraId="6129D0CC" w14:textId="77777777" w:rsidR="00AF590A" w:rsidRDefault="00000000">
      <w:pPr>
        <w:spacing w:before="120"/>
      </w:pPr>
      <w:r>
        <w:rPr>
          <w:b/>
          <w:i/>
        </w:rPr>
        <w:t>5.2 Verbalized Sampling and T-Score</w:t>
      </w:r>
    </w:p>
    <w:p w14:paraId="1C3C155A" w14:textId="77777777" w:rsidR="00AF590A" w:rsidRDefault="00000000">
      <w:pPr>
        <w:ind w:left="720" w:hanging="357"/>
      </w:pPr>
      <w:r>
        <w:t>•  Alternatives: prompt-based diversity, RAG, random sampling</w:t>
      </w:r>
    </w:p>
    <w:p w14:paraId="480BDF1C" w14:textId="77777777" w:rsidR="00AF590A" w:rsidRDefault="00000000">
      <w:pPr>
        <w:ind w:left="720" w:hanging="357"/>
      </w:pPr>
      <w:r>
        <w:t>•  Rationale: structural enforcement of diversity; T-Score as metacognitive transparency; VS Arena for epistemological plurality</w:t>
      </w:r>
    </w:p>
    <w:p w14:paraId="0A7AFE9B" w14:textId="77777777" w:rsidR="00AF590A" w:rsidRDefault="00000000">
      <w:pPr>
        <w:ind w:left="720" w:hanging="357"/>
      </w:pPr>
      <w:r>
        <w:lastRenderedPageBreak/>
        <w:t>•  Evidence: T-Score examples, persona configuration</w:t>
      </w:r>
    </w:p>
    <w:p w14:paraId="2B863416" w14:textId="77777777" w:rsidR="00AF590A" w:rsidRDefault="00000000">
      <w:pPr>
        <w:spacing w:before="120"/>
      </w:pPr>
      <w:r>
        <w:rPr>
          <w:b/>
          <w:i/>
        </w:rPr>
        <w:t>5.3 Human Checkpoint System (5 REQUIRED)</w:t>
      </w:r>
    </w:p>
    <w:p w14:paraId="5688F72C" w14:textId="77777777" w:rsidR="00AF590A" w:rsidRDefault="00000000">
      <w:pPr>
        <w:ind w:left="720" w:hanging="357"/>
      </w:pPr>
      <w:r>
        <w:t>•  Alternatives: no checkpoints, optional, every step</w:t>
      </w:r>
    </w:p>
    <w:p w14:paraId="5F7F4240" w14:textId="77777777" w:rsidR="00AF590A" w:rsidRDefault="00000000">
      <w:pPr>
        <w:ind w:left="720" w:hanging="357"/>
      </w:pPr>
      <w:r>
        <w:t>•  Rationale: cognitive forcing functions (Bucinca et al., 2021); gates at cross-agent dependency points</w:t>
      </w:r>
    </w:p>
    <w:p w14:paraId="301D8757" w14:textId="77777777" w:rsidR="00AF590A" w:rsidRDefault="00000000">
      <w:pPr>
        <w:ind w:left="720" w:hanging="357"/>
      </w:pPr>
      <w:r>
        <w:t>•  Evidence: checkpoint flow diagram, bug documentation</w:t>
      </w:r>
    </w:p>
    <w:p w14:paraId="77DDD245" w14:textId="77777777" w:rsidR="00AF590A" w:rsidRDefault="00000000">
      <w:pPr>
        <w:spacing w:before="240"/>
      </w:pPr>
      <w:r>
        <w:rPr>
          <w:b/>
        </w:rPr>
        <w:t>6. Design Tensions (unresolved)</w:t>
      </w:r>
    </w:p>
    <w:p w14:paraId="13D88DB7" w14:textId="77777777" w:rsidR="00AF590A" w:rsidRDefault="00000000">
      <w:pPr>
        <w:ind w:left="720" w:hanging="357"/>
      </w:pPr>
      <w:r>
        <w:t>•  Simplicity vs. Specialization</w:t>
      </w:r>
    </w:p>
    <w:p w14:paraId="75C1677D" w14:textId="77777777" w:rsidR="00AF590A" w:rsidRDefault="00000000">
      <w:pPr>
        <w:ind w:left="720" w:hanging="357"/>
      </w:pPr>
      <w:r>
        <w:t>•  Diversity vs. Coherence</w:t>
      </w:r>
    </w:p>
    <w:p w14:paraId="17AC2797" w14:textId="77777777" w:rsidR="00AF590A" w:rsidRDefault="00000000">
      <w:pPr>
        <w:ind w:left="720" w:hanging="357"/>
      </w:pPr>
      <w:r>
        <w:t>•  Oversight Rigor vs. Workflow Fluidity</w:t>
      </w:r>
    </w:p>
    <w:p w14:paraId="42778507" w14:textId="77777777" w:rsidR="00AF590A" w:rsidRDefault="00000000">
      <w:pPr>
        <w:spacing w:before="240"/>
      </w:pPr>
      <w:r>
        <w:rPr>
          <w:b/>
        </w:rPr>
        <w:t>7. Reflection</w:t>
      </w:r>
    </w:p>
    <w:p w14:paraId="7E3727B8" w14:textId="77777777" w:rsidR="00AF590A" w:rsidRDefault="00000000">
      <w:pPr>
        <w:ind w:left="720" w:hanging="357"/>
      </w:pPr>
      <w:r>
        <w:t>•  Transferable design principles: structural enforcement, transparency as metacognition, checkpoints as forcing functions</w:t>
      </w:r>
    </w:p>
    <w:p w14:paraId="24FBB74E" w14:textId="77777777" w:rsidR="00AF590A" w:rsidRDefault="00000000">
      <w:pPr>
        <w:ind w:left="720" w:hanging="357"/>
      </w:pPr>
      <w:r>
        <w:t>•  Connection to companion papers (BJET methodological; experimental evaluation)</w:t>
      </w:r>
    </w:p>
    <w:p w14:paraId="5498798B" w14:textId="77777777" w:rsidR="00AF590A" w:rsidRDefault="00AF590A"/>
    <w:p w14:paraId="787BB83D" w14:textId="77777777" w:rsidR="00AF590A" w:rsidRDefault="00000000">
      <w:pPr>
        <w:spacing w:before="240"/>
        <w:jc w:val="center"/>
      </w:pPr>
      <w:r>
        <w:rPr>
          <w:b/>
        </w:rPr>
        <w:t>Key References</w:t>
      </w:r>
    </w:p>
    <w:p w14:paraId="3D57E7D5" w14:textId="77777777" w:rsidR="00AF590A" w:rsidRDefault="00000000">
      <w:pPr>
        <w:ind w:left="720" w:hanging="720"/>
      </w:pPr>
      <w:r>
        <w:t>Boling, E. (2010). The need for design cases. IJDL, 1(1), 1-8.</w:t>
      </w:r>
    </w:p>
    <w:p w14:paraId="7065B0F7" w14:textId="77777777" w:rsidR="00AF590A" w:rsidRDefault="00000000">
      <w:pPr>
        <w:ind w:left="720" w:hanging="720"/>
      </w:pPr>
      <w:r>
        <w:t>Bucinca, Z., et al. (2021). Cognitive forcing functions. CSCW.</w:t>
      </w:r>
    </w:p>
    <w:p w14:paraId="0842E4BA" w14:textId="77777777" w:rsidR="00AF590A" w:rsidRDefault="00000000">
      <w:pPr>
        <w:ind w:left="720" w:hanging="720"/>
      </w:pPr>
      <w:r>
        <w:t>Collins, A., Brown, J. S., &amp; Newman, S. E. (1989). Cognitive apprenticeship. In Resnick (Ed.), Knowing, learning, and instruction.</w:t>
      </w:r>
    </w:p>
    <w:p w14:paraId="094D63C1" w14:textId="77777777" w:rsidR="00AF590A" w:rsidRDefault="00000000">
      <w:pPr>
        <w:ind w:left="720" w:hanging="720"/>
      </w:pPr>
      <w:r>
        <w:t>McKenney, S., &amp; Reeves, T. C. (2012). Conducting educational design research. Routledge.</w:t>
      </w:r>
    </w:p>
    <w:p w14:paraId="78F88EB8" w14:textId="77777777" w:rsidR="00AF590A" w:rsidRDefault="00000000">
      <w:pPr>
        <w:ind w:left="720" w:hanging="720"/>
      </w:pPr>
      <w:r>
        <w:t>Smith, K. M. (2010). Producing the rigorous design case. IJDL, 1(1), 9-20.</w:t>
      </w:r>
    </w:p>
    <w:p w14:paraId="72881E1B" w14:textId="77777777" w:rsidR="00AF590A" w:rsidRDefault="00000000">
      <w:pPr>
        <w:ind w:left="720" w:hanging="720"/>
      </w:pPr>
      <w:r>
        <w:lastRenderedPageBreak/>
        <w:t>Yang, M., &amp; Harbor, J. (2023). Authentic learning design failures. IJDL, 14(1), 88-105.</w:t>
      </w:r>
    </w:p>
    <w:p w14:paraId="6AF7D5FC" w14:textId="77777777" w:rsidR="00AF590A" w:rsidRDefault="00000000">
      <w:pPr>
        <w:ind w:left="720" w:hanging="720"/>
      </w:pPr>
      <w:r>
        <w:t>Zhao, Y., et al. (2024). Verbalized sampling. arXiv:2510.01171.</w:t>
      </w:r>
    </w:p>
    <w:p w14:paraId="40D91F34" w14:textId="77777777" w:rsidR="00AF590A" w:rsidRDefault="00AF590A"/>
    <w:p w14:paraId="648EF511" w14:textId="77777777" w:rsidR="00AF590A" w:rsidRDefault="00000000">
      <w:pPr>
        <w:spacing w:before="240"/>
      </w:pPr>
      <w:r>
        <w:rPr>
          <w:b/>
        </w:rPr>
        <w:t>Accompanying Materials</w:t>
      </w:r>
    </w:p>
    <w:p w14:paraId="5B5C6B96" w14:textId="77777777" w:rsidR="00AF590A" w:rsidRDefault="00000000">
      <w:pPr>
        <w:ind w:firstLine="720"/>
      </w:pPr>
      <w:r>
        <w:t>A detailed draft (~4,800 words with all figures/tables embedded) is available as a companion document for reference during writing.</w:t>
      </w:r>
    </w:p>
    <w:sectPr w:rsidR="00AF590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9381413">
    <w:abstractNumId w:val="8"/>
  </w:num>
  <w:num w:numId="2" w16cid:durableId="632951491">
    <w:abstractNumId w:val="6"/>
  </w:num>
  <w:num w:numId="3" w16cid:durableId="365369427">
    <w:abstractNumId w:val="5"/>
  </w:num>
  <w:num w:numId="4" w16cid:durableId="1153644208">
    <w:abstractNumId w:val="4"/>
  </w:num>
  <w:num w:numId="5" w16cid:durableId="1281573785">
    <w:abstractNumId w:val="7"/>
  </w:num>
  <w:num w:numId="6" w16cid:durableId="2095742921">
    <w:abstractNumId w:val="3"/>
  </w:num>
  <w:num w:numId="7" w16cid:durableId="1070269443">
    <w:abstractNumId w:val="2"/>
  </w:num>
  <w:num w:numId="8" w16cid:durableId="1139568508">
    <w:abstractNumId w:val="1"/>
  </w:num>
  <w:num w:numId="9" w16cid:durableId="909728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21C6"/>
    <w:rsid w:val="00891173"/>
    <w:rsid w:val="00AA1D8D"/>
    <w:rsid w:val="00AF590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A5679"/>
  <w14:defaultImageDpi w14:val="300"/>
  <w15:docId w15:val="{6198D8A6-2ABA-274C-997B-7B8EBD2B0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476</Words>
  <Characters>3129</Characters>
  <Application>Microsoft Office Word</Application>
  <DocSecurity>0</DocSecurity>
  <Lines>111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You, Hosung</cp:lastModifiedBy>
  <cp:revision>2</cp:revision>
  <dcterms:created xsi:type="dcterms:W3CDTF">2013-12-23T23:15:00Z</dcterms:created>
  <dcterms:modified xsi:type="dcterms:W3CDTF">2026-03-22T00:27:00Z</dcterms:modified>
  <cp:category/>
</cp:coreProperties>
</file>