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360"/>
        <w:jc w:val="center"/>
      </w:pPr>
      <w:r>
        <w:rPr>
          <w:rFonts w:ascii="Times New Roman" w:hAnsi="Times New Roman"/>
          <w:b/>
          <w:sz w:val="28"/>
        </w:rPr>
        <w:t>Design Case Outline: Diverga</w:t>
      </w:r>
    </w:p>
    <w:p>
      <w:pPr>
        <w:spacing w:line="480" w:lineRule="auto"/>
      </w:pPr>
      <w:r>
        <w:rPr>
          <w:rFonts w:ascii="Times New Roman" w:hAnsi="Times New Roman"/>
          <w:sz w:val="24"/>
        </w:rPr>
        <w:t>Target: International Journal of Designs for Learning (IJDL)</w:t>
      </w:r>
    </w:p>
    <w:p>
      <w:pPr>
        <w:spacing w:line="480" w:lineRule="auto"/>
      </w:pPr>
      <w:r>
        <w:rPr>
          <w:rFonts w:ascii="Times New Roman" w:hAnsi="Times New Roman"/>
          <w:sz w:val="24"/>
        </w:rPr>
        <w:t>Format: First-person design case (~5,000 words)</w:t>
      </w:r>
    </w:p>
    <w:p>
      <w:pPr>
        <w:spacing w:line="480" w:lineRule="auto"/>
      </w:pPr>
      <w:r>
        <w:rPr>
          <w:rFonts w:ascii="Times New Roman" w:hAnsi="Times New Roman"/>
          <w:sz w:val="24"/>
        </w:rPr>
        <w:t>Genre: Boling (2010); Smith (2010)</w:t>
      </w:r>
    </w:p>
    <w:p>
      <w:pPr>
        <w:spacing w:line="480" w:lineRule="auto" w:before="280"/>
      </w:pPr>
      <w:r>
        <w:rPr>
          <w:rFonts w:ascii="Times New Roman" w:hAnsi="Times New Roman"/>
          <w:b/>
          <w:sz w:val="24"/>
        </w:rPr>
        <w:t>Proposed Title</w:t>
      </w:r>
    </w:p>
    <w:p>
      <w:pPr>
        <w:spacing w:line="480" w:lineRule="auto"/>
        <w:ind w:firstLine="720"/>
      </w:pPr>
      <w:r>
        <w:rPr>
          <w:rFonts w:ascii="Times New Roman" w:hAnsi="Times New Roman"/>
          <w:sz w:val="24"/>
        </w:rPr>
        <w:t>"Scaffolding Without Replacing: A Design Case of Human Checkpoints and Verbalized Sampling in an AI Research Methodology Assistant"</w:t>
      </w:r>
    </w:p>
    <w:p>
      <w:pPr>
        <w:spacing w:line="480" w:lineRule="auto" w:before="360"/>
        <w:jc w:val="center"/>
      </w:pPr>
      <w:r>
        <w:rPr>
          <w:rFonts w:ascii="Times New Roman" w:hAnsi="Times New Roman"/>
          <w:b/>
          <w:sz w:val="28"/>
        </w:rPr>
        <w:t>Overview</w:t>
      </w:r>
    </w:p>
    <w:p>
      <w:pPr>
        <w:spacing w:line="480" w:lineRule="auto"/>
        <w:ind w:firstLine="720"/>
      </w:pPr>
      <w:r>
        <w:rPr>
          <w:rFonts w:ascii="Times New Roman" w:hAnsi="Times New Roman"/>
          <w:sz w:val="24"/>
        </w:rPr>
        <w:t>Diverga is a 24-agent AI research methodology assistant built on Model Context Protocol (MCP). It was designed to address two problems in AI-assisted research: mode collapse (AI tools converging on the same predictable recommendations) and automation bias (researchers accepting AI output without critical evaluation). Unlike existing tools such as Elicit, Consensus, or ChatGPT, Diverga combines three mechanisms that make it function as a learning design embedded in a research tool:</w:t>
      </w:r>
    </w:p>
    <w:p>
      <w:pPr>
        <w:spacing w:line="480" w:lineRule="auto"/>
        <w:ind w:left="720" w:hanging="357"/>
      </w:pPr>
      <w:r>
        <w:rPr>
          <w:rFonts w:ascii="Times New Roman" w:hAnsi="Times New Roman"/>
          <w:sz w:val="22"/>
        </w:rPr>
        <w:t>•  Multi-agent architecture with 24 specialized agents organized across 9 research methodology categories (Research Foundation, Literature, Design, Data, Analysis, Quality, Communication, Systematic Review, Ethics)</w:t>
      </w:r>
    </w:p>
    <w:p>
      <w:pPr>
        <w:spacing w:line="480" w:lineRule="auto"/>
        <w:ind w:left="720" w:hanging="357"/>
      </w:pPr>
      <w:r>
        <w:rPr>
          <w:rFonts w:ascii="Times New Roman" w:hAnsi="Times New Roman"/>
          <w:sz w:val="22"/>
        </w:rPr>
        <w:t>•  Verbalized Sampling (VS) with Typicality Scores (T-Scores) that structurally enforce recommendation diversity and make the commonality of each recommendation transparent to the researcher</w:t>
      </w:r>
    </w:p>
    <w:p>
      <w:pPr>
        <w:spacing w:line="480" w:lineRule="auto"/>
        <w:ind w:left="720" w:hanging="357"/>
      </w:pPr>
      <w:r>
        <w:rPr>
          <w:rFonts w:ascii="Times New Roman" w:hAnsi="Times New Roman"/>
          <w:sz w:val="22"/>
        </w:rPr>
        <w:t>•  Five required Human Checkpoints that function as cognitive forcing functions, halting AI processing and requiring the researcher to evaluate, decide, and articulate rationale before the system proceeds</w:t>
      </w:r>
    </w:p>
    <w:p>
      <w:pPr>
        <w:spacing w:line="480" w:lineRule="auto"/>
        <w:ind w:firstLine="720"/>
      </w:pPr>
      <w:r>
        <w:rPr>
          <w:rFonts w:ascii="Times New Roman" w:hAnsi="Times New Roman"/>
          <w:sz w:val="24"/>
        </w:rPr>
        <w:t>The system was developed over 57 days (224 version-controlled commits), evolving from 20 agents to a peak of 44 before being consolidated to 24 through principled analysis of functional overlap and usage patterns. This iterative trajectory, including documented design failures, constitutes the core narrative of the design case.</w:t>
      </w:r>
    </w:p>
    <w:p>
      <w:pPr>
        <w:spacing w:line="480" w:lineRule="auto" w:before="360"/>
        <w:jc w:val="center"/>
      </w:pPr>
      <w:r>
        <w:rPr>
          <w:rFonts w:ascii="Times New Roman" w:hAnsi="Times New Roman"/>
          <w:b/>
          <w:sz w:val="28"/>
        </w:rPr>
        <w:t>Conceptual Framework</w:t>
      </w:r>
    </w:p>
    <w:p>
      <w:pPr>
        <w:spacing w:line="480" w:lineRule="auto"/>
        <w:ind w:firstLine="720"/>
      </w:pPr>
      <w:r>
        <w:rPr>
          <w:rFonts w:ascii="Times New Roman" w:hAnsi="Times New Roman"/>
          <w:sz w:val="24"/>
        </w:rPr>
        <w:t>The paper integrates three conceptual elements (see Figure 1):</w:t>
      </w:r>
    </w:p>
    <w:p>
      <w:pPr>
        <w:spacing w:line="480" w:lineRule="auto"/>
        <w:ind w:left="720" w:hanging="357"/>
      </w:pPr>
      <w:r>
        <w:rPr>
          <w:rFonts w:ascii="Times New Roman" w:hAnsi="Times New Roman"/>
          <w:sz w:val="22"/>
        </w:rPr>
        <w:t>•  Educational Design Research (McKenney &amp; Reeves, 2012) provides the methodological structure. The development followed five iterative cycles of Analysis/Exploration, Design/Construction, and Evaluation/Reflection. Each cycle produced design insights that triggered the next cycle. The paper documents EDR phases 1 and 2; empirical evaluation (phase 3) is reserved for a companion paper.</w:t>
      </w:r>
    </w:p>
    <w:p>
      <w:pPr>
        <w:spacing w:line="480" w:lineRule="auto"/>
        <w:ind w:left="720" w:hanging="357"/>
      </w:pPr>
      <w:r>
        <w:rPr>
          <w:rFonts w:ascii="Times New Roman" w:hAnsi="Times New Roman"/>
          <w:sz w:val="22"/>
        </w:rPr>
        <w:t>•  Cognitive Apprenticeship (Collins, Brown, &amp; Newman, 1989) provides the theoretical lens for explaining why Diverga functions as a learning design rather than merely a tool. Six methods (modeling, coaching, scaffolding, articulation, reflection, exploration) map to the three design decisions. This framing is applied lightly: approximately 400 words distributed across the Introduction and Design Decisions sections, not as a standalone theoretical framework section.</w:t>
      </w:r>
    </w:p>
    <w:p>
      <w:pPr>
        <w:spacing w:line="480" w:lineRule="auto"/>
        <w:ind w:left="720" w:hanging="357"/>
      </w:pPr>
      <w:r>
        <w:rPr>
          <w:rFonts w:ascii="Times New Roman" w:hAnsi="Times New Roman"/>
          <w:sz w:val="22"/>
        </w:rPr>
        <w:t>•  Cognitive Forcing Functions (Bucinca et al., 2021) provides the mechanism-level explanation for the Human Checkpoint design specifically: deliberate interruptions that shift processing from automatic acceptance to deliberate evaluation.</w:t>
      </w:r>
    </w:p>
    <w:p>
      <w:pPr>
        <w:spacing w:before="240"/>
        <w:jc w:val="center"/>
      </w:pPr>
      <w:r>
        <w:drawing>
          <wp:inline xmlns:a="http://schemas.openxmlformats.org/drawingml/2006/main" xmlns:pic="http://schemas.openxmlformats.org/drawingml/2006/picture">
            <wp:extent cx="5029200" cy="4302425"/>
            <wp:docPr id="1" name="Picture 1"/>
            <wp:cNvGraphicFramePr>
              <a:graphicFrameLocks noChangeAspect="1"/>
            </wp:cNvGraphicFramePr>
            <a:graphic>
              <a:graphicData uri="http://schemas.openxmlformats.org/drawingml/2006/picture">
                <pic:pic>
                  <pic:nvPicPr>
                    <pic:cNvPr id="0" name="figure1_conceptual_framework.png"/>
                    <pic:cNvPicPr/>
                  </pic:nvPicPr>
                  <pic:blipFill>
                    <a:blip r:embed="rId9"/>
                    <a:stretch>
                      <a:fillRect/>
                    </a:stretch>
                  </pic:blipFill>
                  <pic:spPr>
                    <a:xfrm>
                      <a:off x="0" y="0"/>
                      <a:ext cx="5029200" cy="4302425"/>
                    </a:xfrm>
                    <a:prstGeom prst="rect"/>
                  </pic:spPr>
                </pic:pic>
              </a:graphicData>
            </a:graphic>
          </wp:inline>
        </w:drawing>
      </w:r>
    </w:p>
    <w:p>
      <w:pPr>
        <w:spacing w:line="480" w:lineRule="auto" w:after="120"/>
      </w:pPr>
      <w:r>
        <w:rPr>
          <w:rFonts w:ascii="Times New Roman" w:hAnsi="Times New Roman"/>
          <w:b/>
          <w:i/>
          <w:sz w:val="24"/>
        </w:rPr>
        <w:t xml:space="preserve">Figure 1. </w:t>
      </w:r>
      <w:r>
        <w:rPr>
          <w:rFonts w:ascii="Times New Roman" w:hAnsi="Times New Roman"/>
          <w:i/>
          <w:sz w:val="24"/>
        </w:rPr>
        <w:t>Conceptual Framework: EDR Model, Cognitive Apprenticeship Methods, Three Design Decisions, and Platform Evolution</w:t>
      </w:r>
    </w:p>
    <w:p>
      <w:pPr>
        <w:spacing w:line="480" w:lineRule="auto" w:before="360"/>
        <w:jc w:val="center"/>
      </w:pPr>
      <w:r>
        <w:rPr>
          <w:rFonts w:ascii="Times New Roman" w:hAnsi="Times New Roman"/>
          <w:b/>
          <w:sz w:val="28"/>
        </w:rPr>
        <w:t>Paper Structure</w:t>
      </w:r>
    </w:p>
    <w:p>
      <w:pPr>
        <w:spacing w:line="480" w:lineRule="auto" w:before="280"/>
      </w:pPr>
      <w:r>
        <w:rPr>
          <w:rFonts w:ascii="Times New Roman" w:hAnsi="Times New Roman"/>
          <w:b/>
          <w:sz w:val="24"/>
        </w:rPr>
        <w:t>1. Introduction</w:t>
      </w:r>
    </w:p>
    <w:p>
      <w:pPr>
        <w:spacing w:line="480" w:lineRule="auto"/>
        <w:ind w:firstLine="720"/>
      </w:pPr>
      <w:r>
        <w:rPr>
          <w:rFonts w:ascii="Times New Roman" w:hAnsi="Times New Roman"/>
          <w:sz w:val="24"/>
        </w:rPr>
        <w:t>This section establishes the problem and introduces the theoretical lens. AI research tools exhibit mode collapse: when asked for a theoretical framework, they recommend TAM; for qualitative design, thematic analysis; for meta-analysis, random effects. This convergence is compounded by automation bias (78% uncritical acceptance rate; Springer Nature, 2025). The design challenge is framed as a learning design problem: can an AI tool scaffold methodological reasoning rather than replace it?</w:t>
      </w:r>
    </w:p>
    <w:p>
      <w:pPr>
        <w:spacing w:line="480" w:lineRule="auto"/>
        <w:ind w:firstLine="720"/>
      </w:pPr>
      <w:r>
        <w:rPr>
          <w:rFonts w:ascii="Times New Roman" w:hAnsi="Times New Roman"/>
          <w:sz w:val="24"/>
        </w:rPr>
        <w:t>Cognitive Apprenticeship (Collins et al., 1989) is introduced as the lens for interpreting why Diverga's design decisions function as learning design decisions. The six methods are briefly mapped to the three design decisions (Table 3 in the paper). The scope is stated: this paper tells the design story; empirical evaluation is a companion paper.</w:t>
      </w:r>
    </w:p>
    <w:p>
      <w:pPr>
        <w:spacing w:line="480" w:lineRule="auto" w:before="280"/>
      </w:pPr>
      <w:r>
        <w:rPr>
          <w:rFonts w:ascii="Times New Roman" w:hAnsi="Times New Roman"/>
          <w:b/>
          <w:sz w:val="24"/>
        </w:rPr>
        <w:t>2. Design Context</w:t>
      </w:r>
    </w:p>
    <w:p>
      <w:pPr>
        <w:spacing w:line="480" w:lineRule="auto"/>
        <w:ind w:firstLine="720"/>
      </w:pPr>
      <w:r>
        <w:rPr>
          <w:rFonts w:ascii="Times New Roman" w:hAnsi="Times New Roman"/>
          <w:sz w:val="24"/>
        </w:rPr>
        <w:t>The designer is a doctoral student who simultaneously built and studied the system. This dual role provides insider knowledge but introduces evaluation bias. An external collaborator with published IJDL design cases was invited to provide critical distance. Target users are social science doctoral students for whom research methodology decisions constitute core knowledge work. The technical platform (MCP + Claude Code) enabled a single developer to build a multi-agent system in 57 days.</w:t>
      </w:r>
    </w:p>
    <w:p>
      <w:pPr>
        <w:spacing w:line="480" w:lineRule="auto" w:before="280"/>
      </w:pPr>
      <w:r>
        <w:rPr>
          <w:rFonts w:ascii="Times New Roman" w:hAnsi="Times New Roman"/>
          <w:b/>
          <w:sz w:val="24"/>
        </w:rPr>
        <w:t>3. Design Process: Five Iterative Cycles</w:t>
      </w:r>
    </w:p>
    <w:p>
      <w:pPr>
        <w:spacing w:line="480" w:lineRule="auto"/>
        <w:ind w:firstLine="720"/>
      </w:pPr>
      <w:r>
        <w:rPr>
          <w:rFonts w:ascii="Times New Roman" w:hAnsi="Times New Roman"/>
          <w:sz w:val="24"/>
        </w:rPr>
        <w:t>This section tells the iterative design story. Each cycle follows the EDR structure: a problem or gap triggers analysis; a design response is constructed; evaluation reveals new issues that trigger the next cycle. Platform capabilities (Claude Code hooks, plugins, Agent Teams) co-evolved with the design, creating external triggers for iteration.</w:t>
      </w:r>
    </w:p>
    <w:p>
      <w:pPr>
        <w:spacing w:line="480" w:lineRule="auto" w:before="160"/>
      </w:pPr>
      <w:r>
        <w:rPr>
          <w:rFonts w:ascii="Times New Roman" w:hAnsi="Times New Roman"/>
          <w:b/>
          <w:i/>
          <w:sz w:val="24"/>
        </w:rPr>
        <w:t>Cycle 1: Foundation (v1.0-v2.0; 2 days)</w:t>
      </w:r>
    </w:p>
    <w:p>
      <w:pPr>
        <w:spacing w:line="480" w:lineRule="auto"/>
        <w:ind w:left="720" w:hanging="357"/>
      </w:pPr>
      <w:r>
        <w:rPr>
          <w:rFonts w:ascii="Times New Roman" w:hAnsi="Times New Roman"/>
          <w:sz w:val="22"/>
        </w:rPr>
        <w:t>•  Problem: LLM research assistants default to modal recommendations</w:t>
      </w:r>
    </w:p>
    <w:p>
      <w:pPr>
        <w:spacing w:line="480" w:lineRule="auto"/>
        <w:ind w:left="720" w:hanging="357"/>
      </w:pPr>
      <w:r>
        <w:rPr>
          <w:rFonts w:ascii="Times New Roman" w:hAnsi="Times New Roman"/>
          <w:sz w:val="22"/>
        </w:rPr>
        <w:t>•  Design: 20 agents + Verbalized Sampling + T-Score system</w:t>
      </w:r>
    </w:p>
    <w:p>
      <w:pPr>
        <w:spacing w:line="480" w:lineRule="auto"/>
        <w:ind w:left="720" w:hanging="357"/>
      </w:pPr>
      <w:r>
        <w:rPr>
          <w:rFonts w:ascii="Times New Roman" w:hAnsi="Times New Roman"/>
          <w:sz w:val="22"/>
        </w:rPr>
        <w:t>•  Feedback: marketplace compatibility issues; installation too complex</w:t>
      </w:r>
    </w:p>
    <w:p>
      <w:pPr>
        <w:spacing w:line="480" w:lineRule="auto"/>
        <w:ind w:left="1077" w:hanging="357"/>
      </w:pPr>
      <w:r>
        <w:rPr>
          <w:rFonts w:ascii="Times New Roman" w:hAnsi="Times New Roman"/>
          <w:sz w:val="22"/>
        </w:rPr>
        <w:t>Recognized need for modular creativity mechanisms</w:t>
      </w:r>
      <w:r>
        <w:rPr>
          <w:rFonts w:ascii="Times New Roman" w:hAnsi="Times New Roman"/>
          <w:b/>
          <w:sz w:val="22"/>
        </w:rPr>
        <w:t xml:space="preserve">  →  </w:t>
      </w:r>
      <w:r>
        <w:rPr>
          <w:rFonts w:ascii="Times New Roman" w:hAnsi="Times New Roman"/>
          <w:sz w:val="22"/>
        </w:rPr>
        <w:t>triggered Cycle 2</w:t>
      </w:r>
    </w:p>
    <w:p>
      <w:pPr>
        <w:spacing w:line="480" w:lineRule="auto" w:before="160"/>
      </w:pPr>
      <w:r>
        <w:rPr>
          <w:rFonts w:ascii="Times New Roman" w:hAnsi="Times New Roman"/>
          <w:b/>
          <w:i/>
          <w:sz w:val="24"/>
        </w:rPr>
        <w:t>Cycle 2: Sisyphus and Clean Slate (v3.0-v6.0; 3 days)</w:t>
      </w:r>
    </w:p>
    <w:p>
      <w:pPr>
        <w:spacing w:line="480" w:lineRule="auto"/>
        <w:ind w:left="720" w:hanging="357"/>
      </w:pPr>
      <w:r>
        <w:rPr>
          <w:rFonts w:ascii="Times New Roman" w:hAnsi="Times New Roman"/>
          <w:sz w:val="22"/>
        </w:rPr>
        <w:t>•  Problem: VS alone was insufficient; creativity needed modularity</w:t>
      </w:r>
    </w:p>
    <w:p>
      <w:pPr>
        <w:spacing w:line="480" w:lineRule="auto"/>
        <w:ind w:left="720" w:hanging="357"/>
      </w:pPr>
      <w:r>
        <w:rPr>
          <w:rFonts w:ascii="Times New Roman" w:hAnsi="Times New Roman"/>
          <w:sz w:val="22"/>
        </w:rPr>
        <w:t>•  Design: 5 creativity mechanisms; expanded to 33 agents; introduced Sisyphus Protocol (autonomous continuation)</w:t>
      </w:r>
    </w:p>
    <w:p>
      <w:pPr>
        <w:spacing w:line="480" w:lineRule="auto"/>
        <w:ind w:left="720" w:hanging="357"/>
      </w:pPr>
      <w:r>
        <w:rPr>
          <w:rFonts w:ascii="Times New Roman" w:hAnsi="Times New Roman"/>
          <w:sz w:val="22"/>
        </w:rPr>
        <w:t>•  Feedback: Sisyphus Protocol removed human control entirely; added and removed the same day</w:t>
      </w:r>
    </w:p>
    <w:p>
      <w:pPr>
        <w:spacing w:line="480" w:lineRule="auto"/>
        <w:ind w:left="1077" w:hanging="357"/>
      </w:pPr>
      <w:r>
        <w:rPr>
          <w:rFonts w:ascii="Times New Roman" w:hAnsi="Times New Roman"/>
          <w:sz w:val="22"/>
        </w:rPr>
        <w:t>Design failure established foundational principle</w:t>
      </w:r>
      <w:r>
        <w:rPr>
          <w:rFonts w:ascii="Times New Roman" w:hAnsi="Times New Roman"/>
          <w:b/>
          <w:sz w:val="22"/>
        </w:rPr>
        <w:t xml:space="preserve">  →  </w:t>
      </w:r>
      <w:r>
        <w:rPr>
          <w:rFonts w:ascii="Times New Roman" w:hAnsi="Times New Roman"/>
          <w:sz w:val="22"/>
        </w:rPr>
        <w:t>"AI works between checkpoints, humans decide at them"</w:t>
      </w:r>
    </w:p>
    <w:p>
      <w:pPr>
        <w:spacing w:line="480" w:lineRule="auto" w:before="160"/>
      </w:pPr>
      <w:r>
        <w:rPr>
          <w:rFonts w:ascii="Times New Roman" w:hAnsi="Times New Roman"/>
          <w:b/>
          <w:i/>
          <w:sz w:val="24"/>
        </w:rPr>
        <w:t>Cycle 3: Expansion to Peak (v6.0-v6.7; 10 days)</w:t>
      </w:r>
    </w:p>
    <w:p>
      <w:pPr>
        <w:spacing w:line="480" w:lineRule="auto"/>
        <w:ind w:left="720" w:hanging="357"/>
      </w:pPr>
      <w:r>
        <w:rPr>
          <w:rFonts w:ascii="Times New Roman" w:hAnsi="Times New Roman"/>
          <w:sz w:val="22"/>
        </w:rPr>
        <w:t>•  Problem: domain gaps in meta-analysis, systematic review, humanization</w:t>
      </w:r>
    </w:p>
    <w:p>
      <w:pPr>
        <w:spacing w:line="480" w:lineRule="auto"/>
        <w:ind w:left="720" w:hanging="357"/>
      </w:pPr>
      <w:r>
        <w:rPr>
          <w:rFonts w:ascii="Times New Roman" w:hAnsi="Times New Roman"/>
          <w:sz w:val="22"/>
        </w:rPr>
        <w:t>•  Design: expanded to 44 agents; cross-platform support (Codex CLI, OpenCode); plugin marketplace</w:t>
      </w:r>
    </w:p>
    <w:p>
      <w:pPr>
        <w:spacing w:line="480" w:lineRule="auto"/>
        <w:ind w:left="720" w:hanging="357"/>
      </w:pPr>
      <w:r>
        <w:rPr>
          <w:rFonts w:ascii="Times New Roman" w:hAnsi="Times New Roman"/>
          <w:sz w:val="22"/>
        </w:rPr>
        <w:t>•  Feedback: plugin discovery fragile (8 fix commits in one day); cross-platform parity never achieved (75%/70%)</w:t>
      </w:r>
    </w:p>
    <w:p>
      <w:pPr>
        <w:spacing w:line="480" w:lineRule="auto"/>
        <w:ind w:left="1077" w:hanging="357"/>
      </w:pPr>
      <w:r>
        <w:rPr>
          <w:rFonts w:ascii="Times New Roman" w:hAnsi="Times New Roman"/>
          <w:sz w:val="22"/>
        </w:rPr>
        <w:t>Complexity exceeded maintainability threshold</w:t>
      </w:r>
      <w:r>
        <w:rPr>
          <w:rFonts w:ascii="Times New Roman" w:hAnsi="Times New Roman"/>
          <w:b/>
          <w:sz w:val="22"/>
        </w:rPr>
        <w:t xml:space="preserve">  →  </w:t>
      </w:r>
      <w:r>
        <w:rPr>
          <w:rFonts w:ascii="Times New Roman" w:hAnsi="Times New Roman"/>
          <w:sz w:val="22"/>
        </w:rPr>
        <w:t>triggered consolidation</w:t>
      </w:r>
    </w:p>
    <w:p>
      <w:pPr>
        <w:spacing w:line="480" w:lineRule="auto" w:before="160"/>
      </w:pPr>
      <w:r>
        <w:rPr>
          <w:rFonts w:ascii="Times New Roman" w:hAnsi="Times New Roman"/>
          <w:b/>
          <w:i/>
          <w:sz w:val="24"/>
        </w:rPr>
        <w:t>Cycle 4: The Great Consolidation (v8.0-v11.0; 34 days)</w:t>
      </w:r>
    </w:p>
    <w:p>
      <w:pPr>
        <w:spacing w:line="480" w:lineRule="auto"/>
        <w:ind w:left="720" w:hanging="357"/>
      </w:pPr>
      <w:r>
        <w:rPr>
          <w:rFonts w:ascii="Times New Roman" w:hAnsi="Times New Roman"/>
          <w:sz w:val="22"/>
        </w:rPr>
        <w:t>•  Problem: 44 agents, 3 platforms, 59KB configuration; most agents rarely used</w:t>
      </w:r>
    </w:p>
    <w:p>
      <w:pPr>
        <w:spacing w:line="480" w:lineRule="auto"/>
        <w:ind w:left="720" w:hanging="357"/>
      </w:pPr>
      <w:r>
        <w:rPr>
          <w:rFonts w:ascii="Times New Roman" w:hAnsi="Times New Roman"/>
          <w:sz w:val="22"/>
        </w:rPr>
        <w:t>•  Design: MCP checkpoint enforcement; SQLite backend; then consolidation: 44 to 24 agents, cross-platform dropped</w:t>
      </w:r>
    </w:p>
    <w:p>
      <w:pPr>
        <w:spacing w:line="480" w:lineRule="auto"/>
        <w:ind w:left="720" w:hanging="357"/>
      </w:pPr>
      <w:r>
        <w:rPr>
          <w:rFonts w:ascii="Times New Roman" w:hAnsi="Times New Roman"/>
          <w:sz w:val="22"/>
        </w:rPr>
        <w:t>•  Feedback: silent checkpoint bug discovered (all checkpoints auto-approved); 104-file Python module replaced by MCP</w:t>
      </w:r>
    </w:p>
    <w:p>
      <w:pPr>
        <w:spacing w:line="480" w:lineRule="auto"/>
        <w:ind w:left="720" w:hanging="357"/>
      </w:pPr>
      <w:r>
        <w:rPr>
          <w:rFonts w:ascii="Times New Roman" w:hAnsi="Times New Roman"/>
          <w:sz w:val="22"/>
        </w:rPr>
        <w:t>•  Platform trigger: Claude Code hooks (June 2025) enabled architectural checkpoint enforcement, replacing unreliable behavioral instructions</w:t>
      </w:r>
    </w:p>
    <w:p>
      <w:pPr>
        <w:spacing w:line="480" w:lineRule="auto"/>
        <w:ind w:left="1077" w:hanging="357"/>
      </w:pPr>
      <w:r>
        <w:rPr>
          <w:rFonts w:ascii="Times New Roman" w:hAnsi="Times New Roman"/>
          <w:sz w:val="22"/>
        </w:rPr>
        <w:t>Simplified foundation enabled new capabilities</w:t>
      </w:r>
      <w:r>
        <w:rPr>
          <w:rFonts w:ascii="Times New Roman" w:hAnsi="Times New Roman"/>
          <w:b/>
          <w:sz w:val="22"/>
        </w:rPr>
        <w:t xml:space="preserve">  →  </w:t>
      </w:r>
      <w:r>
        <w:rPr>
          <w:rFonts w:ascii="Times New Roman" w:hAnsi="Times New Roman"/>
          <w:sz w:val="22"/>
        </w:rPr>
        <w:t>triggered Cycle 5</w:t>
      </w:r>
    </w:p>
    <w:p>
      <w:pPr>
        <w:spacing w:line="480" w:lineRule="auto" w:before="160"/>
      </w:pPr>
      <w:r>
        <w:rPr>
          <w:rFonts w:ascii="Times New Roman" w:hAnsi="Times New Roman"/>
          <w:b/>
          <w:i/>
          <w:sz w:val="24"/>
        </w:rPr>
        <w:t>Cycle 5: Stabilization (v11.1-v12.0; 7 days)</w:t>
      </w:r>
    </w:p>
    <w:p>
      <w:pPr>
        <w:spacing w:line="480" w:lineRule="auto"/>
        <w:ind w:left="720" w:hanging="357"/>
      </w:pPr>
      <w:r>
        <w:rPr>
          <w:rFonts w:ascii="Times New Roman" w:hAnsi="Times New Roman"/>
          <w:sz w:val="22"/>
        </w:rPr>
        <w:t>•  Problem: simplified architecture needed new features (VS Arena, unified orchestration)</w:t>
      </w:r>
    </w:p>
    <w:p>
      <w:pPr>
        <w:spacing w:line="480" w:lineRule="auto"/>
        <w:ind w:left="720" w:hanging="357"/>
      </w:pPr>
      <w:r>
        <w:rPr>
          <w:rFonts w:ascii="Times New Roman" w:hAnsi="Times New Roman"/>
          <w:sz w:val="22"/>
        </w:rPr>
        <w:t>•  Design: VS Arena with 5 epistemological personas; unified orchestrator; configuration slimmed from 16.8KB to &lt;5KB</w:t>
      </w:r>
    </w:p>
    <w:p>
      <w:pPr>
        <w:spacing w:line="480" w:lineRule="auto"/>
        <w:ind w:left="720" w:hanging="357"/>
      </w:pPr>
      <w:r>
        <w:rPr>
          <w:rFonts w:ascii="Times New Roman" w:hAnsi="Times New Roman"/>
          <w:sz w:val="22"/>
        </w:rPr>
        <w:t>•  Platform trigger: Agent Teams (Feb 2026) enabled genuine multi-agent debate; before this, VS Arena used simulated diversity in a single context window</w:t>
      </w:r>
    </w:p>
    <w:p>
      <w:pPr>
        <w:spacing w:line="480" w:lineRule="auto"/>
        <w:ind w:left="1077" w:hanging="357"/>
      </w:pPr>
      <w:r>
        <w:rPr>
          <w:rFonts w:ascii="Times New Roman" w:hAnsi="Times New Roman"/>
          <w:sz w:val="22"/>
        </w:rPr>
        <w:t>System reached architectural stability</w:t>
      </w:r>
      <w:r>
        <w:rPr>
          <w:rFonts w:ascii="Times New Roman" w:hAnsi="Times New Roman"/>
          <w:b/>
          <w:sz w:val="22"/>
        </w:rPr>
        <w:t xml:space="preserve">  →  </w:t>
      </w:r>
      <w:r>
        <w:rPr>
          <w:rFonts w:ascii="Times New Roman" w:hAnsi="Times New Roman"/>
          <w:sz w:val="22"/>
        </w:rPr>
        <w:t>ready for user evaluation studies</w:t>
      </w:r>
    </w:p>
    <w:p>
      <w:pPr>
        <w:spacing w:line="480" w:lineRule="auto" w:before="280"/>
      </w:pPr>
      <w:r>
        <w:rPr>
          <w:rFonts w:ascii="Times New Roman" w:hAnsi="Times New Roman"/>
          <w:b/>
          <w:sz w:val="24"/>
        </w:rPr>
        <w:t>4. Design Problem</w:t>
      </w:r>
    </w:p>
    <w:p>
      <w:pPr>
        <w:spacing w:line="480" w:lineRule="auto"/>
        <w:ind w:firstLine="720"/>
      </w:pPr>
      <w:r>
        <w:rPr>
          <w:rFonts w:ascii="Times New Roman" w:hAnsi="Times New Roman"/>
          <w:sz w:val="24"/>
        </w:rPr>
        <w:t>This section defines the specific problems that the three design decisions address. Mode collapse is explained for a non-technical audience: AI systems trained to maximize prediction probability produce the most common output, not the most contextually appropriate one. This is analogous to standardized curricula that reduce pedagogical diversity. Automation bias compounds the problem: researchers know they should evaluate critically, but under time pressure, the path of least resistance is acceptance. No existing tool addresses both problems structurally.</w:t>
      </w:r>
    </w:p>
    <w:p>
      <w:pPr>
        <w:spacing w:line="480" w:lineRule="auto" w:before="280"/>
      </w:pPr>
      <w:r>
        <w:rPr>
          <w:rFonts w:ascii="Times New Roman" w:hAnsi="Times New Roman"/>
          <w:b/>
          <w:sz w:val="24"/>
        </w:rPr>
        <w:t>5. Design Decisions and Rationale (core)</w:t>
      </w:r>
    </w:p>
    <w:p>
      <w:pPr>
        <w:spacing w:line="480" w:lineRule="auto"/>
        <w:ind w:firstLine="720"/>
      </w:pPr>
      <w:r>
        <w:rPr>
          <w:rFonts w:ascii="Times New Roman" w:hAnsi="Times New Roman"/>
          <w:sz w:val="24"/>
        </w:rPr>
        <w:t>Each decision follows the design case pattern: decision point, alternatives considered, rationale for chosen approach, evidence of implementation, and the iterative feedback that shaped the decision.</w:t>
      </w:r>
    </w:p>
    <w:p>
      <w:pPr>
        <w:spacing w:line="480" w:lineRule="auto" w:before="160"/>
      </w:pPr>
      <w:r>
        <w:rPr>
          <w:rFonts w:ascii="Times New Roman" w:hAnsi="Times New Roman"/>
          <w:b/>
          <w:i/>
          <w:sz w:val="24"/>
        </w:rPr>
        <w:t>5.1 Multi-Agent Architecture: From 44 to 24 Agents</w:t>
      </w:r>
    </w:p>
    <w:p>
      <w:pPr>
        <w:spacing w:line="480" w:lineRule="auto"/>
        <w:ind w:firstLine="720"/>
      </w:pPr>
      <w:r>
        <w:rPr>
          <w:rFonts w:ascii="Times New Roman" w:hAnsi="Times New Roman"/>
          <w:sz w:val="24"/>
        </w:rPr>
        <w:t>The system grew from 20 to 44 agents before being consolidated to 24. The expansion revealed where complexity becomes counterproductive: functional overlap between agents, superlinear scaling of coordination overhead (Li et al., 2025), and user cognitive load. The 9-category structure maps to research design phases, not to AI system internals. The consolidation was scaffolding calibration in cognitive apprenticeship terms: reducing surface complexity so the intellectual structure of research design becomes the visible architecture.</w:t>
      </w:r>
    </w:p>
    <w:p>
      <w:pPr>
        <w:spacing w:line="480" w:lineRule="auto"/>
        <w:ind w:left="720" w:hanging="357"/>
      </w:pPr>
      <w:r>
        <w:rPr>
          <w:rFonts w:ascii="Times New Roman" w:hAnsi="Times New Roman"/>
          <w:sz w:val="22"/>
        </w:rPr>
        <w:t>•  Cognitive Apprenticeship methods: Modeling (agents demonstrate expert reasoning), Coaching (domain-specific feedback), Scaffolding (task decomposition + fading via consolidation)</w:t>
      </w:r>
    </w:p>
    <w:p>
      <w:pPr>
        <w:spacing w:line="480" w:lineRule="auto"/>
        <w:ind w:left="720" w:hanging="357"/>
      </w:pPr>
      <w:r>
        <w:rPr>
          <w:rFonts w:ascii="Times New Roman" w:hAnsi="Times New Roman"/>
          <w:sz w:val="22"/>
        </w:rPr>
        <w:t>•  Figures: architecture comparison diagram (v10 vs. v11)</w:t>
      </w:r>
    </w:p>
    <w:p>
      <w:pPr>
        <w:spacing w:line="480" w:lineRule="auto"/>
        <w:ind w:left="720" w:hanging="357"/>
      </w:pPr>
      <w:r>
        <w:rPr>
          <w:rFonts w:ascii="Times New Roman" w:hAnsi="Times New Roman"/>
          <w:sz w:val="22"/>
        </w:rPr>
        <w:t>•  Tables: agent consolidation table with rationale for each merge</w:t>
      </w:r>
    </w:p>
    <w:p>
      <w:pPr>
        <w:spacing w:line="480" w:lineRule="auto" w:before="160"/>
      </w:pPr>
      <w:r>
        <w:rPr>
          <w:rFonts w:ascii="Times New Roman" w:hAnsi="Times New Roman"/>
          <w:b/>
          <w:i/>
          <w:sz w:val="24"/>
        </w:rPr>
        <w:t>5.2 Verbalized Sampling and Typicality Scores</w:t>
      </w:r>
    </w:p>
    <w:p>
      <w:pPr>
        <w:spacing w:line="480" w:lineRule="auto"/>
        <w:ind w:firstLine="720"/>
      </w:pPr>
      <w:r>
        <w:rPr>
          <w:rFonts w:ascii="Times New Roman" w:hAnsi="Times New Roman"/>
          <w:sz w:val="24"/>
        </w:rPr>
        <w:t>Mode collapse cannot be solved by prompting an AI to "be diverse"; diversity must be structurally enforced. VS (Zhao et al., 2024) generates recommendations across the full typicality spectrum. The critical design decision was to surface the T-Score to the researcher: a score of T = 0.82 signals a modal recommendation; T = 0.31 signals genuinely unconventional territory. This turns the T-Score into a metacognitive prompt. The VS Arena extends this through five epistemological persona agents, each structurally constrained from recommending what others are likely to recommend.</w:t>
      </w:r>
    </w:p>
    <w:p>
      <w:pPr>
        <w:spacing w:line="480" w:lineRule="auto"/>
        <w:ind w:left="720" w:hanging="357"/>
      </w:pPr>
      <w:r>
        <w:rPr>
          <w:rFonts w:ascii="Times New Roman" w:hAnsi="Times New Roman"/>
          <w:sz w:val="22"/>
        </w:rPr>
        <w:t>•  Cognitive Apprenticeship methods: Reflection (T-Score as metacognitive device), Exploration (long-tail sampling + epistemological plurality)</w:t>
      </w:r>
    </w:p>
    <w:p>
      <w:pPr>
        <w:spacing w:line="480" w:lineRule="auto"/>
        <w:ind w:left="720" w:hanging="357"/>
      </w:pPr>
      <w:r>
        <w:rPr>
          <w:rFonts w:ascii="Times New Roman" w:hAnsi="Times New Roman"/>
          <w:sz w:val="22"/>
        </w:rPr>
        <w:t>•  Iterative evolution: before Agent Teams, personas ran in the same context window (simulated diversity); after Agent Teams, each persona operates independently (genuine diversity)</w:t>
      </w:r>
    </w:p>
    <w:p>
      <w:pPr>
        <w:spacing w:line="480" w:lineRule="auto" w:before="160"/>
      </w:pPr>
      <w:r>
        <w:rPr>
          <w:rFonts w:ascii="Times New Roman" w:hAnsi="Times New Roman"/>
          <w:b/>
          <w:i/>
          <w:sz w:val="24"/>
        </w:rPr>
        <w:t>5.3 Human Checkpoint System: Five Required Cognitive Forcing Functions</w:t>
      </w:r>
    </w:p>
    <w:p>
      <w:pPr>
        <w:spacing w:line="480" w:lineRule="auto"/>
        <w:ind w:firstLine="720"/>
      </w:pPr>
      <w:r>
        <w:rPr>
          <w:rFonts w:ascii="Times New Roman" w:hAnsi="Times New Roman"/>
          <w:sz w:val="24"/>
        </w:rPr>
        <w:t>Checkpoints are not workflow approval gates; they are cognitive forcing functions (Bucinca et al., 2021) that interrupt automatic processing and require effortful evaluation. The design was shaped by two instructive failures. First, the Sisyphus Protocol (v5.0) attempted full autonomy between checkpoints and was reversed the same day. Second, a silent bug in v11.0 caused all checkpoints to auto-approve; the system appeared to have oversight but did not. These failures illustrate how difficult genuine human oversight is to implement in autonomous AI systems. The current design places five gates at cross-agent dependency points where decisions propagate through all subsequent outputs.</w:t>
      </w:r>
    </w:p>
    <w:p>
      <w:pPr>
        <w:spacing w:line="480" w:lineRule="auto"/>
        <w:ind w:left="720" w:hanging="357"/>
      </w:pPr>
      <w:r>
        <w:rPr>
          <w:rFonts w:ascii="Times New Roman" w:hAnsi="Times New Roman"/>
          <w:sz w:val="22"/>
        </w:rPr>
        <w:t>•  Cognitive Apprenticeship methods: Articulation (researcher must verbalize decision rationale), Scaffolding (fading from many checkpoints to five)</w:t>
      </w:r>
    </w:p>
    <w:p>
      <w:pPr>
        <w:spacing w:line="480" w:lineRule="auto"/>
        <w:ind w:left="720" w:hanging="357"/>
      </w:pPr>
      <w:r>
        <w:rPr>
          <w:rFonts w:ascii="Times New Roman" w:hAnsi="Times New Roman"/>
          <w:sz w:val="22"/>
        </w:rPr>
        <w:t>•  Platform evolution: before hooks (June 2025), checkpoints were behavioral instructions; after hooks, architectural enforcement</w:t>
      </w:r>
    </w:p>
    <w:p>
      <w:pPr>
        <w:spacing w:line="480" w:lineRule="auto" w:before="280"/>
      </w:pPr>
      <w:r>
        <w:rPr>
          <w:rFonts w:ascii="Times New Roman" w:hAnsi="Times New Roman"/>
          <w:b/>
          <w:sz w:val="24"/>
        </w:rPr>
        <w:t>6. Design Tensions</w:t>
      </w:r>
    </w:p>
    <w:p>
      <w:pPr>
        <w:spacing w:line="480" w:lineRule="auto"/>
        <w:ind w:firstLine="720"/>
      </w:pPr>
      <w:r>
        <w:rPr>
          <w:rFonts w:ascii="Times New Roman" w:hAnsi="Times New Roman"/>
          <w:sz w:val="24"/>
        </w:rPr>
        <w:t>Design cases document not only what was built but what remains uncertain. These tensions are inherent trade-offs in the current design, not failures to be fixed. Naming them contributes to the field's understanding of AI tool design for epistemic support. Each tension corresponds to a design decision and identifies an open empirical question that the companion evaluation paper will investigate.</w:t>
      </w:r>
    </w:p>
    <w:p>
      <w:pPr>
        <w:spacing w:line="480" w:lineRule="auto"/>
        <w:ind w:left="720" w:hanging="357"/>
      </w:pPr>
      <w:r>
        <w:rPr>
          <w:rFonts w:ascii="Times New Roman" w:hAnsi="Times New Roman"/>
          <w:sz w:val="22"/>
        </w:rPr>
        <w:t>•  Simplicity vs. Specialization (from 5.1): 24 agents in 9 categories is principled but still complex. Does navigating this architecture require prior research design knowledge that novice users lack?</w:t>
      </w:r>
    </w:p>
    <w:p>
      <w:pPr>
        <w:spacing w:line="480" w:lineRule="auto"/>
        <w:ind w:left="720" w:hanging="357"/>
      </w:pPr>
      <w:r>
        <w:rPr>
          <w:rFonts w:ascii="Times New Roman" w:hAnsi="Times New Roman"/>
          <w:sz w:val="22"/>
        </w:rPr>
        <w:t>•  Diversity vs. Coherence (from 5.2): VS Arena generates five divergent perspectives without synthesis. Does this plurality illuminate or overwhelm? This is the most important unresolved design problem.</w:t>
      </w:r>
    </w:p>
    <w:p>
      <w:pPr>
        <w:spacing w:line="480" w:lineRule="auto"/>
        <w:ind w:left="720" w:hanging="357"/>
      </w:pPr>
      <w:r>
        <w:rPr>
          <w:rFonts w:ascii="Times New Roman" w:hAnsi="Times New Roman"/>
          <w:sz w:val="22"/>
        </w:rPr>
        <w:t>•  Oversight Rigor vs. Workflow Fluidity (from 5.3): five checkpoints interrupt cognitive flow. Does this produce genuine deliberation or habituated click-through? The silent auto-approval bug suggests the tension is real.</w:t>
      </w:r>
    </w:p>
    <w:p>
      <w:pPr>
        <w:spacing w:line="480" w:lineRule="auto" w:before="280"/>
      </w:pPr>
      <w:r>
        <w:rPr>
          <w:rFonts w:ascii="Times New Roman" w:hAnsi="Times New Roman"/>
          <w:b/>
          <w:sz w:val="24"/>
        </w:rPr>
        <w:t>7. Reflection and Future Directions</w:t>
      </w:r>
    </w:p>
    <w:p>
      <w:pPr>
        <w:spacing w:line="480" w:lineRule="auto"/>
        <w:ind w:firstLine="720"/>
      </w:pPr>
      <w:r>
        <w:rPr>
          <w:rFonts w:ascii="Times New Roman" w:hAnsi="Times New Roman"/>
          <w:sz w:val="24"/>
        </w:rPr>
        <w:t>Three transferable design principles emerge: (1) structural enforcement over instructional exhortation (design diversity into architecture, not instructions), (2) transparency as metacognitive prompt (surface information users need to calibrate reliance), and (3) checkpoints as cognitive forcing functions (mandatory pauses at consequential nodes, not at every step). The design case occupies EDR phases 1 and 2. Companion papers address methodology for studying artificial agency (Paper 2, BJET) and empirical evaluation of researcher performance effects (Paper 3, Computers &amp; Education).</w:t>
      </w:r>
    </w:p>
    <w:p>
      <w:pPr>
        <w:spacing w:line="480" w:lineRule="auto" w:before="360"/>
        <w:jc w:val="center"/>
      </w:pPr>
      <w:r>
        <w:rPr>
          <w:rFonts w:ascii="Times New Roman" w:hAnsi="Times New Roman"/>
          <w:b/>
          <w:sz w:val="28"/>
        </w:rPr>
        <w:t>Figures and Tables</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2340"/>
        <w:gridCol w:w="2340"/>
        <w:gridCol w:w="2340"/>
        <w:gridCol w:w="2340"/>
      </w:tblGrid>
      <w:tr>
        <w:tc>
          <w:tcPr>
            <w:tcW w:type="dxa" w:w="2340"/>
          </w:tcPr>
          <w:p>
            <w:r>
              <w:rPr>
                <w:rFonts w:ascii="Times New Roman" w:hAnsi="Times New Roman"/>
                <w:b/>
                <w:sz w:val="20"/>
              </w:rPr>
              <w:t>ID</w:t>
            </w:r>
          </w:p>
        </w:tc>
        <w:tc>
          <w:tcPr>
            <w:tcW w:type="dxa" w:w="2340"/>
          </w:tcPr>
          <w:p>
            <w:r>
              <w:rPr>
                <w:rFonts w:ascii="Times New Roman" w:hAnsi="Times New Roman"/>
                <w:b/>
                <w:sz w:val="20"/>
              </w:rPr>
              <w:t>Content</w:t>
            </w:r>
          </w:p>
        </w:tc>
        <w:tc>
          <w:tcPr>
            <w:tcW w:type="dxa" w:w="2340"/>
          </w:tcPr>
          <w:p>
            <w:r>
              <w:rPr>
                <w:rFonts w:ascii="Times New Roman" w:hAnsi="Times New Roman"/>
                <w:b/>
                <w:sz w:val="20"/>
              </w:rPr>
              <w:t>Section</w:t>
            </w:r>
          </w:p>
        </w:tc>
        <w:tc>
          <w:tcPr>
            <w:tcW w:type="dxa" w:w="2340"/>
          </w:tcPr>
          <w:p>
            <w:r>
              <w:rPr>
                <w:rFonts w:ascii="Times New Roman" w:hAnsi="Times New Roman"/>
                <w:b/>
                <w:sz w:val="20"/>
              </w:rPr>
              <w:t>Status</w:t>
            </w:r>
          </w:p>
        </w:tc>
      </w:tr>
      <w:tr>
        <w:tc>
          <w:tcPr>
            <w:tcW w:type="dxa" w:w="2340"/>
          </w:tcPr>
          <w:p>
            <w:r>
              <w:rPr>
                <w:rFonts w:ascii="Times New Roman" w:hAnsi="Times New Roman"/>
                <w:sz w:val="20"/>
              </w:rPr>
              <w:t>Figure 1</w:t>
            </w:r>
          </w:p>
        </w:tc>
        <w:tc>
          <w:tcPr>
            <w:tcW w:type="dxa" w:w="2340"/>
          </w:tcPr>
          <w:p>
            <w:r>
              <w:rPr>
                <w:rFonts w:ascii="Times New Roman" w:hAnsi="Times New Roman"/>
                <w:sz w:val="20"/>
              </w:rPr>
              <w:t>Conceptual Framework (EDR + CA + Design Decisions + Platform)</w:t>
            </w:r>
          </w:p>
        </w:tc>
        <w:tc>
          <w:tcPr>
            <w:tcW w:type="dxa" w:w="2340"/>
          </w:tcPr>
          <w:p>
            <w:r>
              <w:rPr>
                <w:rFonts w:ascii="Times New Roman" w:hAnsi="Times New Roman"/>
                <w:sz w:val="20"/>
              </w:rPr>
              <w:t>3</w:t>
            </w:r>
          </w:p>
        </w:tc>
        <w:tc>
          <w:tcPr>
            <w:tcW w:type="dxa" w:w="2340"/>
          </w:tcPr>
          <w:p>
            <w:r>
              <w:rPr>
                <w:rFonts w:ascii="Times New Roman" w:hAnsi="Times New Roman"/>
                <w:sz w:val="20"/>
              </w:rPr>
              <w:t>Generated</w:t>
            </w:r>
          </w:p>
        </w:tc>
      </w:tr>
      <w:tr>
        <w:tc>
          <w:tcPr>
            <w:tcW w:type="dxa" w:w="2340"/>
          </w:tcPr>
          <w:p>
            <w:r>
              <w:rPr>
                <w:rFonts w:ascii="Times New Roman" w:hAnsi="Times New Roman"/>
                <w:sz w:val="20"/>
              </w:rPr>
              <w:t>Figure 2</w:t>
            </w:r>
          </w:p>
        </w:tc>
        <w:tc>
          <w:tcPr>
            <w:tcW w:type="dxa" w:w="2340"/>
          </w:tcPr>
          <w:p>
            <w:r>
              <w:rPr>
                <w:rFonts w:ascii="Times New Roman" w:hAnsi="Times New Roman"/>
                <w:sz w:val="20"/>
              </w:rPr>
              <w:t>5 EDR Cycles timeline with agent count and feedback arrows</w:t>
            </w:r>
          </w:p>
        </w:tc>
        <w:tc>
          <w:tcPr>
            <w:tcW w:type="dxa" w:w="2340"/>
          </w:tcPr>
          <w:p>
            <w:r>
              <w:rPr>
                <w:rFonts w:ascii="Times New Roman" w:hAnsi="Times New Roman"/>
                <w:sz w:val="20"/>
              </w:rPr>
              <w:t>3</w:t>
            </w:r>
          </w:p>
        </w:tc>
        <w:tc>
          <w:tcPr>
            <w:tcW w:type="dxa" w:w="2340"/>
          </w:tcPr>
          <w:p>
            <w:r>
              <w:rPr>
                <w:rFonts w:ascii="Times New Roman" w:hAnsi="Times New Roman"/>
                <w:sz w:val="20"/>
              </w:rPr>
              <w:t>Generated</w:t>
            </w:r>
          </w:p>
        </w:tc>
      </w:tr>
      <w:tr>
        <w:tc>
          <w:tcPr>
            <w:tcW w:type="dxa" w:w="2340"/>
          </w:tcPr>
          <w:p>
            <w:r>
              <w:rPr>
                <w:rFonts w:ascii="Times New Roman" w:hAnsi="Times New Roman"/>
                <w:sz w:val="20"/>
              </w:rPr>
              <w:t>Figure 3</w:t>
            </w:r>
          </w:p>
        </w:tc>
        <w:tc>
          <w:tcPr>
            <w:tcW w:type="dxa" w:w="2340"/>
          </w:tcPr>
          <w:p>
            <w:r>
              <w:rPr>
                <w:rFonts w:ascii="Times New Roman" w:hAnsi="Times New Roman"/>
                <w:sz w:val="20"/>
              </w:rPr>
              <w:t>Platform-Design co-evolution (dual timeline)</w:t>
            </w:r>
          </w:p>
        </w:tc>
        <w:tc>
          <w:tcPr>
            <w:tcW w:type="dxa" w:w="2340"/>
          </w:tcPr>
          <w:p>
            <w:r>
              <w:rPr>
                <w:rFonts w:ascii="Times New Roman" w:hAnsi="Times New Roman"/>
                <w:sz w:val="20"/>
              </w:rPr>
              <w:t>3</w:t>
            </w:r>
          </w:p>
        </w:tc>
        <w:tc>
          <w:tcPr>
            <w:tcW w:type="dxa" w:w="2340"/>
          </w:tcPr>
          <w:p>
            <w:r>
              <w:rPr>
                <w:rFonts w:ascii="Times New Roman" w:hAnsi="Times New Roman"/>
                <w:sz w:val="20"/>
              </w:rPr>
              <w:t>Generated</w:t>
            </w:r>
          </w:p>
        </w:tc>
      </w:tr>
      <w:tr>
        <w:tc>
          <w:tcPr>
            <w:tcW w:type="dxa" w:w="2340"/>
          </w:tcPr>
          <w:p>
            <w:r>
              <w:rPr>
                <w:rFonts w:ascii="Times New Roman" w:hAnsi="Times New Roman"/>
                <w:sz w:val="20"/>
              </w:rPr>
              <w:t>Figure 4</w:t>
            </w:r>
          </w:p>
        </w:tc>
        <w:tc>
          <w:tcPr>
            <w:tcW w:type="dxa" w:w="2340"/>
          </w:tcPr>
          <w:p>
            <w:r>
              <w:rPr>
                <w:rFonts w:ascii="Times New Roman" w:hAnsi="Times New Roman"/>
                <w:sz w:val="20"/>
              </w:rPr>
              <w:t>Architecture comparison: v10 (44) vs. v11 (24)</w:t>
            </w:r>
          </w:p>
        </w:tc>
        <w:tc>
          <w:tcPr>
            <w:tcW w:type="dxa" w:w="2340"/>
          </w:tcPr>
          <w:p>
            <w:r>
              <w:rPr>
                <w:rFonts w:ascii="Times New Roman" w:hAnsi="Times New Roman"/>
                <w:sz w:val="20"/>
              </w:rPr>
              <w:t>5.1</w:t>
            </w:r>
          </w:p>
        </w:tc>
        <w:tc>
          <w:tcPr>
            <w:tcW w:type="dxa" w:w="2340"/>
          </w:tcPr>
          <w:p>
            <w:r>
              <w:rPr>
                <w:rFonts w:ascii="Times New Roman" w:hAnsi="Times New Roman"/>
                <w:sz w:val="20"/>
              </w:rPr>
              <w:t>Generated</w:t>
            </w:r>
          </w:p>
        </w:tc>
      </w:tr>
      <w:tr>
        <w:tc>
          <w:tcPr>
            <w:tcW w:type="dxa" w:w="2340"/>
          </w:tcPr>
          <w:p>
            <w:r>
              <w:rPr>
                <w:rFonts w:ascii="Times New Roman" w:hAnsi="Times New Roman"/>
                <w:sz w:val="20"/>
              </w:rPr>
              <w:t>Figure 5</w:t>
            </w:r>
          </w:p>
        </w:tc>
        <w:tc>
          <w:tcPr>
            <w:tcW w:type="dxa" w:w="2340"/>
          </w:tcPr>
          <w:p>
            <w:r>
              <w:rPr>
                <w:rFonts w:ascii="Times New Roman" w:hAnsi="Times New Roman"/>
                <w:sz w:val="20"/>
              </w:rPr>
              <w:t>Checkpoint flow with 5 REQUIRED gates and CA labels</w:t>
            </w:r>
          </w:p>
        </w:tc>
        <w:tc>
          <w:tcPr>
            <w:tcW w:type="dxa" w:w="2340"/>
          </w:tcPr>
          <w:p>
            <w:r>
              <w:rPr>
                <w:rFonts w:ascii="Times New Roman" w:hAnsi="Times New Roman"/>
                <w:sz w:val="20"/>
              </w:rPr>
              <w:t>5.3</w:t>
            </w:r>
          </w:p>
        </w:tc>
        <w:tc>
          <w:tcPr>
            <w:tcW w:type="dxa" w:w="2340"/>
          </w:tcPr>
          <w:p>
            <w:r>
              <w:rPr>
                <w:rFonts w:ascii="Times New Roman" w:hAnsi="Times New Roman"/>
                <w:sz w:val="20"/>
              </w:rPr>
              <w:t>Generated</w:t>
            </w:r>
          </w:p>
        </w:tc>
      </w:tr>
      <w:tr>
        <w:tc>
          <w:tcPr>
            <w:tcW w:type="dxa" w:w="2340"/>
          </w:tcPr>
          <w:p>
            <w:r>
              <w:rPr>
                <w:rFonts w:ascii="Times New Roman" w:hAnsi="Times New Roman"/>
                <w:sz w:val="20"/>
              </w:rPr>
              <w:t>Table 1</w:t>
            </w:r>
          </w:p>
        </w:tc>
        <w:tc>
          <w:tcPr>
            <w:tcW w:type="dxa" w:w="2340"/>
          </w:tcPr>
          <w:p>
            <w:r>
              <w:rPr>
                <w:rFonts w:ascii="Times New Roman" w:hAnsi="Times New Roman"/>
                <w:sz w:val="20"/>
              </w:rPr>
              <w:t>Diverga vs. existing AI research tools</w:t>
            </w:r>
          </w:p>
        </w:tc>
        <w:tc>
          <w:tcPr>
            <w:tcW w:type="dxa" w:w="2340"/>
          </w:tcPr>
          <w:p>
            <w:r>
              <w:rPr>
                <w:rFonts w:ascii="Times New Roman" w:hAnsi="Times New Roman"/>
                <w:sz w:val="20"/>
              </w:rPr>
              <w:t>2</w:t>
            </w:r>
          </w:p>
        </w:tc>
        <w:tc>
          <w:tcPr>
            <w:tcW w:type="dxa" w:w="2340"/>
          </w:tcPr>
          <w:p>
            <w:r>
              <w:rPr>
                <w:rFonts w:ascii="Times New Roman" w:hAnsi="Times New Roman"/>
                <w:sz w:val="20"/>
              </w:rPr>
              <w:t>Draft ready</w:t>
            </w:r>
          </w:p>
        </w:tc>
      </w:tr>
      <w:tr>
        <w:tc>
          <w:tcPr>
            <w:tcW w:type="dxa" w:w="2340"/>
          </w:tcPr>
          <w:p>
            <w:r>
              <w:rPr>
                <w:rFonts w:ascii="Times New Roman" w:hAnsi="Times New Roman"/>
                <w:sz w:val="20"/>
              </w:rPr>
              <w:t>Table 2</w:t>
            </w:r>
          </w:p>
        </w:tc>
        <w:tc>
          <w:tcPr>
            <w:tcW w:type="dxa" w:w="2340"/>
          </w:tcPr>
          <w:p>
            <w:r>
              <w:rPr>
                <w:rFonts w:ascii="Times New Roman" w:hAnsi="Times New Roman"/>
                <w:sz w:val="20"/>
              </w:rPr>
              <w:t>Agent consolidation summary (before/after/rationale)</w:t>
            </w:r>
          </w:p>
        </w:tc>
        <w:tc>
          <w:tcPr>
            <w:tcW w:type="dxa" w:w="2340"/>
          </w:tcPr>
          <w:p>
            <w:r>
              <w:rPr>
                <w:rFonts w:ascii="Times New Roman" w:hAnsi="Times New Roman"/>
                <w:sz w:val="20"/>
              </w:rPr>
              <w:t>5.1</w:t>
            </w:r>
          </w:p>
        </w:tc>
        <w:tc>
          <w:tcPr>
            <w:tcW w:type="dxa" w:w="2340"/>
          </w:tcPr>
          <w:p>
            <w:r>
              <w:rPr>
                <w:rFonts w:ascii="Times New Roman" w:hAnsi="Times New Roman"/>
                <w:sz w:val="20"/>
              </w:rPr>
              <w:t>Draft ready</w:t>
            </w:r>
          </w:p>
        </w:tc>
      </w:tr>
      <w:tr>
        <w:tc>
          <w:tcPr>
            <w:tcW w:type="dxa" w:w="2340"/>
          </w:tcPr>
          <w:p>
            <w:r>
              <w:rPr>
                <w:rFonts w:ascii="Times New Roman" w:hAnsi="Times New Roman"/>
                <w:sz w:val="20"/>
              </w:rPr>
              <w:t>Table 3</w:t>
            </w:r>
          </w:p>
        </w:tc>
        <w:tc>
          <w:tcPr>
            <w:tcW w:type="dxa" w:w="2340"/>
          </w:tcPr>
          <w:p>
            <w:r>
              <w:rPr>
                <w:rFonts w:ascii="Times New Roman" w:hAnsi="Times New Roman"/>
                <w:sz w:val="20"/>
              </w:rPr>
              <w:t>Cognitive Apprenticeship methods mapped to Diverga</w:t>
            </w:r>
          </w:p>
        </w:tc>
        <w:tc>
          <w:tcPr>
            <w:tcW w:type="dxa" w:w="2340"/>
          </w:tcPr>
          <w:p>
            <w:r>
              <w:rPr>
                <w:rFonts w:ascii="Times New Roman" w:hAnsi="Times New Roman"/>
                <w:sz w:val="20"/>
              </w:rPr>
              <w:t>1</w:t>
            </w:r>
          </w:p>
        </w:tc>
        <w:tc>
          <w:tcPr>
            <w:tcW w:type="dxa" w:w="2340"/>
          </w:tcPr>
          <w:p>
            <w:r>
              <w:rPr>
                <w:rFonts w:ascii="Times New Roman" w:hAnsi="Times New Roman"/>
                <w:sz w:val="20"/>
              </w:rPr>
              <w:t>Draft ready</w:t>
            </w:r>
          </w:p>
        </w:tc>
      </w:tr>
      <w:tr>
        <w:tc>
          <w:tcPr>
            <w:tcW w:type="dxa" w:w="2340"/>
          </w:tcPr>
          <w:p>
            <w:r>
              <w:rPr>
                <w:rFonts w:ascii="Times New Roman" w:hAnsi="Times New Roman"/>
                <w:sz w:val="20"/>
              </w:rPr>
              <w:t>Table 4</w:t>
            </w:r>
          </w:p>
        </w:tc>
        <w:tc>
          <w:tcPr>
            <w:tcW w:type="dxa" w:w="2340"/>
          </w:tcPr>
          <w:p>
            <w:r>
              <w:rPr>
                <w:rFonts w:ascii="Times New Roman" w:hAnsi="Times New Roman"/>
                <w:sz w:val="20"/>
              </w:rPr>
              <w:t>Design tensions with open empirical questions</w:t>
            </w:r>
          </w:p>
        </w:tc>
        <w:tc>
          <w:tcPr>
            <w:tcW w:type="dxa" w:w="2340"/>
          </w:tcPr>
          <w:p>
            <w:r>
              <w:rPr>
                <w:rFonts w:ascii="Times New Roman" w:hAnsi="Times New Roman"/>
                <w:sz w:val="20"/>
              </w:rPr>
              <w:t>6</w:t>
            </w:r>
          </w:p>
        </w:tc>
        <w:tc>
          <w:tcPr>
            <w:tcW w:type="dxa" w:w="2340"/>
          </w:tcPr>
          <w:p>
            <w:r>
              <w:rPr>
                <w:rFonts w:ascii="Times New Roman" w:hAnsi="Times New Roman"/>
                <w:sz w:val="20"/>
              </w:rPr>
              <w:t>Draft ready</w:t>
            </w:r>
          </w:p>
        </w:tc>
      </w:tr>
    </w:tbl>
    <w:p>
      <w:pPr>
        <w:spacing w:line="480" w:lineRule="auto"/>
      </w:pPr>
    </w:p>
    <w:p>
      <w:pPr>
        <w:spacing w:line="480" w:lineRule="auto" w:before="360"/>
        <w:jc w:val="center"/>
      </w:pPr>
      <w:r>
        <w:rPr>
          <w:rFonts w:ascii="Times New Roman" w:hAnsi="Times New Roman"/>
          <w:b/>
          <w:sz w:val="28"/>
        </w:rPr>
        <w:t>Role Distribution (Proposed)</w:t>
      </w:r>
    </w:p>
    <w:tbl>
      <w:tblPr>
        <w:tblStyle w:val="TableGrid"/>
        <w:tblW w:type="auto" w:w="0"/>
        <w:jc w:val="center"/>
        <w:tblLook w:firstColumn="1" w:firstRow="1" w:lastColumn="0" w:lastRow="0" w:noHBand="0" w:noVBand="1" w:val="04A0"/>
        <w:tblBorders>
          <w:top w:val="single" w:sz="4" w:space="0" w:color="000000"/>
          <w:bottom w:val="single" w:sz="4" w:space="0" w:color="000000"/>
          <w:insideH w:val="single" w:sz="4" w:space="0" w:color="000000"/>
          <w:left w:val="none" w:sz="0" w:space="0" w:color="000000"/>
          <w:right w:val="none" w:sz="0" w:space="0" w:color="000000"/>
          <w:insideV w:val="none" w:sz="0" w:space="0" w:color="000000"/>
        </w:tblBorders>
      </w:tblPr>
      <w:tblGrid>
        <w:gridCol w:w="3120"/>
        <w:gridCol w:w="3120"/>
        <w:gridCol w:w="3120"/>
      </w:tblGrid>
      <w:tr>
        <w:tc>
          <w:tcPr>
            <w:tcW w:type="dxa" w:w="3120"/>
          </w:tcPr>
          <w:p>
            <w:r>
              <w:rPr>
                <w:rFonts w:ascii="Times New Roman" w:hAnsi="Times New Roman"/>
                <w:b/>
                <w:sz w:val="20"/>
              </w:rPr>
              <w:t>Task</w:t>
            </w:r>
          </w:p>
        </w:tc>
        <w:tc>
          <w:tcPr>
            <w:tcW w:type="dxa" w:w="3120"/>
          </w:tcPr>
          <w:p>
            <w:r>
              <w:rPr>
                <w:rFonts w:ascii="Times New Roman" w:hAnsi="Times New Roman"/>
                <w:b/>
                <w:sz w:val="20"/>
              </w:rPr>
              <w:t>Lead</w:t>
            </w:r>
          </w:p>
        </w:tc>
        <w:tc>
          <w:tcPr>
            <w:tcW w:type="dxa" w:w="3120"/>
          </w:tcPr>
          <w:p>
            <w:r>
              <w:rPr>
                <w:rFonts w:ascii="Times New Roman" w:hAnsi="Times New Roman"/>
                <w:b/>
                <w:sz w:val="20"/>
              </w:rPr>
              <w:t>Support</w:t>
            </w:r>
          </w:p>
        </w:tc>
      </w:tr>
      <w:tr>
        <w:tc>
          <w:tcPr>
            <w:tcW w:type="dxa" w:w="3120"/>
          </w:tcPr>
          <w:p>
            <w:r>
              <w:rPr>
                <w:rFonts w:ascii="Times New Roman" w:hAnsi="Times New Roman"/>
                <w:sz w:val="20"/>
              </w:rPr>
              <w:t>Design case structure and IJDL framing</w:t>
            </w:r>
          </w:p>
        </w:tc>
        <w:tc>
          <w:tcPr>
            <w:tcW w:type="dxa" w:w="3120"/>
          </w:tcPr>
          <w:p>
            <w:r>
              <w:rPr>
                <w:rFonts w:ascii="Times New Roman" w:hAnsi="Times New Roman"/>
                <w:sz w:val="20"/>
              </w:rPr>
              <w:t>Yang</w:t>
            </w:r>
          </w:p>
        </w:tc>
        <w:tc>
          <w:tcPr>
            <w:tcW w:type="dxa" w:w="3120"/>
          </w:tcPr>
          <w:p>
            <w:r>
              <w:rPr>
                <w:rFonts w:ascii="Times New Roman" w:hAnsi="Times New Roman"/>
                <w:sz w:val="20"/>
              </w:rPr>
              <w:t>You</w:t>
            </w:r>
          </w:p>
        </w:tc>
      </w:tr>
      <w:tr>
        <w:tc>
          <w:tcPr>
            <w:tcW w:type="dxa" w:w="3120"/>
          </w:tcPr>
          <w:p>
            <w:r>
              <w:rPr>
                <w:rFonts w:ascii="Times New Roman" w:hAnsi="Times New Roman"/>
                <w:sz w:val="20"/>
              </w:rPr>
              <w:t>Design rationale documentation</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Architecture and technical descriptions</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Design tension analysis</w:t>
            </w:r>
          </w:p>
        </w:tc>
        <w:tc>
          <w:tcPr>
            <w:tcW w:type="dxa" w:w="3120"/>
          </w:tcPr>
          <w:p>
            <w:r>
              <w:rPr>
                <w:rFonts w:ascii="Times New Roman" w:hAnsi="Times New Roman"/>
                <w:sz w:val="20"/>
              </w:rPr>
              <w:t>Joint</w:t>
            </w:r>
          </w:p>
        </w:tc>
        <w:tc>
          <w:tcPr>
            <w:tcW w:type="dxa" w:w="3120"/>
          </w:tcPr>
          <w:p>
            <w:r>
              <w:rPr>
                <w:rFonts w:ascii="Times New Roman" w:hAnsi="Times New Roman"/>
                <w:sz w:val="20"/>
              </w:rPr>
              <w:t>Joint</w:t>
            </w:r>
          </w:p>
        </w:tc>
      </w:tr>
      <w:tr>
        <w:tc>
          <w:tcPr>
            <w:tcW w:type="dxa" w:w="3120"/>
          </w:tcPr>
          <w:p>
            <w:r>
              <w:rPr>
                <w:rFonts w:ascii="Times New Roman" w:hAnsi="Times New Roman"/>
                <w:sz w:val="20"/>
              </w:rPr>
              <w:t>Artifact curation (figures, diagrams)</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Introduction, Design Context writing</w:t>
            </w:r>
          </w:p>
        </w:tc>
        <w:tc>
          <w:tcPr>
            <w:tcW w:type="dxa" w:w="3120"/>
          </w:tcPr>
          <w:p>
            <w:r>
              <w:rPr>
                <w:rFonts w:ascii="Times New Roman" w:hAnsi="Times New Roman"/>
                <w:sz w:val="20"/>
              </w:rPr>
              <w:t>Yang</w:t>
            </w:r>
          </w:p>
        </w:tc>
        <w:tc>
          <w:tcPr>
            <w:tcW w:type="dxa" w:w="3120"/>
          </w:tcPr>
          <w:p>
            <w:r>
              <w:rPr>
                <w:rFonts w:ascii="Times New Roman" w:hAnsi="Times New Roman"/>
                <w:sz w:val="20"/>
              </w:rPr>
              <w:t>You</w:t>
            </w:r>
          </w:p>
        </w:tc>
      </w:tr>
      <w:tr>
        <w:tc>
          <w:tcPr>
            <w:tcW w:type="dxa" w:w="3120"/>
          </w:tcPr>
          <w:p>
            <w:r>
              <w:rPr>
                <w:rFonts w:ascii="Times New Roman" w:hAnsi="Times New Roman"/>
                <w:sz w:val="20"/>
              </w:rPr>
              <w:t>Design Decisions writing</w:t>
            </w:r>
          </w:p>
        </w:tc>
        <w:tc>
          <w:tcPr>
            <w:tcW w:type="dxa" w:w="3120"/>
          </w:tcPr>
          <w:p>
            <w:r>
              <w:rPr>
                <w:rFonts w:ascii="Times New Roman" w:hAnsi="Times New Roman"/>
                <w:sz w:val="20"/>
              </w:rPr>
              <w:t>You</w:t>
            </w:r>
          </w:p>
        </w:tc>
        <w:tc>
          <w:tcPr>
            <w:tcW w:type="dxa" w:w="3120"/>
          </w:tcPr>
          <w:p>
            <w:r>
              <w:rPr>
                <w:rFonts w:ascii="Times New Roman" w:hAnsi="Times New Roman"/>
                <w:sz w:val="20"/>
              </w:rPr>
              <w:t>Yang</w:t>
            </w:r>
          </w:p>
        </w:tc>
      </w:tr>
      <w:tr>
        <w:tc>
          <w:tcPr>
            <w:tcW w:type="dxa" w:w="3120"/>
          </w:tcPr>
          <w:p>
            <w:r>
              <w:rPr>
                <w:rFonts w:ascii="Times New Roman" w:hAnsi="Times New Roman"/>
                <w:sz w:val="20"/>
              </w:rPr>
              <w:t>Reflection, final review</w:t>
            </w:r>
          </w:p>
        </w:tc>
        <w:tc>
          <w:tcPr>
            <w:tcW w:type="dxa" w:w="3120"/>
          </w:tcPr>
          <w:p>
            <w:r>
              <w:rPr>
                <w:rFonts w:ascii="Times New Roman" w:hAnsi="Times New Roman"/>
                <w:sz w:val="20"/>
              </w:rPr>
              <w:t>Joint</w:t>
            </w:r>
          </w:p>
        </w:tc>
        <w:tc>
          <w:tcPr>
            <w:tcW w:type="dxa" w:w="3120"/>
          </w:tcPr>
          <w:p>
            <w:r>
              <w:rPr>
                <w:rFonts w:ascii="Times New Roman" w:hAnsi="Times New Roman"/>
                <w:sz w:val="20"/>
              </w:rPr>
              <w:t>Joint</w:t>
            </w:r>
          </w:p>
        </w:tc>
      </w:tr>
    </w:tbl>
    <w:p>
      <w:pPr>
        <w:spacing w:line="480" w:lineRule="auto"/>
      </w:pPr>
    </w:p>
    <w:p>
      <w:pPr>
        <w:spacing w:line="480" w:lineRule="auto" w:before="360"/>
        <w:jc w:val="center"/>
      </w:pPr>
      <w:r>
        <w:rPr>
          <w:rFonts w:ascii="Times New Roman" w:hAnsi="Times New Roman"/>
          <w:b/>
          <w:sz w:val="28"/>
        </w:rPr>
        <w:t>Key References</w:t>
      </w:r>
    </w:p>
    <w:p>
      <w:pPr>
        <w:spacing w:line="480" w:lineRule="auto"/>
        <w:ind w:left="720" w:hanging="720"/>
      </w:pPr>
      <w:r>
        <w:rPr>
          <w:rFonts w:ascii="Times New Roman" w:hAnsi="Times New Roman"/>
          <w:sz w:val="22"/>
        </w:rPr>
        <w:t>Boling, E. (2010). The need for design cases: Disseminating design knowledge. International Journal of Designs for Learning, 1(1), 1-8.</w:t>
      </w:r>
    </w:p>
    <w:p>
      <w:pPr>
        <w:spacing w:line="480" w:lineRule="auto"/>
        <w:ind w:left="720" w:hanging="720"/>
      </w:pPr>
      <w:r>
        <w:rPr>
          <w:rFonts w:ascii="Times New Roman" w:hAnsi="Times New Roman"/>
          <w:sz w:val="22"/>
        </w:rPr>
        <w:t>Bucinca, Z., Malaya, M. B., &amp; Gajos, K. Z. (2021). To trust or to think: Cognitive forcing functions can reduce overreliance on AI in AI-assisted decision making. Proceedings of the ACM on Human-Computer Interaction, 5(CSCW1), Article 188.</w:t>
      </w:r>
    </w:p>
    <w:p>
      <w:pPr>
        <w:spacing w:line="480" w:lineRule="auto"/>
        <w:ind w:left="720" w:hanging="720"/>
      </w:pPr>
      <w:r>
        <w:rPr>
          <w:rFonts w:ascii="Times New Roman" w:hAnsi="Times New Roman"/>
          <w:sz w:val="22"/>
        </w:rPr>
        <w:t>Collins, A., Brown, J. S., &amp; Newman, S. E. (1989). Cognitive apprenticeship: Teaching the crafts of reading, writing, and mathematics. In L. B. Resnick (Ed.), Knowing, learning, and instruction (pp. 453-494). Erlbaum.</w:t>
      </w:r>
    </w:p>
    <w:p>
      <w:pPr>
        <w:spacing w:line="480" w:lineRule="auto"/>
        <w:ind w:left="720" w:hanging="720"/>
      </w:pPr>
      <w:r>
        <w:rPr>
          <w:rFonts w:ascii="Times New Roman" w:hAnsi="Times New Roman"/>
          <w:sz w:val="22"/>
        </w:rPr>
        <w:t>Li, Z., Zhang, Y., &amp; Zhao, H. (2025). More agents is less: Scaling properties of multi-agent LLM systems. arXiv:2602.03794.</w:t>
      </w:r>
    </w:p>
    <w:p>
      <w:pPr>
        <w:spacing w:line="480" w:lineRule="auto"/>
        <w:ind w:left="720" w:hanging="720"/>
      </w:pPr>
      <w:r>
        <w:rPr>
          <w:rFonts w:ascii="Times New Roman" w:hAnsi="Times New Roman"/>
          <w:sz w:val="22"/>
        </w:rPr>
        <w:t>McKenney, S., &amp; Reeves, T. C. (2012). Conducting educational design research. Routledge.</w:t>
      </w:r>
    </w:p>
    <w:p>
      <w:pPr>
        <w:spacing w:line="480" w:lineRule="auto"/>
        <w:ind w:left="720" w:hanging="720"/>
      </w:pPr>
      <w:r>
        <w:rPr>
          <w:rFonts w:ascii="Times New Roman" w:hAnsi="Times New Roman"/>
          <w:sz w:val="22"/>
        </w:rPr>
        <w:t>Smith, K. M. (2010). Producing the rigorous design case. International Journal of Designs for Learning, 1(1), 9-20.</w:t>
      </w:r>
    </w:p>
    <w:p>
      <w:pPr>
        <w:spacing w:line="480" w:lineRule="auto"/>
        <w:ind w:left="720" w:hanging="720"/>
      </w:pPr>
      <w:r>
        <w:rPr>
          <w:rFonts w:ascii="Times New Roman" w:hAnsi="Times New Roman"/>
          <w:sz w:val="22"/>
        </w:rPr>
        <w:t>Yang, M., &amp; Harbor, J. (2023). Authentic learning design failures. International Journal of Designs for Learning, 14(1), 88-105.</w:t>
      </w:r>
    </w:p>
    <w:p>
      <w:pPr>
        <w:spacing w:line="480" w:lineRule="auto"/>
        <w:ind w:left="720" w:hanging="720"/>
      </w:pPr>
      <w:r>
        <w:rPr>
          <w:rFonts w:ascii="Times New Roman" w:hAnsi="Times New Roman"/>
          <w:sz w:val="22"/>
        </w:rPr>
        <w:t>Zhao, Y., et al. (2024). Verbalized sampling for language model selection. arXiv:2510.01171.</w:t>
      </w:r>
    </w:p>
    <w:p>
      <w:pPr>
        <w:spacing w:line="480" w:lineRule="auto" w:before="280"/>
      </w:pPr>
      <w:r>
        <w:rPr>
          <w:rFonts w:ascii="Times New Roman" w:hAnsi="Times New Roman"/>
          <w:b/>
          <w:sz w:val="24"/>
        </w:rPr>
        <w:t>Accompanying Materials</w:t>
      </w:r>
    </w:p>
    <w:p>
      <w:pPr>
        <w:spacing w:line="480" w:lineRule="auto"/>
        <w:ind w:firstLine="720"/>
      </w:pPr>
      <w:r>
        <w:rPr>
          <w:rFonts w:ascii="Times New Roman" w:hAnsi="Times New Roman"/>
          <w:sz w:val="24"/>
        </w:rPr>
        <w:t>A detailed draft (~4,800 words with all figures and tables embedded) is available as a companion document for reference during writing.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