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pPr>
    </w:p>
    <w:p>
      <w:pPr>
        <w:spacing w:line="480" w:lineRule="auto"/>
      </w:pPr>
    </w:p>
    <w:p>
      <w:pPr>
        <w:spacing w:line="480" w:lineRule="auto"/>
      </w:pPr>
    </w:p>
    <w:p>
      <w:pPr>
        <w:spacing w:line="480" w:lineRule="auto"/>
      </w:pPr>
    </w:p>
    <w:p>
      <w:pPr>
        <w:spacing w:line="480" w:lineRule="auto"/>
      </w:pPr>
    </w:p>
    <w:p>
      <w:pPr>
        <w:spacing w:line="480" w:lineRule="auto"/>
      </w:pPr>
    </w:p>
    <w:p>
      <w:pPr>
        <w:spacing w:line="480" w:lineRule="auto"/>
        <w:jc w:val="center"/>
      </w:pPr>
      <w:r>
        <w:rPr>
          <w:rFonts w:ascii="Times New Roman" w:hAnsi="Times New Roman"/>
          <w:b/>
          <w:sz w:val="24"/>
        </w:rPr>
        <w:t>Scaffolding Without Replacing: A Design Case of Human Checkpoints</w:t>
        <w:br/>
        <w:t>and Verbalized Sampling in an AI Research Methodology Assistant</w:t>
      </w:r>
    </w:p>
    <w:p>
      <w:pPr>
        <w:spacing w:line="480" w:lineRule="auto"/>
      </w:pPr>
    </w:p>
    <w:p>
      <w:pPr>
        <w:spacing w:line="480" w:lineRule="auto"/>
        <w:jc w:val="center"/>
      </w:pPr>
      <w:r>
        <w:rPr>
          <w:rFonts w:ascii="Times New Roman" w:hAnsi="Times New Roman"/>
          <w:sz w:val="24"/>
        </w:rPr>
        <w:t>Hosung You</w:t>
      </w:r>
    </w:p>
    <w:p>
      <w:pPr>
        <w:spacing w:line="480" w:lineRule="auto"/>
        <w:jc w:val="center"/>
      </w:pPr>
      <w:r>
        <w:rPr>
          <w:rFonts w:ascii="Times New Roman" w:hAnsi="Times New Roman"/>
          <w:sz w:val="24"/>
        </w:rPr>
        <w:t>College of Education, Pennsylvania State University</w:t>
      </w:r>
    </w:p>
    <w:p>
      <w:pPr>
        <w:spacing w:line="480" w:lineRule="auto"/>
      </w:pPr>
    </w:p>
    <w:p>
      <w:pPr>
        <w:spacing w:line="480" w:lineRule="auto"/>
        <w:jc w:val="center"/>
      </w:pPr>
      <w:r>
        <w:rPr>
          <w:rFonts w:ascii="Times New Roman" w:hAnsi="Times New Roman"/>
          <w:sz w:val="24"/>
        </w:rPr>
        <w:t>Mohan Yang</w:t>
      </w:r>
    </w:p>
    <w:p>
      <w:pPr>
        <w:spacing w:line="480" w:lineRule="auto"/>
        <w:jc w:val="center"/>
      </w:pPr>
      <w:r>
        <w:rPr>
          <w:rFonts w:ascii="Times New Roman" w:hAnsi="Times New Roman"/>
          <w:sz w:val="24"/>
        </w:rPr>
        <w:t>College of Education and Human Development, Texas A&amp;M University</w:t>
      </w:r>
    </w:p>
    <w:p>
      <w:pPr>
        <w:spacing w:line="480" w:lineRule="auto"/>
      </w:pPr>
    </w:p>
    <w:p>
      <w:pPr>
        <w:spacing w:line="480" w:lineRule="auto"/>
        <w:jc w:val="center"/>
      </w:pPr>
      <w:r>
        <w:rPr>
          <w:rFonts w:ascii="Times New Roman" w:hAnsi="Times New Roman"/>
          <w:b/>
          <w:sz w:val="24"/>
        </w:rPr>
        <w:t>Author Note</w:t>
      </w:r>
    </w:p>
    <w:p>
      <w:pPr>
        <w:spacing w:line="480" w:lineRule="auto" w:after="0"/>
      </w:pPr>
      <w:r>
        <w:rPr>
          <w:rFonts w:ascii="Times New Roman" w:hAnsi="Times New Roman"/>
          <w:sz w:val="24"/>
        </w:rPr>
        <w:t>Hosung You is a doctoral student in the College of Education at Pennsylvania State University. Mohan Yang is an assistant professor in the College of Education and Human Development at Texas A&amp;M University. Correspondence concerning this article should be addressed to Hosung You, College of Education, Pennsylvania State University, University Park, PA 16802.</w:t>
      </w:r>
    </w:p>
    <w:p>
      <w:r>
        <w:br w:type="page"/>
      </w:r>
    </w:p>
    <w:p>
      <w:pPr>
        <w:spacing w:before="240" w:after="0" w:line="480" w:lineRule="auto"/>
        <w:jc w:val="center"/>
      </w:pPr>
      <w:r>
        <w:rPr>
          <w:rFonts w:ascii="Times New Roman" w:hAnsi="Times New Roman"/>
          <w:b/>
          <w:sz w:val="24"/>
        </w:rPr>
        <w:t>Abstract</w:t>
      </w:r>
    </w:p>
    <w:p>
      <w:pPr>
        <w:spacing w:line="480" w:lineRule="auto" w:after="0"/>
      </w:pPr>
      <w:r>
        <w:rPr>
          <w:rFonts w:ascii="Times New Roman" w:hAnsi="Times New Roman"/>
          <w:sz w:val="24"/>
        </w:rPr>
        <w:t>AI research tools increasingly shape doctoral researchers' methodological decisions, yet these tools exhibit mode collapse, converging on predictable recommendations regardless of research context, while encouraging automation bias through uncritical acceptance. This first-person design case documents Diverga, a 24-agent AI research methodology assistant designed to scaffold rather than replace researchers' methodological reasoning. Drawing on cognitive apprenticeship (Collins, Brown, &amp; Newman, 1989), we identify how Diverga's architecture operationalizes six learning methods (modeling, coaching, scaffolding, articulation, reflection, and exploration) through AI-mediated mechanisms rather than explicit instruction. Three design decisions are examined: (a) a multi-agent architecture consolidated from 44 to 24 agents through principled scaffolding calibration, (b) Verbalized Sampling with Typicality Scores that structurally enforce recommendation diversity and prompt metacognitive reflection, and (c) five required Human Checkpoints functioning as cognitive forcing functions (Bucinca et al., 2021) that compel articulation of decision rationale. The 57-day development process (224 commits) is organized into five iterative design cycles following the Educational Design Research model (McKenney &amp; Reeves, 2012), revealing how the co-evolution of platform capabilities and design ambitions shaped the system. Design failures, including a same-day protocol reversal and a silent checkpoint bug, are documented as evidence of genuine iterative reasoning. Diverga is framed as a learning design in disguise: a research tool whose architectural form scaffolds the cognitive processes that characterize effective methodological reasoning in the academic workplace.</w:t>
      </w:r>
    </w:p>
    <w:p>
      <w:pPr>
        <w:spacing w:line="480" w:lineRule="auto"/>
        <w:ind w:firstLine="720"/>
      </w:pPr>
      <w:r>
        <w:rPr>
          <w:rFonts w:ascii="Times New Roman" w:hAnsi="Times New Roman"/>
          <w:i/>
          <w:sz w:val="24"/>
        </w:rPr>
        <w:t xml:space="preserve">Keywords: </w:t>
      </w:r>
      <w:r>
        <w:rPr>
          <w:rFonts w:ascii="Times New Roman" w:hAnsi="Times New Roman"/>
          <w:sz w:val="24"/>
        </w:rPr>
        <w:t>design case, AI scaffolding, cognitive apprenticeship, mode collapse, human checkpoints, multi-agent systems, research methodology, educational design research</w:t>
      </w:r>
    </w:p>
    <w:p>
      <w:r>
        <w:br w:type="page"/>
      </w:r>
    </w:p>
    <w:p>
      <w:pPr>
        <w:spacing w:line="480" w:lineRule="auto"/>
        <w:jc w:val="center"/>
      </w:pPr>
      <w:r>
        <w:rPr>
          <w:rFonts w:ascii="Times New Roman" w:hAnsi="Times New Roman"/>
          <w:b/>
          <w:sz w:val="24"/>
        </w:rPr>
        <w:t>Scaffolding Without Replacing: A Design Case of Human Checkpoints</w:t>
        <w:br/>
        <w:t>and Verbalized Sampling in an AI Research Methodology Assistant</w:t>
      </w:r>
    </w:p>
    <w:p>
      <w:pPr>
        <w:spacing w:before="240" w:after="0" w:line="480" w:lineRule="auto"/>
        <w:jc w:val="center"/>
      </w:pPr>
      <w:r>
        <w:rPr>
          <w:rFonts w:ascii="Times New Roman" w:hAnsi="Times New Roman"/>
          <w:b/>
          <w:sz w:val="24"/>
        </w:rPr>
        <w:t>Introduction</w:t>
      </w:r>
    </w:p>
    <w:p>
      <w:pPr>
        <w:spacing w:line="480" w:lineRule="auto" w:after="0"/>
        <w:ind w:firstLine="720"/>
      </w:pPr>
      <w:r>
        <w:rPr>
          <w:rFonts w:ascii="Times New Roman" w:hAnsi="Times New Roman"/>
          <w:sz w:val="24"/>
        </w:rPr>
        <w:t>Research methodology decisions are consequential knowledge work tasks for doctoral students and early-career scholars. Selecting a theoretical framework, choosing between qualitative and quantitative approaches, or determining an appropriate sampling strategy are not clerical operations; they define the epistemic character of a study and shape a researcher's professional trajectory. When a doctoral student asks an AI tool for a theoretical framework recommendation and receives the Technology Acceptance Model regardless of context, the tool has not assisted methodological reasoning; it has replaced it with a statistical default.</w:t>
      </w:r>
    </w:p>
    <w:p>
      <w:pPr>
        <w:spacing w:line="480" w:lineRule="auto" w:after="0"/>
        <w:ind w:firstLine="720"/>
      </w:pPr>
      <w:r>
        <w:rPr>
          <w:rFonts w:ascii="Times New Roman" w:hAnsi="Times New Roman"/>
          <w:sz w:val="24"/>
        </w:rPr>
        <w:t>This pattern, which we term mode collapse following Zhao et al. (2024), describes the tendency of AI systems trained to maximize prediction probability to converge on the most statistically common output rather than the most contextually appropriate one. The phenomenon is not a bug in any particular tool; it is a structural property of how large language models are trained. The most probable response is, by definition, the most common one. For researchers seeking methodological creativity and contextual fit, the most common recommendation is often not the best one.</w:t>
      </w:r>
    </w:p>
    <w:p>
      <w:pPr>
        <w:spacing w:line="480" w:lineRule="auto" w:after="0"/>
        <w:ind w:firstLine="720"/>
      </w:pPr>
      <w:r>
        <w:rPr>
          <w:rFonts w:ascii="Times New Roman" w:hAnsi="Times New Roman"/>
          <w:sz w:val="24"/>
        </w:rPr>
        <w:t>Mode collapse is compounded by automation bias: the tendency to accept AI recommendations without critical evaluation, especially under time pressure. A 2025 Springer Nature report found a 78% uncritical acceptance rate for AI-generated methodology suggestions, and Microsoft Research (2025) identified a negative correlation between AI tool use and critical thinking engagement in knowledge work settings. Together, mode collapse narrows the options presented, and automation bias ensures the narrowed options are accepted without scrutiny.</w:t>
      </w:r>
    </w:p>
    <w:p>
      <w:pPr>
        <w:spacing w:line="480" w:lineRule="auto" w:after="0"/>
        <w:ind w:firstLine="720"/>
      </w:pPr>
      <w:r>
        <w:rPr>
          <w:rFonts w:ascii="Times New Roman" w:hAnsi="Times New Roman"/>
          <w:sz w:val="24"/>
        </w:rPr>
        <w:t>The design challenge, then, is this: Can an AI research assistant be designed to scaffold methodological reasoning rather than replace it? This is a learning design problem disguised as an engineering problem.</w:t>
      </w:r>
    </w:p>
    <w:p>
      <w:pPr>
        <w:spacing w:line="480" w:lineRule="auto" w:after="0"/>
        <w:ind w:firstLine="720"/>
      </w:pPr>
      <w:r>
        <w:rPr>
          <w:rFonts w:ascii="Times New Roman" w:hAnsi="Times New Roman"/>
          <w:sz w:val="24"/>
        </w:rPr>
        <w:t>Diverga is, at one level, an AI research tool. At another level, it is a learning design embedded in a tool's architecture. To make this claim precise, we draw on the cognitive apprenticeship framework (Collins, Brown, &amp; Newman, 1989), which identifies six methods by which learning environments make expert thinking visible to developing practitioners: modeling, coaching, scaffolding, articulation, reflection, and exploration. In traditional cognitive apprenticeship, a human expert models reasoning, coaches the learner, and gradually fades support. Diverga implements these methods not through human mentorship but through structural design features.</w:t>
      </w:r>
    </w:p>
    <w:p>
      <w:pPr>
        <w:spacing w:line="480" w:lineRule="auto" w:after="0"/>
        <w:ind w:firstLine="720"/>
      </w:pPr>
      <w:r>
        <w:rPr>
          <w:rFonts w:ascii="Times New Roman" w:hAnsi="Times New Roman"/>
          <w:sz w:val="24"/>
        </w:rPr>
        <w:t>The multi-agent architecture models expert reasoning by distributing research design across specialized agents, each embodying domain-specific methodological knowledge. The Verbalized Sampling system, with its Typicality Scores, supports reflection and exploration by making the statistical commonality of each recommendation transparent. The Human Checkpoint system supports articulation by requiring the researcher to state and justify decisions at five mandatory interruption points, which function as cognitive forcing functions (Bucinca et al., 2021) that shift processing from automatic acceptance to deliberate evaluation. In the special section's terms, Diverga is a learning design for the workplace of doctoral research: it shapes the performance of methodological judgment through structural scaffolding rather than didactic transmission.</w:t>
      </w:r>
    </w:p>
    <w:p>
      <w:pPr>
        <w:spacing w:line="480" w:lineRule="auto" w:after="0"/>
        <w:ind w:firstLine="720"/>
      </w:pPr>
      <w:r>
        <w:rPr>
          <w:rFonts w:ascii="Times New Roman" w:hAnsi="Times New Roman"/>
          <w:sz w:val="24"/>
        </w:rPr>
        <w:t>This paper documents the design process, decisions, and rationale across five iterative design cycles over 57 days (224 version-controlled commits). Empirical evaluation of Diverga's effects on researcher performance is reserved for a companion experimental paper. The design case follows Educational Design Research phases 1 and 2 (McKenney &amp; Reeves, 2012), and the first-person narrative follows IJDL design case conventions (Boling, 2010; Smith, 2010). Table 3 maps all six cognitive apprenticeship methods to specific Diverga mechanisms.</w:t>
      </w:r>
    </w:p>
    <w:p>
      <w:pPr>
        <w:spacing w:line="480" w:lineRule="auto" w:before="240"/>
      </w:pPr>
      <w:r>
        <w:rPr>
          <w:rFonts w:ascii="Times New Roman" w:hAnsi="Times New Roman"/>
          <w:b/>
          <w:i/>
          <w:sz w:val="24"/>
        </w:rPr>
        <w:t>Table 3</w:t>
      </w:r>
    </w:p>
    <w:p>
      <w:pPr>
        <w:spacing w:line="480" w:lineRule="auto" w:after="120"/>
      </w:pPr>
      <w:r>
        <w:rPr>
          <w:rFonts w:ascii="Times New Roman" w:hAnsi="Times New Roman"/>
          <w:i/>
          <w:sz w:val="24"/>
        </w:rPr>
        <w:t>Cognitive Apprenticeship Methods Mapped to Diverga Design Mechanisms</w:t>
      </w:r>
    </w:p>
    <w:tbl>
      <w:tblPr>
        <w:tblStyle w:val="TableGrid"/>
        <w:tblW w:type="auto" w:w="0"/>
        <w:jc w:val="center"/>
        <w:tblLook w:firstColumn="1" w:firstRow="1" w:lastColumn="0" w:lastRow="0" w:noHBand="0" w:noVBand="1" w:val="04A0"/>
        <w:tblBorders>
          <w:top w:val="single" w:sz="4" w:space="0" w:color="000000"/>
          <w:bottom w:val="single" w:sz="4" w:space="0" w:color="000000"/>
          <w:insideH w:val="single" w:sz="4" w:space="0" w:color="000000"/>
          <w:left w:val="none" w:sz="0" w:space="0" w:color="000000"/>
          <w:right w:val="none" w:sz="0" w:space="0" w:color="000000"/>
          <w:insideV w:val="none" w:sz="0" w:space="0" w:color="000000"/>
        </w:tblBorders>
      </w:tblPr>
      <w:tblGrid>
        <w:gridCol w:w="3120"/>
        <w:gridCol w:w="3120"/>
        <w:gridCol w:w="3120"/>
      </w:tblGrid>
      <w:tr>
        <w:tc>
          <w:tcPr>
            <w:tcW w:type="dxa" w:w="3120"/>
          </w:tcPr>
          <w:p>
            <w:pPr>
              <w:jc w:val="left"/>
            </w:pPr>
            <w:r>
              <w:rPr>
                <w:rFonts w:ascii="Times New Roman" w:hAnsi="Times New Roman"/>
                <w:b/>
                <w:sz w:val="20"/>
              </w:rPr>
              <w:t>CA Method</w:t>
            </w:r>
          </w:p>
        </w:tc>
        <w:tc>
          <w:tcPr>
            <w:tcW w:type="dxa" w:w="3120"/>
          </w:tcPr>
          <w:p>
            <w:pPr>
              <w:jc w:val="left"/>
            </w:pPr>
            <w:r>
              <w:rPr>
                <w:rFonts w:ascii="Times New Roman" w:hAnsi="Times New Roman"/>
                <w:b/>
                <w:sz w:val="20"/>
              </w:rPr>
              <w:t>Diverga Mechanism</w:t>
            </w:r>
          </w:p>
        </w:tc>
        <w:tc>
          <w:tcPr>
            <w:tcW w:type="dxa" w:w="3120"/>
          </w:tcPr>
          <w:p>
            <w:pPr>
              <w:jc w:val="left"/>
            </w:pPr>
            <w:r>
              <w:rPr>
                <w:rFonts w:ascii="Times New Roman" w:hAnsi="Times New Roman"/>
                <w:b/>
                <w:sz w:val="20"/>
              </w:rPr>
              <w:t>Design Decision</w:t>
            </w:r>
          </w:p>
        </w:tc>
      </w:tr>
      <w:tr>
        <w:tc>
          <w:tcPr>
            <w:tcW w:type="dxa" w:w="3120"/>
          </w:tcPr>
          <w:p>
            <w:r>
              <w:rPr>
                <w:rFonts w:ascii="Times New Roman" w:hAnsi="Times New Roman"/>
                <w:sz w:val="20"/>
              </w:rPr>
              <w:t>Modeling</w:t>
            </w:r>
          </w:p>
        </w:tc>
        <w:tc>
          <w:tcPr>
            <w:tcW w:type="dxa" w:w="3120"/>
          </w:tcPr>
          <w:p>
            <w:r>
              <w:rPr>
                <w:rFonts w:ascii="Times New Roman" w:hAnsi="Times New Roman"/>
                <w:sz w:val="20"/>
              </w:rPr>
              <w:t>Agent-generated expert reasoning; VS Arena multi-perspective demonstration</w:t>
            </w:r>
          </w:p>
        </w:tc>
        <w:tc>
          <w:tcPr>
            <w:tcW w:type="dxa" w:w="3120"/>
          </w:tcPr>
          <w:p>
            <w:r>
              <w:rPr>
                <w:rFonts w:ascii="Times New Roman" w:hAnsi="Times New Roman"/>
                <w:sz w:val="20"/>
              </w:rPr>
              <w:t>Multi-Agent Architecture (5.1)</w:t>
            </w:r>
          </w:p>
        </w:tc>
      </w:tr>
      <w:tr>
        <w:tc>
          <w:tcPr>
            <w:tcW w:type="dxa" w:w="3120"/>
          </w:tcPr>
          <w:p>
            <w:r>
              <w:rPr>
                <w:rFonts w:ascii="Times New Roman" w:hAnsi="Times New Roman"/>
                <w:sz w:val="20"/>
              </w:rPr>
              <w:t>Coaching</w:t>
            </w:r>
          </w:p>
        </w:tc>
        <w:tc>
          <w:tcPr>
            <w:tcW w:type="dxa" w:w="3120"/>
          </w:tcPr>
          <w:p>
            <w:r>
              <w:rPr>
                <w:rFonts w:ascii="Times New Roman" w:hAnsi="Times New Roman"/>
                <w:sz w:val="20"/>
              </w:rPr>
              <w:t>Agent-specific contextual feedback; domain-calibrated guidance</w:t>
            </w:r>
          </w:p>
        </w:tc>
        <w:tc>
          <w:tcPr>
            <w:tcW w:type="dxa" w:w="3120"/>
          </w:tcPr>
          <w:p>
            <w:r>
              <w:rPr>
                <w:rFonts w:ascii="Times New Roman" w:hAnsi="Times New Roman"/>
                <w:sz w:val="20"/>
              </w:rPr>
              <w:t>Multi-Agent Architecture (5.1)</w:t>
            </w:r>
          </w:p>
        </w:tc>
      </w:tr>
      <w:tr>
        <w:tc>
          <w:tcPr>
            <w:tcW w:type="dxa" w:w="3120"/>
          </w:tcPr>
          <w:p>
            <w:r>
              <w:rPr>
                <w:rFonts w:ascii="Times New Roman" w:hAnsi="Times New Roman"/>
                <w:sz w:val="20"/>
              </w:rPr>
              <w:t>Scaffolding</w:t>
            </w:r>
          </w:p>
        </w:tc>
        <w:tc>
          <w:tcPr>
            <w:tcW w:type="dxa" w:w="3120"/>
          </w:tcPr>
          <w:p>
            <w:r>
              <w:rPr>
                <w:rFonts w:ascii="Times New Roman" w:hAnsi="Times New Roman"/>
                <w:sz w:val="20"/>
              </w:rPr>
              <w:t>9-category task decomposition; fading via 44-to-24 consolidation</w:t>
            </w:r>
          </w:p>
        </w:tc>
        <w:tc>
          <w:tcPr>
            <w:tcW w:type="dxa" w:w="3120"/>
          </w:tcPr>
          <w:p>
            <w:r>
              <w:rPr>
                <w:rFonts w:ascii="Times New Roman" w:hAnsi="Times New Roman"/>
                <w:sz w:val="20"/>
              </w:rPr>
              <w:t>Multi-Agent Architecture (5.1)</w:t>
            </w:r>
          </w:p>
        </w:tc>
      </w:tr>
      <w:tr>
        <w:tc>
          <w:tcPr>
            <w:tcW w:type="dxa" w:w="3120"/>
          </w:tcPr>
          <w:p>
            <w:r>
              <w:rPr>
                <w:rFonts w:ascii="Times New Roman" w:hAnsi="Times New Roman"/>
                <w:sz w:val="20"/>
              </w:rPr>
              <w:t>Articulation</w:t>
            </w:r>
          </w:p>
        </w:tc>
        <w:tc>
          <w:tcPr>
            <w:tcW w:type="dxa" w:w="3120"/>
          </w:tcPr>
          <w:p>
            <w:r>
              <w:rPr>
                <w:rFonts w:ascii="Times New Roman" w:hAnsi="Times New Roman"/>
                <w:sz w:val="20"/>
              </w:rPr>
              <w:t>Checkpoint-required decision rationale; Decision Audit Trail</w:t>
            </w:r>
          </w:p>
        </w:tc>
        <w:tc>
          <w:tcPr>
            <w:tcW w:type="dxa" w:w="3120"/>
          </w:tcPr>
          <w:p>
            <w:r>
              <w:rPr>
                <w:rFonts w:ascii="Times New Roman" w:hAnsi="Times New Roman"/>
                <w:sz w:val="20"/>
              </w:rPr>
              <w:t>Human Checkpoints (5.3)</w:t>
            </w:r>
          </w:p>
        </w:tc>
      </w:tr>
      <w:tr>
        <w:tc>
          <w:tcPr>
            <w:tcW w:type="dxa" w:w="3120"/>
          </w:tcPr>
          <w:p>
            <w:r>
              <w:rPr>
                <w:rFonts w:ascii="Times New Roman" w:hAnsi="Times New Roman"/>
                <w:sz w:val="20"/>
              </w:rPr>
              <w:t>Reflection</w:t>
            </w:r>
          </w:p>
        </w:tc>
        <w:tc>
          <w:tcPr>
            <w:tcW w:type="dxa" w:w="3120"/>
          </w:tcPr>
          <w:p>
            <w:r>
              <w:rPr>
                <w:rFonts w:ascii="Times New Roman" w:hAnsi="Times New Roman"/>
                <w:sz w:val="20"/>
              </w:rPr>
              <w:t>T-Score metacognitive prompts; typicality transparency</w:t>
            </w:r>
          </w:p>
        </w:tc>
        <w:tc>
          <w:tcPr>
            <w:tcW w:type="dxa" w:w="3120"/>
          </w:tcPr>
          <w:p>
            <w:r>
              <w:rPr>
                <w:rFonts w:ascii="Times New Roman" w:hAnsi="Times New Roman"/>
                <w:sz w:val="20"/>
              </w:rPr>
              <w:t>VS and T-Scores (5.2)</w:t>
            </w:r>
          </w:p>
        </w:tc>
      </w:tr>
      <w:tr>
        <w:tc>
          <w:tcPr>
            <w:tcW w:type="dxa" w:w="3120"/>
          </w:tcPr>
          <w:p>
            <w:r>
              <w:rPr>
                <w:rFonts w:ascii="Times New Roman" w:hAnsi="Times New Roman"/>
                <w:sz w:val="20"/>
              </w:rPr>
              <w:t>Exploration</w:t>
            </w:r>
          </w:p>
        </w:tc>
        <w:tc>
          <w:tcPr>
            <w:tcW w:type="dxa" w:w="3120"/>
          </w:tcPr>
          <w:p>
            <w:r>
              <w:rPr>
                <w:rFonts w:ascii="Times New Roman" w:hAnsi="Times New Roman"/>
                <w:sz w:val="20"/>
              </w:rPr>
              <w:t>Long-tail sampling (T &lt; 0.4); VS Arena epistemological diversity</w:t>
            </w:r>
          </w:p>
        </w:tc>
        <w:tc>
          <w:tcPr>
            <w:tcW w:type="dxa" w:w="3120"/>
          </w:tcPr>
          <w:p>
            <w:r>
              <w:rPr>
                <w:rFonts w:ascii="Times New Roman" w:hAnsi="Times New Roman"/>
                <w:sz w:val="20"/>
              </w:rPr>
              <w:t>VS and T-Scores (5.2)</w:t>
            </w:r>
          </w:p>
        </w:tc>
      </w:tr>
    </w:tbl>
    <w:p/>
    <w:p>
      <w:pPr>
        <w:spacing w:before="240" w:after="0" w:line="480" w:lineRule="auto"/>
        <w:jc w:val="center"/>
      </w:pPr>
      <w:r>
        <w:rPr>
          <w:rFonts w:ascii="Times New Roman" w:hAnsi="Times New Roman"/>
          <w:b/>
          <w:sz w:val="24"/>
        </w:rPr>
        <w:t>Design Context</w:t>
      </w:r>
    </w:p>
    <w:p>
      <w:pPr>
        <w:spacing w:before="240" w:after="0" w:line="480" w:lineRule="auto"/>
        <w:jc w:val="left"/>
      </w:pPr>
      <w:r>
        <w:rPr>
          <w:rFonts w:ascii="Times New Roman" w:hAnsi="Times New Roman"/>
          <w:b/>
          <w:sz w:val="24"/>
        </w:rPr>
        <w:t>The Designer and the Dual Role</w:t>
      </w:r>
    </w:p>
    <w:p>
      <w:pPr>
        <w:spacing w:line="480" w:lineRule="auto" w:after="0"/>
        <w:ind w:firstLine="720"/>
      </w:pPr>
      <w:r>
        <w:rPr>
          <w:rFonts w:ascii="Times New Roman" w:hAnsi="Times New Roman"/>
          <w:sz w:val="24"/>
        </w:rPr>
        <w:t>The first author, a doctoral student in education at Pennsylvania State University, designed and built Diverga over 57 days (January 22 to March 19, 2026). This dual role as designer and researcher is both an asset, providing insider tacit knowledge about research design challenges, and a limitation, introducing evaluation bias. Dr. Mohan Yang, an instructional design scholar at Texas A&amp;M University with published IJDL design cases (Yang &amp; Harbor, 2023), was invited as a collaborating researcher and critical external voice. This collaboration structure is itself a design decision, documented here rather than buried in an acknowledgment.</w:t>
      </w:r>
    </w:p>
    <w:p>
      <w:pPr>
        <w:spacing w:before="240" w:after="0" w:line="480" w:lineRule="auto"/>
        <w:jc w:val="left"/>
      </w:pPr>
      <w:r>
        <w:rPr>
          <w:rFonts w:ascii="Times New Roman" w:hAnsi="Times New Roman"/>
          <w:b/>
          <w:sz w:val="24"/>
        </w:rPr>
        <w:t>Target Users and Workplace Context</w:t>
      </w:r>
    </w:p>
    <w:p>
      <w:pPr>
        <w:spacing w:line="480" w:lineRule="auto" w:after="0"/>
        <w:ind w:firstLine="720"/>
      </w:pPr>
      <w:r>
        <w:rPr>
          <w:rFonts w:ascii="Times New Roman" w:hAnsi="Times New Roman"/>
          <w:sz w:val="24"/>
        </w:rPr>
        <w:t>Diverga's target users are social science doctoral students engaged in research design. Research methodology decisions constitute their primary knowledge work: selecting theoretical frameworks, designing data collection procedures, choosing analytical approaches. A persistent gap exists between research methods coursework, which teaches the logic of methods, and actual research design practice, which demands the judgment required to select and adapt methods for a specific study. Diverga is designed for that gap.</w:t>
      </w:r>
    </w:p>
    <w:p>
      <w:pPr>
        <w:spacing w:before="240" w:after="0" w:line="480" w:lineRule="auto"/>
        <w:jc w:val="left"/>
      </w:pPr>
      <w:r>
        <w:rPr>
          <w:rFonts w:ascii="Times New Roman" w:hAnsi="Times New Roman"/>
          <w:b/>
          <w:sz w:val="24"/>
        </w:rPr>
        <w:t>Technical Context</w:t>
      </w:r>
    </w:p>
    <w:p>
      <w:pPr>
        <w:spacing w:line="480" w:lineRule="auto" w:after="0"/>
        <w:ind w:firstLine="720"/>
      </w:pPr>
      <w:r>
        <w:rPr>
          <w:rFonts w:ascii="Times New Roman" w:hAnsi="Times New Roman"/>
          <w:sz w:val="24"/>
        </w:rPr>
        <w:t>Diverga is built on the Model Context Protocol (MCP), an open standard for connecting AI assistants to external tools and data sources (Anthropic, 2024). MCP abstracts the complexity of agent-to-agent communication, enabling a doctoral student to build a multi-agent system in 57 days. Claude Code provides the execution environment, and the plugin ecosystem enables marketplace distribution. Table 1 compares Diverga with existing AI research tools across five design-relevant dimensions.</w:t>
      </w:r>
    </w:p>
    <w:p>
      <w:pPr>
        <w:spacing w:line="480" w:lineRule="auto" w:before="240"/>
      </w:pPr>
      <w:r>
        <w:rPr>
          <w:rFonts w:ascii="Times New Roman" w:hAnsi="Times New Roman"/>
          <w:b/>
          <w:i/>
          <w:sz w:val="24"/>
        </w:rPr>
        <w:t>Table 1</w:t>
      </w:r>
    </w:p>
    <w:p>
      <w:pPr>
        <w:spacing w:line="480" w:lineRule="auto" w:after="120"/>
      </w:pPr>
      <w:r>
        <w:rPr>
          <w:rFonts w:ascii="Times New Roman" w:hAnsi="Times New Roman"/>
          <w:i/>
          <w:sz w:val="24"/>
        </w:rPr>
        <w:t>Comparison of Diverga with Existing AI Research Tools</w:t>
      </w:r>
    </w:p>
    <w:tbl>
      <w:tblPr>
        <w:tblStyle w:val="TableGrid"/>
        <w:tblW w:type="auto" w:w="0"/>
        <w:jc w:val="center"/>
        <w:tblLook w:firstColumn="1" w:firstRow="1" w:lastColumn="0" w:lastRow="0" w:noHBand="0" w:noVBand="1" w:val="04A0"/>
        <w:tblBorders>
          <w:top w:val="single" w:sz="4" w:space="0" w:color="000000"/>
          <w:bottom w:val="single" w:sz="4" w:space="0" w:color="000000"/>
          <w:insideH w:val="single" w:sz="4" w:space="0" w:color="000000"/>
          <w:left w:val="none" w:sz="0" w:space="0" w:color="000000"/>
          <w:right w:val="none" w:sz="0" w:space="0" w:color="000000"/>
          <w:insideV w:val="none" w:sz="0" w:space="0" w:color="000000"/>
        </w:tblBorders>
      </w:tblPr>
      <w:tblGrid>
        <w:gridCol w:w="1872"/>
        <w:gridCol w:w="1872"/>
        <w:gridCol w:w="1872"/>
        <w:gridCol w:w="1872"/>
        <w:gridCol w:w="1872"/>
      </w:tblGrid>
      <w:tr>
        <w:tc>
          <w:tcPr>
            <w:tcW w:type="dxa" w:w="1872"/>
          </w:tcPr>
          <w:p>
            <w:pPr>
              <w:jc w:val="left"/>
            </w:pPr>
            <w:r>
              <w:rPr>
                <w:rFonts w:ascii="Times New Roman" w:hAnsi="Times New Roman"/>
                <w:b/>
                <w:sz w:val="20"/>
              </w:rPr>
              <w:t>Dimension</w:t>
            </w:r>
          </w:p>
        </w:tc>
        <w:tc>
          <w:tcPr>
            <w:tcW w:type="dxa" w:w="1872"/>
          </w:tcPr>
          <w:p>
            <w:pPr>
              <w:jc w:val="left"/>
            </w:pPr>
            <w:r>
              <w:rPr>
                <w:rFonts w:ascii="Times New Roman" w:hAnsi="Times New Roman"/>
                <w:b/>
                <w:sz w:val="20"/>
              </w:rPr>
              <w:t>Diverga</w:t>
            </w:r>
          </w:p>
        </w:tc>
        <w:tc>
          <w:tcPr>
            <w:tcW w:type="dxa" w:w="1872"/>
          </w:tcPr>
          <w:p>
            <w:pPr>
              <w:jc w:val="left"/>
            </w:pPr>
            <w:r>
              <w:rPr>
                <w:rFonts w:ascii="Times New Roman" w:hAnsi="Times New Roman"/>
                <w:b/>
                <w:sz w:val="20"/>
              </w:rPr>
              <w:t>Elicit</w:t>
            </w:r>
          </w:p>
        </w:tc>
        <w:tc>
          <w:tcPr>
            <w:tcW w:type="dxa" w:w="1872"/>
          </w:tcPr>
          <w:p>
            <w:pPr>
              <w:jc w:val="left"/>
            </w:pPr>
            <w:r>
              <w:rPr>
                <w:rFonts w:ascii="Times New Roman" w:hAnsi="Times New Roman"/>
                <w:b/>
                <w:sz w:val="20"/>
              </w:rPr>
              <w:t>Consensus</w:t>
            </w:r>
          </w:p>
        </w:tc>
        <w:tc>
          <w:tcPr>
            <w:tcW w:type="dxa" w:w="1872"/>
          </w:tcPr>
          <w:p>
            <w:pPr>
              <w:jc w:val="left"/>
            </w:pPr>
            <w:r>
              <w:rPr>
                <w:rFonts w:ascii="Times New Roman" w:hAnsi="Times New Roman"/>
                <w:b/>
                <w:sz w:val="20"/>
              </w:rPr>
              <w:t>ChatGPT</w:t>
            </w:r>
          </w:p>
        </w:tc>
      </w:tr>
      <w:tr>
        <w:tc>
          <w:tcPr>
            <w:tcW w:type="dxa" w:w="1872"/>
          </w:tcPr>
          <w:p>
            <w:r>
              <w:rPr>
                <w:rFonts w:ascii="Times New Roman" w:hAnsi="Times New Roman"/>
                <w:sz w:val="20"/>
              </w:rPr>
              <w:t>Architecture</w:t>
            </w:r>
          </w:p>
        </w:tc>
        <w:tc>
          <w:tcPr>
            <w:tcW w:type="dxa" w:w="1872"/>
          </w:tcPr>
          <w:p>
            <w:r>
              <w:rPr>
                <w:rFonts w:ascii="Times New Roman" w:hAnsi="Times New Roman"/>
                <w:sz w:val="20"/>
              </w:rPr>
              <w:t>24 specialized agents in 9 categories</w:t>
            </w:r>
          </w:p>
        </w:tc>
        <w:tc>
          <w:tcPr>
            <w:tcW w:type="dxa" w:w="1872"/>
          </w:tcPr>
          <w:p>
            <w:r>
              <w:rPr>
                <w:rFonts w:ascii="Times New Roman" w:hAnsi="Times New Roman"/>
                <w:sz w:val="20"/>
              </w:rPr>
              <w:t>Single retrieval pipeline</w:t>
            </w:r>
          </w:p>
        </w:tc>
        <w:tc>
          <w:tcPr>
            <w:tcW w:type="dxa" w:w="1872"/>
          </w:tcPr>
          <w:p>
            <w:r>
              <w:rPr>
                <w:rFonts w:ascii="Times New Roman" w:hAnsi="Times New Roman"/>
                <w:sz w:val="20"/>
              </w:rPr>
              <w:t>Single retrieval pipeline</w:t>
            </w:r>
          </w:p>
        </w:tc>
        <w:tc>
          <w:tcPr>
            <w:tcW w:type="dxa" w:w="1872"/>
          </w:tcPr>
          <w:p>
            <w:r>
              <w:rPr>
                <w:rFonts w:ascii="Times New Roman" w:hAnsi="Times New Roman"/>
                <w:sz w:val="20"/>
              </w:rPr>
              <w:t>Single general-purpose agent</w:t>
            </w:r>
          </w:p>
        </w:tc>
      </w:tr>
      <w:tr>
        <w:tc>
          <w:tcPr>
            <w:tcW w:type="dxa" w:w="1872"/>
          </w:tcPr>
          <w:p>
            <w:r>
              <w:rPr>
                <w:rFonts w:ascii="Times New Roman" w:hAnsi="Times New Roman"/>
                <w:sz w:val="20"/>
              </w:rPr>
              <w:t>Diversity mechanism</w:t>
            </w:r>
          </w:p>
        </w:tc>
        <w:tc>
          <w:tcPr>
            <w:tcW w:type="dxa" w:w="1872"/>
          </w:tcPr>
          <w:p>
            <w:r>
              <w:rPr>
                <w:rFonts w:ascii="Times New Roman" w:hAnsi="Times New Roman"/>
                <w:sz w:val="20"/>
              </w:rPr>
              <w:t>Verbalized Sampling with T-Scores</w:t>
            </w:r>
          </w:p>
        </w:tc>
        <w:tc>
          <w:tcPr>
            <w:tcW w:type="dxa" w:w="1872"/>
          </w:tcPr>
          <w:p>
            <w:r>
              <w:rPr>
                <w:rFonts w:ascii="Times New Roman" w:hAnsi="Times New Roman"/>
                <w:sz w:val="20"/>
              </w:rPr>
              <w:t>None (retrieval-based)</w:t>
            </w:r>
          </w:p>
        </w:tc>
        <w:tc>
          <w:tcPr>
            <w:tcW w:type="dxa" w:w="1872"/>
          </w:tcPr>
          <w:p>
            <w:r>
              <w:rPr>
                <w:rFonts w:ascii="Times New Roman" w:hAnsi="Times New Roman"/>
                <w:sz w:val="20"/>
              </w:rPr>
              <w:t>None (retrieval-based)</w:t>
            </w:r>
          </w:p>
        </w:tc>
        <w:tc>
          <w:tcPr>
            <w:tcW w:type="dxa" w:w="1872"/>
          </w:tcPr>
          <w:p>
            <w:r>
              <w:rPr>
                <w:rFonts w:ascii="Times New Roman" w:hAnsi="Times New Roman"/>
                <w:sz w:val="20"/>
              </w:rPr>
              <w:t>Prompt-dependent</w:t>
            </w:r>
          </w:p>
        </w:tc>
      </w:tr>
      <w:tr>
        <w:tc>
          <w:tcPr>
            <w:tcW w:type="dxa" w:w="1872"/>
          </w:tcPr>
          <w:p>
            <w:r>
              <w:rPr>
                <w:rFonts w:ascii="Times New Roman" w:hAnsi="Times New Roman"/>
                <w:sz w:val="20"/>
              </w:rPr>
              <w:t>Human oversight</w:t>
            </w:r>
          </w:p>
        </w:tc>
        <w:tc>
          <w:tcPr>
            <w:tcW w:type="dxa" w:w="1872"/>
          </w:tcPr>
          <w:p>
            <w:r>
              <w:rPr>
                <w:rFonts w:ascii="Times New Roman" w:hAnsi="Times New Roman"/>
                <w:sz w:val="20"/>
              </w:rPr>
              <w:t>5 REQUIRED checkpoint gates</w:t>
            </w:r>
          </w:p>
        </w:tc>
        <w:tc>
          <w:tcPr>
            <w:tcW w:type="dxa" w:w="1872"/>
          </w:tcPr>
          <w:p>
            <w:r>
              <w:rPr>
                <w:rFonts w:ascii="Times New Roman" w:hAnsi="Times New Roman"/>
                <w:sz w:val="20"/>
              </w:rPr>
              <w:t>None (user-initiated)</w:t>
            </w:r>
          </w:p>
        </w:tc>
        <w:tc>
          <w:tcPr>
            <w:tcW w:type="dxa" w:w="1872"/>
          </w:tcPr>
          <w:p>
            <w:r>
              <w:rPr>
                <w:rFonts w:ascii="Times New Roman" w:hAnsi="Times New Roman"/>
                <w:sz w:val="20"/>
              </w:rPr>
              <w:t>None (user-initiated)</w:t>
            </w:r>
          </w:p>
        </w:tc>
        <w:tc>
          <w:tcPr>
            <w:tcW w:type="dxa" w:w="1872"/>
          </w:tcPr>
          <w:p>
            <w:r>
              <w:rPr>
                <w:rFonts w:ascii="Times New Roman" w:hAnsi="Times New Roman"/>
                <w:sz w:val="20"/>
              </w:rPr>
              <w:t>None (user-initiated)</w:t>
            </w:r>
          </w:p>
        </w:tc>
      </w:tr>
      <w:tr>
        <w:tc>
          <w:tcPr>
            <w:tcW w:type="dxa" w:w="1872"/>
          </w:tcPr>
          <w:p>
            <w:r>
              <w:rPr>
                <w:rFonts w:ascii="Times New Roman" w:hAnsi="Times New Roman"/>
                <w:sz w:val="20"/>
              </w:rPr>
              <w:t>Typicality transparency</w:t>
            </w:r>
          </w:p>
        </w:tc>
        <w:tc>
          <w:tcPr>
            <w:tcW w:type="dxa" w:w="1872"/>
          </w:tcPr>
          <w:p>
            <w:r>
              <w:rPr>
                <w:rFonts w:ascii="Times New Roman" w:hAnsi="Times New Roman"/>
                <w:sz w:val="20"/>
              </w:rPr>
              <w:t>T-Score displayed for every recommendation</w:t>
            </w:r>
          </w:p>
        </w:tc>
        <w:tc>
          <w:tcPr>
            <w:tcW w:type="dxa" w:w="1872"/>
          </w:tcPr>
          <w:p>
            <w:r>
              <w:rPr>
                <w:rFonts w:ascii="Times New Roman" w:hAnsi="Times New Roman"/>
                <w:sz w:val="20"/>
              </w:rPr>
              <w:t>N/A</w:t>
            </w:r>
          </w:p>
        </w:tc>
        <w:tc>
          <w:tcPr>
            <w:tcW w:type="dxa" w:w="1872"/>
          </w:tcPr>
          <w:p>
            <w:r>
              <w:rPr>
                <w:rFonts w:ascii="Times New Roman" w:hAnsi="Times New Roman"/>
                <w:sz w:val="20"/>
              </w:rPr>
              <w:t>N/A</w:t>
            </w:r>
          </w:p>
        </w:tc>
        <w:tc>
          <w:tcPr>
            <w:tcW w:type="dxa" w:w="1872"/>
          </w:tcPr>
          <w:p>
            <w:r>
              <w:rPr>
                <w:rFonts w:ascii="Times New Roman" w:hAnsi="Times New Roman"/>
                <w:sz w:val="20"/>
              </w:rPr>
              <w:t>N/A</w:t>
            </w:r>
          </w:p>
        </w:tc>
      </w:tr>
      <w:tr>
        <w:tc>
          <w:tcPr>
            <w:tcW w:type="dxa" w:w="1872"/>
          </w:tcPr>
          <w:p>
            <w:r>
              <w:rPr>
                <w:rFonts w:ascii="Times New Roman" w:hAnsi="Times New Roman"/>
                <w:sz w:val="20"/>
              </w:rPr>
              <w:t>Decision audit trail</w:t>
            </w:r>
          </w:p>
        </w:tc>
        <w:tc>
          <w:tcPr>
            <w:tcW w:type="dxa" w:w="1872"/>
          </w:tcPr>
          <w:p>
            <w:r>
              <w:rPr>
                <w:rFonts w:ascii="Times New Roman" w:hAnsi="Times New Roman"/>
                <w:sz w:val="20"/>
              </w:rPr>
              <w:t>SQLite-logged decisions at each checkpoint</w:t>
            </w:r>
          </w:p>
        </w:tc>
        <w:tc>
          <w:tcPr>
            <w:tcW w:type="dxa" w:w="1872"/>
          </w:tcPr>
          <w:p>
            <w:r>
              <w:rPr>
                <w:rFonts w:ascii="Times New Roman" w:hAnsi="Times New Roman"/>
                <w:sz w:val="20"/>
              </w:rPr>
              <w:t>N/A</w:t>
            </w:r>
          </w:p>
        </w:tc>
        <w:tc>
          <w:tcPr>
            <w:tcW w:type="dxa" w:w="1872"/>
          </w:tcPr>
          <w:p>
            <w:r>
              <w:rPr>
                <w:rFonts w:ascii="Times New Roman" w:hAnsi="Times New Roman"/>
                <w:sz w:val="20"/>
              </w:rPr>
              <w:t>N/A</w:t>
            </w:r>
          </w:p>
        </w:tc>
        <w:tc>
          <w:tcPr>
            <w:tcW w:type="dxa" w:w="1872"/>
          </w:tcPr>
          <w:p>
            <w:r>
              <w:rPr>
                <w:rFonts w:ascii="Times New Roman" w:hAnsi="Times New Roman"/>
                <w:sz w:val="20"/>
              </w:rPr>
              <w:t>Conversation history only</w:t>
            </w:r>
          </w:p>
        </w:tc>
      </w:tr>
    </w:tbl>
    <w:p/>
    <w:p>
      <w:pPr>
        <w:spacing w:before="240" w:after="0" w:line="480" w:lineRule="auto"/>
        <w:jc w:val="center"/>
      </w:pPr>
      <w:r>
        <w:rPr>
          <w:rFonts w:ascii="Times New Roman" w:hAnsi="Times New Roman"/>
          <w:b/>
          <w:sz w:val="24"/>
        </w:rPr>
        <w:t>Design Process: Five Iterative Cycles</w:t>
      </w:r>
    </w:p>
    <w:p>
      <w:pPr>
        <w:spacing w:line="480" w:lineRule="auto" w:after="0"/>
        <w:ind w:firstLine="720"/>
      </w:pPr>
      <w:r>
        <w:rPr>
          <w:rFonts w:ascii="Times New Roman" w:hAnsi="Times New Roman"/>
          <w:sz w:val="24"/>
        </w:rPr>
        <w:t>The 57-day development period is organized into five iterative cycles following the Educational Design Research framework (McKenney &amp; Reeves, 2012), with each cycle comprising analysis/exploration, design/construction, and evaluation/reflection phases. These cycles were not pre-planned; they emerged from the interaction between design ambitions, evaluation feedback, and the evolving capabilities of the Claude Code platform (see Figure 1 for the conceptual framework and Figure 2 for the five cycles mapped to the EDR model).</w:t>
      </w:r>
    </w:p>
    <w:p>
      <w:pPr>
        <w:spacing w:line="480" w:lineRule="auto"/>
        <w:jc w:val="center"/>
      </w:pPr>
      <w:r>
        <w:drawing>
          <wp:inline xmlns:a="http://schemas.openxmlformats.org/drawingml/2006/main" xmlns:pic="http://schemas.openxmlformats.org/drawingml/2006/picture">
            <wp:extent cx="5029200" cy="4302425"/>
            <wp:docPr id="1" name="Picture 1"/>
            <wp:cNvGraphicFramePr>
              <a:graphicFrameLocks noChangeAspect="1"/>
            </wp:cNvGraphicFramePr>
            <a:graphic>
              <a:graphicData uri="http://schemas.openxmlformats.org/drawingml/2006/picture">
                <pic:pic>
                  <pic:nvPicPr>
                    <pic:cNvPr id="0" name="figure1_conceptual_framework.png"/>
                    <pic:cNvPicPr/>
                  </pic:nvPicPr>
                  <pic:blipFill>
                    <a:blip r:embed="rId9"/>
                    <a:stretch>
                      <a:fillRect/>
                    </a:stretch>
                  </pic:blipFill>
                  <pic:spPr>
                    <a:xfrm>
                      <a:off x="0" y="0"/>
                      <a:ext cx="5029200" cy="4302425"/>
                    </a:xfrm>
                    <a:prstGeom prst="rect"/>
                  </pic:spPr>
                </pic:pic>
              </a:graphicData>
            </a:graphic>
          </wp:inline>
        </w:drawing>
      </w:r>
    </w:p>
    <w:p>
      <w:pPr>
        <w:spacing w:line="480" w:lineRule="auto" w:after="120"/>
      </w:pPr>
      <w:r>
        <w:rPr>
          <w:rFonts w:ascii="Times New Roman" w:hAnsi="Times New Roman"/>
          <w:b/>
          <w:i/>
          <w:sz w:val="24"/>
        </w:rPr>
        <w:t>Figure 1</w:t>
      </w:r>
      <w:r>
        <w:br/>
      </w:r>
      <w:r>
        <w:rPr>
          <w:rFonts w:ascii="Times New Roman" w:hAnsi="Times New Roman"/>
          <w:i/>
          <w:sz w:val="24"/>
        </w:rPr>
        <w:t>Conceptual Framework: Educational Design Research Model, Cognitive Apprenticeship Methods, and Three Design Decisions, With Platform Evolution as Environmental Context</w:t>
      </w:r>
    </w:p>
    <w:p>
      <w:pPr>
        <w:spacing w:before="240" w:after="0" w:line="480" w:lineRule="auto"/>
        <w:jc w:val="left"/>
      </w:pPr>
      <w:r>
        <w:rPr>
          <w:rFonts w:ascii="Times New Roman" w:hAnsi="Times New Roman"/>
          <w:b/>
          <w:sz w:val="24"/>
        </w:rPr>
        <w:t>Cycle 1: Foundation (v1.0-v2.0; January 22-23, 2026)</w:t>
      </w:r>
    </w:p>
    <w:p>
      <w:pPr>
        <w:spacing w:line="480" w:lineRule="auto" w:after="0"/>
        <w:ind w:firstLine="720"/>
      </w:pPr>
      <w:r>
        <w:rPr>
          <w:rFonts w:ascii="Times New Roman" w:hAnsi="Times New Roman"/>
          <w:sz w:val="24"/>
        </w:rPr>
        <w:t>The project began with the recognition that LLM-based research assistants default to modal recommendations. The initial commit established 20 agents in 5 categories, and Verbalized Sampling methodology (Zhao et al., 2024) was integrated within the first day, introducing the T-Score system for measuring recommendation typicality. Evaluation revealed marketplace compatibility issues and overly complex installation, prompting simplification.</w:t>
      </w:r>
    </w:p>
    <w:p>
      <w:pPr>
        <w:spacing w:before="240" w:after="0" w:line="480" w:lineRule="auto"/>
        <w:jc w:val="left"/>
      </w:pPr>
      <w:r>
        <w:rPr>
          <w:rFonts w:ascii="Times New Roman" w:hAnsi="Times New Roman"/>
          <w:b/>
          <w:sz w:val="24"/>
        </w:rPr>
        <w:t>Cycle 2: Sisyphus and Clean Slate (v3.0-v6.0; January 23-25, 2026)</w:t>
      </w:r>
    </w:p>
    <w:p>
      <w:pPr>
        <w:spacing w:line="480" w:lineRule="auto" w:after="0"/>
        <w:ind w:firstLine="720"/>
      </w:pPr>
      <w:r>
        <w:rPr>
          <w:rFonts w:ascii="Times New Roman" w:hAnsi="Times New Roman"/>
          <w:sz w:val="24"/>
        </w:rPr>
        <w:t>Five modular creativity mechanisms were designed. The system expanded to 33 agents. Critically, the Sisyphus Protocol was introduced in v5.0: an autonomous continuation mechanism that removed human control between checkpoints. This was the fastest design failure in the project, added and removed on the same day. The v6.0 Clean Slate Edition established the foundational principle that guided all subsequent development: AI works between checkpoints; humans decide at them. The project was renamed twice before settling on Diverga.</w:t>
      </w:r>
    </w:p>
    <w:p>
      <w:pPr>
        <w:spacing w:before="240" w:after="0" w:line="480" w:lineRule="auto"/>
        <w:jc w:val="left"/>
      </w:pPr>
      <w:r>
        <w:rPr>
          <w:rFonts w:ascii="Times New Roman" w:hAnsi="Times New Roman"/>
          <w:b/>
          <w:sz w:val="24"/>
        </w:rPr>
        <w:t>Cycle 3: Expansion to Peak (v6.0-v6.7; January 25-February 4, 2026)</w:t>
      </w:r>
    </w:p>
    <w:p>
      <w:pPr>
        <w:spacing w:line="480" w:lineRule="auto" w:after="0"/>
        <w:ind w:firstLine="720"/>
      </w:pPr>
      <w:r>
        <w:rPr>
          <w:rFonts w:ascii="Times New Roman" w:hAnsi="Times New Roman"/>
          <w:sz w:val="24"/>
        </w:rPr>
        <w:t>Domain-specific gaps were identified (meta-analysis, systematic review, humanization), driving expansion to 44 agents. Cross-platform support was added for Codex CLI and OpenCode. Plugin discovery proved fragile, requiring eight consecutive fix commits in a single day. Cross-platform parity was never fully achieved (75% for Codex CLI, 70% for OpenCode), foreshadowing the eventual abandonment of multi-platform support.</w:t>
      </w:r>
    </w:p>
    <w:p>
      <w:pPr>
        <w:spacing w:before="240" w:after="0" w:line="480" w:lineRule="auto"/>
        <w:jc w:val="left"/>
      </w:pPr>
      <w:r>
        <w:rPr>
          <w:rFonts w:ascii="Times New Roman" w:hAnsi="Times New Roman"/>
          <w:b/>
          <w:sz w:val="24"/>
        </w:rPr>
        <w:t>Cycle 4: The Great Consolidation (v8.0-v11.0; February 4-March 10, 2026)</w:t>
      </w:r>
    </w:p>
    <w:p>
      <w:pPr>
        <w:spacing w:line="480" w:lineRule="auto" w:after="0"/>
        <w:ind w:firstLine="720"/>
      </w:pPr>
      <w:r>
        <w:rPr>
          <w:rFonts w:ascii="Times New Roman" w:hAnsi="Times New Roman"/>
          <w:sz w:val="24"/>
        </w:rPr>
        <w:t>With 44 agents across three platforms and a 59KB configuration file, the system had become unwieldy. Infrastructure matured through MCP checkpoint enforcement, SQLite backend adoption, and Agent Teams pilot integration. Then came the consolidation: 44 to 24 agents, cross-platform support removed entirely, configuration reduced by 79%. A silent checkpoint bug was discovered in v11.0 in which all checkpoints auto-approved without user input; the system appeared to have oversight but did not. The Claude Code hooks system (introduced June 2025) was critical to this cycle: it enabled architectural enforcement of checkpoints, replacing the behavioral instructions that had proven unreliable.</w:t>
      </w:r>
    </w:p>
    <w:p>
      <w:pPr>
        <w:spacing w:before="240" w:after="0" w:line="480" w:lineRule="auto"/>
        <w:jc w:val="left"/>
      </w:pPr>
      <w:r>
        <w:rPr>
          <w:rFonts w:ascii="Times New Roman" w:hAnsi="Times New Roman"/>
          <w:b/>
          <w:sz w:val="24"/>
        </w:rPr>
        <w:t>Cycle 5: Stabilization (v11.1-v12.0; March 12-19, 2026)</w:t>
      </w:r>
    </w:p>
    <w:p>
      <w:pPr>
        <w:spacing w:line="480" w:lineRule="auto" w:after="0"/>
        <w:ind w:firstLine="720"/>
      </w:pPr>
      <w:r>
        <w:rPr>
          <w:rFonts w:ascii="Times New Roman" w:hAnsi="Times New Roman"/>
          <w:sz w:val="24"/>
        </w:rPr>
        <w:t>The simplified foundation enabled new capabilities. VS Arena was implemented with five epistemological persona agents. The Claude Code Agent Teams feature (February 2026) was consequential: before Agent Teams, VS Arena required simulated diversity through subagent calls in the same context window; after Agent Teams, each persona operated in its own independent context, producing substantively different debate dynamics. The configuration was further slimmed from 16.8KB to less than 5KB, and redundant orchestration skills were unified.</w:t>
      </w:r>
    </w:p>
    <w:p>
      <w:pPr>
        <w:spacing w:line="480" w:lineRule="auto"/>
        <w:jc w:val="center"/>
      </w:pPr>
      <w:r>
        <w:drawing>
          <wp:inline xmlns:a="http://schemas.openxmlformats.org/drawingml/2006/main" xmlns:pic="http://schemas.openxmlformats.org/drawingml/2006/picture">
            <wp:extent cx="5029200" cy="2946301"/>
            <wp:docPr id="2" name="Picture 2"/>
            <wp:cNvGraphicFramePr>
              <a:graphicFrameLocks noChangeAspect="1"/>
            </wp:cNvGraphicFramePr>
            <a:graphic>
              <a:graphicData uri="http://schemas.openxmlformats.org/drawingml/2006/picture">
                <pic:pic>
                  <pic:nvPicPr>
                    <pic:cNvPr id="0" name="figure2_edr_cycles.png"/>
                    <pic:cNvPicPr/>
                  </pic:nvPicPr>
                  <pic:blipFill>
                    <a:blip r:embed="rId10"/>
                    <a:stretch>
                      <a:fillRect/>
                    </a:stretch>
                  </pic:blipFill>
                  <pic:spPr>
                    <a:xfrm>
                      <a:off x="0" y="0"/>
                      <a:ext cx="5029200" cy="2946301"/>
                    </a:xfrm>
                    <a:prstGeom prst="rect"/>
                  </pic:spPr>
                </pic:pic>
              </a:graphicData>
            </a:graphic>
          </wp:inline>
        </w:drawing>
      </w:r>
    </w:p>
    <w:p>
      <w:pPr>
        <w:spacing w:line="480" w:lineRule="auto" w:after="120"/>
      </w:pPr>
      <w:r>
        <w:rPr>
          <w:rFonts w:ascii="Times New Roman" w:hAnsi="Times New Roman"/>
          <w:b/>
          <w:i/>
          <w:sz w:val="24"/>
        </w:rPr>
        <w:t>Figure 2</w:t>
      </w:r>
      <w:r>
        <w:br/>
      </w:r>
      <w:r>
        <w:rPr>
          <w:rFonts w:ascii="Times New Roman" w:hAnsi="Times New Roman"/>
          <w:i/>
          <w:sz w:val="24"/>
        </w:rPr>
        <w:t>Five Iterative Design Cycles Mapped to the Educational Design Research Model (McKenney &amp; Reeves, 2012), With Agent Count Trajectory and Key Events</w:t>
      </w:r>
    </w:p>
    <w:p>
      <w:pPr>
        <w:spacing w:line="480" w:lineRule="auto" w:after="0"/>
        <w:ind w:firstLine="720"/>
      </w:pPr>
      <w:r>
        <w:rPr>
          <w:rFonts w:ascii="Times New Roman" w:hAnsi="Times New Roman"/>
          <w:sz w:val="24"/>
        </w:rPr>
        <w:t>Figure 3 shows the co-evolution of Claude Code platform features and Diverga design changes. Three platform capabilities were particularly consequential: hooks (enabling checkpoint enforcement at the architectural level), plugins (enabling marketplace distribution), and Agent Teams (enabling genuine multi-agent epistemological debate).</w:t>
      </w:r>
    </w:p>
    <w:p>
      <w:pPr>
        <w:spacing w:line="480" w:lineRule="auto"/>
        <w:jc w:val="center"/>
      </w:pPr>
      <w:r>
        <w:drawing>
          <wp:inline xmlns:a="http://schemas.openxmlformats.org/drawingml/2006/main" xmlns:pic="http://schemas.openxmlformats.org/drawingml/2006/picture">
            <wp:extent cx="5029200" cy="3042920"/>
            <wp:docPr id="3" name="Picture 3"/>
            <wp:cNvGraphicFramePr>
              <a:graphicFrameLocks noChangeAspect="1"/>
            </wp:cNvGraphicFramePr>
            <a:graphic>
              <a:graphicData uri="http://schemas.openxmlformats.org/drawingml/2006/picture">
                <pic:pic>
                  <pic:nvPicPr>
                    <pic:cNvPr id="0" name="figure3_platform_coevolution.png"/>
                    <pic:cNvPicPr/>
                  </pic:nvPicPr>
                  <pic:blipFill>
                    <a:blip r:embed="rId11"/>
                    <a:stretch>
                      <a:fillRect/>
                    </a:stretch>
                  </pic:blipFill>
                  <pic:spPr>
                    <a:xfrm>
                      <a:off x="0" y="0"/>
                      <a:ext cx="5029200" cy="3042920"/>
                    </a:xfrm>
                    <a:prstGeom prst="rect"/>
                  </pic:spPr>
                </pic:pic>
              </a:graphicData>
            </a:graphic>
          </wp:inline>
        </w:drawing>
      </w:r>
    </w:p>
    <w:p>
      <w:pPr>
        <w:spacing w:line="480" w:lineRule="auto" w:after="120"/>
      </w:pPr>
      <w:r>
        <w:rPr>
          <w:rFonts w:ascii="Times New Roman" w:hAnsi="Times New Roman"/>
          <w:b/>
          <w:i/>
          <w:sz w:val="24"/>
        </w:rPr>
        <w:t>Figure 3</w:t>
      </w:r>
      <w:r>
        <w:br/>
      </w:r>
      <w:r>
        <w:rPr>
          <w:rFonts w:ascii="Times New Roman" w:hAnsi="Times New Roman"/>
          <w:i/>
          <w:sz w:val="24"/>
        </w:rPr>
        <w:t>Platform-Design Co-evolution: Claude Code Feature Milestones and Corresponding Diverga Design Changes</w:t>
      </w:r>
    </w:p>
    <w:p>
      <w:pPr>
        <w:spacing w:before="240" w:after="0" w:line="480" w:lineRule="auto"/>
        <w:jc w:val="center"/>
      </w:pPr>
      <w:r>
        <w:rPr>
          <w:rFonts w:ascii="Times New Roman" w:hAnsi="Times New Roman"/>
          <w:b/>
          <w:sz w:val="24"/>
        </w:rPr>
        <w:t>Design Problem</w:t>
      </w:r>
    </w:p>
    <w:p>
      <w:pPr>
        <w:spacing w:before="240" w:after="0" w:line="480" w:lineRule="auto"/>
        <w:jc w:val="left"/>
      </w:pPr>
      <w:r>
        <w:rPr>
          <w:rFonts w:ascii="Times New Roman" w:hAnsi="Times New Roman"/>
          <w:b/>
          <w:sz w:val="24"/>
        </w:rPr>
        <w:t>Mode Collapse in Research AI</w:t>
      </w:r>
    </w:p>
    <w:p>
      <w:pPr>
        <w:spacing w:line="480" w:lineRule="auto" w:after="0"/>
        <w:ind w:firstLine="720"/>
      </w:pPr>
      <w:r>
        <w:rPr>
          <w:rFonts w:ascii="Times New Roman" w:hAnsi="Times New Roman"/>
          <w:sz w:val="24"/>
        </w:rPr>
        <w:t>Mode collapse describes the tendency of AI systems to converge on the most statistically common output regardless of context. When researchers query AI tools for methodology guidance, the tools converge on the same high-probability recommendations: the Technology Acceptance Model for technology adoption studies, thematic analysis for qualitative research, random effects models for meta-analysis. This convergence is not random error; it is a systematic artifact of how large language models are trained to maximize predictive probability (Zhao et al., 2024). An analogy from instructional design may clarify the concern: mode collapse is to AI methodology guidance what a standardized, one-size-fits-all curriculum is to pedagogy. Both reduce diversity in the service of efficiency.</w:t>
      </w:r>
    </w:p>
    <w:p>
      <w:pPr>
        <w:spacing w:before="240" w:after="0" w:line="480" w:lineRule="auto"/>
        <w:jc w:val="left"/>
      </w:pPr>
      <w:r>
        <w:rPr>
          <w:rFonts w:ascii="Times New Roman" w:hAnsi="Times New Roman"/>
          <w:b/>
          <w:sz w:val="24"/>
        </w:rPr>
        <w:t>Automation Bias in Knowledge Work</w:t>
      </w:r>
    </w:p>
    <w:p>
      <w:pPr>
        <w:spacing w:line="480" w:lineRule="auto" w:after="0"/>
        <w:ind w:firstLine="720"/>
      </w:pPr>
      <w:r>
        <w:rPr>
          <w:rFonts w:ascii="Times New Roman" w:hAnsi="Times New Roman"/>
          <w:sz w:val="24"/>
        </w:rPr>
        <w:t>Automation bias, the tendency to accept AI recommendations without critical evaluation, compounds mode collapse. A 2025 Springer Nature report found a 78% uncritical acceptance rate for AI-generated methodology suggestions. Microsoft Research (2025) identified a negative correlation between AI tool use and critical thinking engagement in knowledge work settings. The combination narrows the options presented and ensures the narrowed options go unscrutinized.</w:t>
      </w:r>
    </w:p>
    <w:p>
      <w:pPr>
        <w:spacing w:before="240" w:after="0" w:line="480" w:lineRule="auto"/>
        <w:jc w:val="left"/>
      </w:pPr>
      <w:r>
        <w:rPr>
          <w:rFonts w:ascii="Times New Roman" w:hAnsi="Times New Roman"/>
          <w:b/>
          <w:sz w:val="24"/>
        </w:rPr>
        <w:t>The Design Gap</w:t>
      </w:r>
    </w:p>
    <w:p>
      <w:pPr>
        <w:spacing w:line="480" w:lineRule="auto" w:after="0"/>
        <w:ind w:firstLine="720"/>
      </w:pPr>
      <w:r>
        <w:rPr>
          <w:rFonts w:ascii="Times New Roman" w:hAnsi="Times New Roman"/>
          <w:sz w:val="24"/>
        </w:rPr>
        <w:t>No existing tool combines structured human oversight with diversity-generating mechanisms for research methodology guidance. The design challenge is not to build a better recommendation engine; it is to build a system that keeps the researcher's judgment in the loop while countering the homogenization pressure of the underlying model. The cognitive apprenticeship framework clarifies the goal: the system should make expert methodological thinking visible and require the researcher to engage with it, not merely consume it.</w:t>
      </w:r>
    </w:p>
    <w:p>
      <w:pPr>
        <w:spacing w:before="240" w:after="0" w:line="480" w:lineRule="auto"/>
        <w:jc w:val="center"/>
      </w:pPr>
      <w:r>
        <w:rPr>
          <w:rFonts w:ascii="Times New Roman" w:hAnsi="Times New Roman"/>
          <w:b/>
          <w:sz w:val="24"/>
        </w:rPr>
        <w:t>Design Decisions and Rationale</w:t>
      </w:r>
    </w:p>
    <w:p>
      <w:pPr>
        <w:spacing w:before="240" w:after="0" w:line="480" w:lineRule="auto"/>
        <w:jc w:val="left"/>
      </w:pPr>
      <w:r>
        <w:rPr>
          <w:rFonts w:ascii="Times New Roman" w:hAnsi="Times New Roman"/>
          <w:b/>
          <w:sz w:val="24"/>
        </w:rPr>
        <w:t>Multi-Agent Architecture: From 44 to 24 Agents</w:t>
      </w:r>
    </w:p>
    <w:p>
      <w:pPr>
        <w:spacing w:line="480" w:lineRule="auto" w:after="0"/>
        <w:ind w:firstLine="720"/>
      </w:pPr>
      <w:r>
        <w:rPr>
          <w:rFonts w:ascii="Times New Roman" w:hAnsi="Times New Roman"/>
          <w:sz w:val="24"/>
        </w:rPr>
        <w:t>In cognitive apprenticeship terms, the multi-agent architecture operationalizes three methods. Each agent models expert reasoning in its domain. Domain-specific feedback constitutes coaching. The 9-category task decomposition provides scaffolding. The consolidation from 44 to 24 is scaffolding calibration: reducing surface complexity so intellectual structure becomes visible.</w:t>
      </w:r>
    </w:p>
    <w:p>
      <w:pPr>
        <w:spacing w:line="480" w:lineRule="auto" w:after="0"/>
        <w:ind w:firstLine="720"/>
      </w:pPr>
      <w:r>
        <w:rPr>
          <w:rFonts w:ascii="Times New Roman" w:hAnsi="Times New Roman"/>
          <w:sz w:val="24"/>
        </w:rPr>
        <w:t>Diverga grew from 20 agents at launch (v1.0) to a peak of 44 agents (v6.7) before being consolidated to 24 agents across 9 functional categories (v11.0). The trajectory to 44 included rapid expansion driven by domain-specific gaps (meta-analysis, systematic review, humanization), cross-platform support that multiplied complexity, and a 104-file Python memory module built over 11 days and then replaced entirely by MCP-based architecture. These expansions were not wasted; they revealed the thresholds at which complexity becomes counterproductive.</w:t>
      </w:r>
    </w:p>
    <w:p>
      <w:pPr>
        <w:spacing w:line="480" w:lineRule="auto" w:after="0"/>
        <w:ind w:firstLine="720"/>
      </w:pPr>
      <w:r>
        <w:rPr>
          <w:rFonts w:ascii="Times New Roman" w:hAnsi="Times New Roman"/>
          <w:sz w:val="24"/>
        </w:rPr>
        <w:t>Three alternatives were considered. A single-agent system with diverse prompting would be simpler but cannot hold competing epistemological commitments simultaneously. A modular tool-use architecture similar to Cline or Obra maximizes adoption breadth but sacrifices domain depth. Maintaining 44 agents offers maximum specialization, but coordination overhead and user cognitive load scale superlinearly with agent count (Li et al., 2025).</w:t>
      </w:r>
    </w:p>
    <w:p>
      <w:pPr>
        <w:spacing w:line="480" w:lineRule="auto" w:after="0"/>
        <w:ind w:firstLine="720"/>
      </w:pPr>
      <w:r>
        <w:rPr>
          <w:rFonts w:ascii="Times New Roman" w:hAnsi="Times New Roman"/>
          <w:sz w:val="24"/>
        </w:rPr>
        <w:t>The consolidation was driven by functional overlap analysis (several v6.7 agents performed structurally identical tasks in different topical clothing), usage patterns (many specialized agents were rarely invoked), and the principle that specialization should map to genuine epistemic distinctions rather than surface-level topic divisions. The 9-category structure (Research Foundation, Literature, Design, Data, Analysis, Quality, Communication, Systematic Review, and Ethics) maps to the actual phases of research design, not to the internal logic of the AI system.</w:t>
      </w:r>
    </w:p>
    <w:p>
      <w:pPr>
        <w:spacing w:line="480" w:lineRule="auto"/>
        <w:jc w:val="center"/>
      </w:pPr>
      <w:r>
        <w:drawing>
          <wp:inline xmlns:a="http://schemas.openxmlformats.org/drawingml/2006/main" xmlns:pic="http://schemas.openxmlformats.org/drawingml/2006/picture">
            <wp:extent cx="5029200" cy="5108746"/>
            <wp:docPr id="4" name="Picture 4"/>
            <wp:cNvGraphicFramePr>
              <a:graphicFrameLocks noChangeAspect="1"/>
            </wp:cNvGraphicFramePr>
            <a:graphic>
              <a:graphicData uri="http://schemas.openxmlformats.org/drawingml/2006/picture">
                <pic:pic>
                  <pic:nvPicPr>
                    <pic:cNvPr id="0" name="figure4_architecture_comparison.png"/>
                    <pic:cNvPicPr/>
                  </pic:nvPicPr>
                  <pic:blipFill>
                    <a:blip r:embed="rId12"/>
                    <a:stretch>
                      <a:fillRect/>
                    </a:stretch>
                  </pic:blipFill>
                  <pic:spPr>
                    <a:xfrm>
                      <a:off x="0" y="0"/>
                      <a:ext cx="5029200" cy="5108746"/>
                    </a:xfrm>
                    <a:prstGeom prst="rect"/>
                  </pic:spPr>
                </pic:pic>
              </a:graphicData>
            </a:graphic>
          </wp:inline>
        </w:drawing>
      </w:r>
    </w:p>
    <w:p>
      <w:pPr>
        <w:spacing w:line="480" w:lineRule="auto" w:after="120"/>
      </w:pPr>
      <w:r>
        <w:rPr>
          <w:rFonts w:ascii="Times New Roman" w:hAnsi="Times New Roman"/>
          <w:b/>
          <w:i/>
          <w:sz w:val="24"/>
        </w:rPr>
        <w:t>Figure 4</w:t>
      </w:r>
      <w:r>
        <w:br/>
      </w:r>
      <w:r>
        <w:rPr>
          <w:rFonts w:ascii="Times New Roman" w:hAnsi="Times New Roman"/>
          <w:i/>
          <w:sz w:val="24"/>
        </w:rPr>
        <w:t>Architecture Comparison: v10 (44 Agents) Versus v11 (24 Agents) Across Nine Functional Categories</w:t>
      </w:r>
    </w:p>
    <w:p>
      <w:pPr>
        <w:spacing w:line="480" w:lineRule="auto" w:before="240"/>
      </w:pPr>
      <w:r>
        <w:rPr>
          <w:rFonts w:ascii="Times New Roman" w:hAnsi="Times New Roman"/>
          <w:b/>
          <w:i/>
          <w:sz w:val="24"/>
        </w:rPr>
        <w:t>Table 2</w:t>
      </w:r>
    </w:p>
    <w:p>
      <w:pPr>
        <w:spacing w:line="480" w:lineRule="auto" w:after="120"/>
      </w:pPr>
      <w:r>
        <w:rPr>
          <w:rFonts w:ascii="Times New Roman" w:hAnsi="Times New Roman"/>
          <w:i/>
          <w:sz w:val="24"/>
        </w:rPr>
        <w:t>Agent Consolidation Summary: Version 10 to Version 11</w:t>
      </w:r>
    </w:p>
    <w:tbl>
      <w:tblPr>
        <w:tblStyle w:val="TableGrid"/>
        <w:tblW w:type="auto" w:w="0"/>
        <w:jc w:val="center"/>
        <w:tblLook w:firstColumn="1" w:firstRow="1" w:lastColumn="0" w:lastRow="0" w:noHBand="0" w:noVBand="1" w:val="04A0"/>
        <w:tblBorders>
          <w:top w:val="single" w:sz="4" w:space="0" w:color="000000"/>
          <w:bottom w:val="single" w:sz="4" w:space="0" w:color="000000"/>
          <w:insideH w:val="single" w:sz="4" w:space="0" w:color="000000"/>
          <w:left w:val="none" w:sz="0" w:space="0" w:color="000000"/>
          <w:right w:val="none" w:sz="0" w:space="0" w:color="000000"/>
          <w:insideV w:val="none" w:sz="0" w:space="0" w:color="000000"/>
        </w:tblBorders>
      </w:tblPr>
      <w:tblGrid>
        <w:gridCol w:w="3120"/>
        <w:gridCol w:w="3120"/>
        <w:gridCol w:w="3120"/>
      </w:tblGrid>
      <w:tr>
        <w:tc>
          <w:tcPr>
            <w:tcW w:type="dxa" w:w="3120"/>
          </w:tcPr>
          <w:p>
            <w:pPr>
              <w:jc w:val="left"/>
            </w:pPr>
            <w:r>
              <w:rPr>
                <w:rFonts w:ascii="Times New Roman" w:hAnsi="Times New Roman"/>
                <w:b/>
                <w:sz w:val="20"/>
              </w:rPr>
              <w:t>Removed Agent(s)</w:t>
            </w:r>
          </w:p>
        </w:tc>
        <w:tc>
          <w:tcPr>
            <w:tcW w:type="dxa" w:w="3120"/>
          </w:tcPr>
          <w:p>
            <w:pPr>
              <w:jc w:val="left"/>
            </w:pPr>
            <w:r>
              <w:rPr>
                <w:rFonts w:ascii="Times New Roman" w:hAnsi="Times New Roman"/>
                <w:b/>
                <w:sz w:val="20"/>
              </w:rPr>
              <w:t>Merged Into</w:t>
            </w:r>
          </w:p>
        </w:tc>
        <w:tc>
          <w:tcPr>
            <w:tcW w:type="dxa" w:w="3120"/>
          </w:tcPr>
          <w:p>
            <w:pPr>
              <w:jc w:val="left"/>
            </w:pPr>
            <w:r>
              <w:rPr>
                <w:rFonts w:ascii="Times New Roman" w:hAnsi="Times New Roman"/>
                <w:b/>
                <w:sz w:val="20"/>
              </w:rPr>
              <w:t>Rationale</w:t>
            </w:r>
          </w:p>
        </w:tc>
      </w:tr>
      <w:tr>
        <w:tc>
          <w:tcPr>
            <w:tcW w:type="dxa" w:w="3120"/>
          </w:tcPr>
          <w:p>
            <w:r>
              <w:rPr>
                <w:rFonts w:ascii="Times New Roman" w:hAnsi="Times New Roman"/>
                <w:sz w:val="20"/>
              </w:rPr>
              <w:t>A3 (Devil's Advocate) + A6 (Visualizer)</w:t>
            </w:r>
          </w:p>
        </w:tc>
        <w:tc>
          <w:tcPr>
            <w:tcW w:type="dxa" w:w="3120"/>
          </w:tcPr>
          <w:p>
            <w:r>
              <w:rPr>
                <w:rFonts w:ascii="Times New Roman" w:hAnsi="Times New Roman"/>
                <w:sz w:val="20"/>
              </w:rPr>
              <w:t>A2</w:t>
            </w:r>
          </w:p>
        </w:tc>
        <w:tc>
          <w:tcPr>
            <w:tcW w:type="dxa" w:w="3120"/>
          </w:tcPr>
          <w:p>
            <w:r>
              <w:rPr>
                <w:rFonts w:ascii="Times New Roman" w:hAnsi="Times New Roman"/>
                <w:sz w:val="20"/>
              </w:rPr>
              <w:t>Overlapping critical analysis functions</w:t>
            </w:r>
          </w:p>
        </w:tc>
      </w:tr>
      <w:tr>
        <w:tc>
          <w:tcPr>
            <w:tcW w:type="dxa" w:w="3120"/>
          </w:tcPr>
          <w:p>
            <w:r>
              <w:rPr>
                <w:rFonts w:ascii="Times New Roman" w:hAnsi="Times New Roman"/>
                <w:sz w:val="20"/>
              </w:rPr>
              <w:t>A4 (Ethics) + F4 (Bias Detection)</w:t>
            </w:r>
          </w:p>
        </w:tc>
        <w:tc>
          <w:tcPr>
            <w:tcW w:type="dxa" w:w="3120"/>
          </w:tcPr>
          <w:p>
            <w:r>
              <w:rPr>
                <w:rFonts w:ascii="Times New Roman" w:hAnsi="Times New Roman"/>
                <w:sz w:val="20"/>
              </w:rPr>
              <w:t>X1 (Research Guardian)</w:t>
            </w:r>
          </w:p>
        </w:tc>
        <w:tc>
          <w:tcPr>
            <w:tcW w:type="dxa" w:w="3120"/>
          </w:tcPr>
          <w:p>
            <w:r>
              <w:rPr>
                <w:rFonts w:ascii="Times New Roman" w:hAnsi="Times New Roman"/>
                <w:sz w:val="20"/>
              </w:rPr>
              <w:t>Both serve research integrity</w:t>
            </w:r>
          </w:p>
        </w:tc>
      </w:tr>
      <w:tr>
        <w:tc>
          <w:tcPr>
            <w:tcW w:type="dxa" w:w="3120"/>
          </w:tcPr>
          <w:p>
            <w:r>
              <w:rPr>
                <w:rFonts w:ascii="Times New Roman" w:hAnsi="Times New Roman"/>
                <w:sz w:val="20"/>
              </w:rPr>
              <w:t>B3 (Effect Size) + C6 + C7</w:t>
            </w:r>
          </w:p>
        </w:tc>
        <w:tc>
          <w:tcPr>
            <w:tcW w:type="dxa" w:w="3120"/>
          </w:tcPr>
          <w:p>
            <w:r>
              <w:rPr>
                <w:rFonts w:ascii="Times New Roman" w:hAnsi="Times New Roman"/>
                <w:sz w:val="20"/>
              </w:rPr>
              <w:t>C5</w:t>
            </w:r>
          </w:p>
        </w:tc>
        <w:tc>
          <w:tcPr>
            <w:tcW w:type="dxa" w:w="3120"/>
          </w:tcPr>
          <w:p>
            <w:r>
              <w:rPr>
                <w:rFonts w:ascii="Times New Roman" w:hAnsi="Times New Roman"/>
                <w:sz w:val="20"/>
              </w:rPr>
              <w:t>All serve meta-analysis validation</w:t>
            </w:r>
          </w:p>
        </w:tc>
      </w:tr>
      <w:tr>
        <w:tc>
          <w:tcPr>
            <w:tcW w:type="dxa" w:w="3120"/>
          </w:tcPr>
          <w:p>
            <w:r>
              <w:rPr>
                <w:rFonts w:ascii="Times New Roman" w:hAnsi="Times New Roman"/>
                <w:sz w:val="20"/>
              </w:rPr>
              <w:t>B4 (Research Radar)</w:t>
            </w:r>
          </w:p>
        </w:tc>
        <w:tc>
          <w:tcPr>
            <w:tcW w:type="dxa" w:w="3120"/>
          </w:tcPr>
          <w:p>
            <w:r>
              <w:rPr>
                <w:rFonts w:ascii="Times New Roman" w:hAnsi="Times New Roman"/>
                <w:sz w:val="20"/>
              </w:rPr>
              <w:t>Removed entirely</w:t>
            </w:r>
          </w:p>
        </w:tc>
        <w:tc>
          <w:tcPr>
            <w:tcW w:type="dxa" w:w="3120"/>
          </w:tcPr>
          <w:p>
            <w:r>
              <w:rPr>
                <w:rFonts w:ascii="Times New Roman" w:hAnsi="Times New Roman"/>
                <w:sz w:val="20"/>
              </w:rPr>
              <w:t>Low usage</w:t>
            </w:r>
          </w:p>
        </w:tc>
      </w:tr>
      <w:tr>
        <w:tc>
          <w:tcPr>
            <w:tcW w:type="dxa" w:w="3120"/>
          </w:tcPr>
          <w:p>
            <w:r>
              <w:rPr>
                <w:rFonts w:ascii="Times New Roman" w:hAnsi="Times New Roman"/>
                <w:sz w:val="20"/>
              </w:rPr>
              <w:t>C4 (Materials) + D1 (Sampling)</w:t>
            </w:r>
          </w:p>
        </w:tc>
        <w:tc>
          <w:tcPr>
            <w:tcW w:type="dxa" w:w="3120"/>
          </w:tcPr>
          <w:p>
            <w:r>
              <w:rPr>
                <w:rFonts w:ascii="Times New Roman" w:hAnsi="Times New Roman"/>
                <w:sz w:val="20"/>
              </w:rPr>
              <w:t>C1</w:t>
            </w:r>
          </w:p>
        </w:tc>
        <w:tc>
          <w:tcPr>
            <w:tcW w:type="dxa" w:w="3120"/>
          </w:tcPr>
          <w:p>
            <w:r>
              <w:rPr>
                <w:rFonts w:ascii="Times New Roman" w:hAnsi="Times New Roman"/>
                <w:sz w:val="20"/>
              </w:rPr>
              <w:t>Design-adjacent functions</w:t>
            </w:r>
          </w:p>
        </w:tc>
      </w:tr>
      <w:tr>
        <w:tc>
          <w:tcPr>
            <w:tcW w:type="dxa" w:w="3120"/>
          </w:tcPr>
          <w:p>
            <w:r>
              <w:rPr>
                <w:rFonts w:ascii="Times New Roman" w:hAnsi="Times New Roman"/>
                <w:sz w:val="20"/>
              </w:rPr>
              <w:t>F1 + F2 + F3 (Quality)</w:t>
            </w:r>
          </w:p>
        </w:tc>
        <w:tc>
          <w:tcPr>
            <w:tcW w:type="dxa" w:w="3120"/>
          </w:tcPr>
          <w:p>
            <w:r>
              <w:rPr>
                <w:rFonts w:ascii="Times New Roman" w:hAnsi="Times New Roman"/>
                <w:sz w:val="20"/>
              </w:rPr>
              <w:t>G2</w:t>
            </w:r>
          </w:p>
        </w:tc>
        <w:tc>
          <w:tcPr>
            <w:tcW w:type="dxa" w:w="3120"/>
          </w:tcPr>
          <w:p>
            <w:r>
              <w:rPr>
                <w:rFonts w:ascii="Times New Roman" w:hAnsi="Times New Roman"/>
                <w:sz w:val="20"/>
              </w:rPr>
              <w:t>Quality checks into publication</w:t>
            </w:r>
          </w:p>
        </w:tc>
      </w:tr>
      <w:tr>
        <w:tc>
          <w:tcPr>
            <w:tcW w:type="dxa" w:w="3120"/>
          </w:tcPr>
          <w:p>
            <w:r>
              <w:rPr>
                <w:rFonts w:ascii="Times New Roman" w:hAnsi="Times New Roman"/>
                <w:sz w:val="20"/>
              </w:rPr>
              <w:t>G3 (Peer Review) + G4 (Pre-reg)</w:t>
            </w:r>
          </w:p>
        </w:tc>
        <w:tc>
          <w:tcPr>
            <w:tcW w:type="dxa" w:w="3120"/>
          </w:tcPr>
          <w:p>
            <w:r>
              <w:rPr>
                <w:rFonts w:ascii="Times New Roman" w:hAnsi="Times New Roman"/>
                <w:sz w:val="20"/>
              </w:rPr>
              <w:t>G2</w:t>
            </w:r>
          </w:p>
        </w:tc>
        <w:tc>
          <w:tcPr>
            <w:tcW w:type="dxa" w:w="3120"/>
          </w:tcPr>
          <w:p>
            <w:r>
              <w:rPr>
                <w:rFonts w:ascii="Times New Roman" w:hAnsi="Times New Roman"/>
                <w:sz w:val="20"/>
              </w:rPr>
              <w:t>Publication workflow consolidated</w:t>
            </w:r>
          </w:p>
        </w:tc>
      </w:tr>
      <w:tr>
        <w:tc>
          <w:tcPr>
            <w:tcW w:type="dxa" w:w="3120"/>
          </w:tcPr>
          <w:p>
            <w:r>
              <w:rPr>
                <w:rFonts w:ascii="Times New Roman" w:hAnsi="Times New Roman"/>
                <w:sz w:val="20"/>
              </w:rPr>
              <w:t>H1 (Ethnography) + H2 (Action Research)</w:t>
            </w:r>
          </w:p>
        </w:tc>
        <w:tc>
          <w:tcPr>
            <w:tcW w:type="dxa" w:w="3120"/>
          </w:tcPr>
          <w:p>
            <w:r>
              <w:rPr>
                <w:rFonts w:ascii="Times New Roman" w:hAnsi="Times New Roman"/>
                <w:sz w:val="20"/>
              </w:rPr>
              <w:t>C2</w:t>
            </w:r>
          </w:p>
        </w:tc>
        <w:tc>
          <w:tcPr>
            <w:tcW w:type="dxa" w:w="3120"/>
          </w:tcPr>
          <w:p>
            <w:r>
              <w:rPr>
                <w:rFonts w:ascii="Times New Roman" w:hAnsi="Times New Roman"/>
                <w:sz w:val="20"/>
              </w:rPr>
              <w:t>Qualitative methods consolidated</w:t>
            </w:r>
          </w:p>
        </w:tc>
      </w:tr>
    </w:tbl>
    <w:p/>
    <w:p>
      <w:pPr>
        <w:spacing w:before="240" w:after="0" w:line="480" w:lineRule="auto"/>
        <w:jc w:val="left"/>
      </w:pPr>
      <w:r>
        <w:rPr>
          <w:rFonts w:ascii="Times New Roman" w:hAnsi="Times New Roman"/>
          <w:b/>
          <w:sz w:val="24"/>
        </w:rPr>
        <w:t>Verbalized Sampling and Typicality Scores: Structuring Diversity</w:t>
      </w:r>
    </w:p>
    <w:p>
      <w:pPr>
        <w:spacing w:line="480" w:lineRule="auto" w:after="0"/>
        <w:ind w:firstLine="720"/>
      </w:pPr>
      <w:r>
        <w:rPr>
          <w:rFonts w:ascii="Times New Roman" w:hAnsi="Times New Roman"/>
          <w:sz w:val="24"/>
        </w:rPr>
        <w:t>In cognitive apprenticeship terms, the T-Score is a reflection device that prompts metacognitive evaluation: Am I choosing this because it is best for my study, or because it is common? The VS methodology's long-tail sampling supports exploration by presenting defensible alternatives the researcher would not encounter through modal convergence alone.</w:t>
      </w:r>
    </w:p>
    <w:p>
      <w:pPr>
        <w:spacing w:line="480" w:lineRule="auto" w:after="0"/>
        <w:ind w:firstLine="720"/>
      </w:pPr>
      <w:r>
        <w:rPr>
          <w:rFonts w:ascii="Times New Roman" w:hAnsi="Times New Roman"/>
          <w:sz w:val="24"/>
        </w:rPr>
        <w:t>Asking a curriculum to "be diverse" does not produce diversity; structural requirements for diverse content do. Similarly, prompting an AI to "provide diverse recommendations" is an instruction it can partially satisfy while still defaulting to high-probability outputs. Diversity must be structurally enforced, not instructionally requested.</w:t>
      </w:r>
    </w:p>
    <w:p>
      <w:pPr>
        <w:spacing w:line="480" w:lineRule="auto" w:after="0"/>
        <w:ind w:firstLine="720"/>
      </w:pPr>
      <w:r>
        <w:rPr>
          <w:rFonts w:ascii="Times New Roman" w:hAnsi="Times New Roman"/>
          <w:sz w:val="24"/>
        </w:rPr>
        <w:t>Diverga operationalizes Verbalized Sampling (Zhao et al., 2024), a methodology that generates recommendations across the full typicality spectrum. The Typicality Score (T-Score) measures how common a recommendation is relative to the model's training distribution: T &gt; 0.8 is modal; T &lt; 0.4 is genuinely unconventional. Critically, the T-Score is surfaced to the researcher rather than used only internally. A researcher who sees T = 0.82 knows they are receiving the expected recommendation; one who sees T = 0.31 knows they are in unconventional territory. The T-Score thereby becomes a metacognitive prompt rather than merely a quality indicator. T-Score calibration uses OpenAlex frequency lookup for empirical grounding.</w:t>
      </w:r>
    </w:p>
    <w:p>
      <w:pPr>
        <w:spacing w:line="480" w:lineRule="auto" w:after="0"/>
        <w:ind w:firstLine="720"/>
      </w:pPr>
      <w:r>
        <w:rPr>
          <w:rFonts w:ascii="Times New Roman" w:hAnsi="Times New Roman"/>
          <w:sz w:val="24"/>
        </w:rPr>
        <w:t>The VS Arena extends this principle through five epistemological persona agents (post-positivist, interpretivist, critical theorist, pragmatist, transformative), each constrained by cannotRecommend arrays that structurally prohibit recommending what other personas are likely to recommend. The Claude Code Agent Teams feature (February 2026) was consequential here: before Agent Teams, VS Arena required simulated diversity through subagent calls in the same context window; after Agent Teams, each persona operates in its own independent context, producing substantively different outputs.</w:t>
      </w:r>
    </w:p>
    <w:p>
      <w:pPr>
        <w:spacing w:before="240" w:after="0" w:line="480" w:lineRule="auto"/>
        <w:jc w:val="left"/>
      </w:pPr>
      <w:r>
        <w:rPr>
          <w:rFonts w:ascii="Times New Roman" w:hAnsi="Times New Roman"/>
          <w:b/>
          <w:sz w:val="24"/>
        </w:rPr>
        <w:t>Human Checkpoint System: Five Required Cognitive Forcing Functions</w:t>
      </w:r>
    </w:p>
    <w:p>
      <w:pPr>
        <w:spacing w:line="480" w:lineRule="auto" w:after="0"/>
        <w:ind w:firstLine="720"/>
      </w:pPr>
      <w:r>
        <w:rPr>
          <w:rFonts w:ascii="Times New Roman" w:hAnsi="Times New Roman"/>
          <w:sz w:val="24"/>
        </w:rPr>
        <w:t>Each REQUIRED checkpoint functions as a cognitive forcing function (Bucinca et al., 2021) that operationalizes the articulation method of cognitive apprenticeship: the researcher must verbalize a decision and its rationale before the system proceeds. The reduction from many checkpoints to five represents fading, a deliberate reduction of support.</w:t>
      </w:r>
    </w:p>
    <w:p>
      <w:pPr>
        <w:spacing w:line="480" w:lineRule="auto" w:after="0"/>
        <w:ind w:firstLine="720"/>
      </w:pPr>
      <w:r>
        <w:rPr>
          <w:rFonts w:ascii="Times New Roman" w:hAnsi="Times New Roman"/>
          <w:sz w:val="24"/>
        </w:rPr>
        <w:t>Automation bias is not primarily a knowledge problem; researchers often know they should evaluate AI recommendations critically. It is a cognitive habit problem: under time pressure and with confident-sounding AI output, critical evaluation is the path of most resistance. Cognitive forcing functions (Bucinca et al., 2021) are deliberate design elements that interrupt automatic processing and require effortful evaluation.</w:t>
      </w:r>
    </w:p>
    <w:p>
      <w:pPr>
        <w:spacing w:line="480" w:lineRule="auto" w:after="0"/>
        <w:ind w:firstLine="720"/>
      </w:pPr>
      <w:r>
        <w:rPr>
          <w:rFonts w:ascii="Times New Roman" w:hAnsi="Times New Roman"/>
          <w:sz w:val="24"/>
        </w:rPr>
        <w:t>The checkpoint design was itself iterative and marked by instructive failures. In v5.0 (January 25, 2026), the Sisyphus Protocol was introduced, making AI autonomous between checkpoints; it was removed the same day when it became clear that the protocol eliminated human control. The v6.0 Clean Slate Edition established the foundational principle: AI works between checkpoints; humans decide at them. Before the Claude Code hooks system (June 2025), checkpoints were behavioral instructions only; after hooks, they became architectural enforcement through PreToolUse interception.</w:t>
      </w:r>
    </w:p>
    <w:p>
      <w:pPr>
        <w:spacing w:line="480" w:lineRule="auto" w:after="0"/>
        <w:ind w:firstLine="720"/>
      </w:pPr>
      <w:r>
        <w:rPr>
          <w:rFonts w:ascii="Times New Roman" w:hAnsi="Times New Roman"/>
          <w:sz w:val="24"/>
        </w:rPr>
        <w:t>A particularly instructive failure occurred in v11.0: a silent bug in which all checkpoints auto-approved without user input. The system appeared to have oversight, but it did not. The bug was detected through architectural review, not user testing, illustrating how difficult genuine human oversight is to implement in autonomous AI systems. The fix involved SQLite-based verification of halt behavior.</w:t>
      </w:r>
    </w:p>
    <w:p>
      <w:pPr>
        <w:spacing w:line="480" w:lineRule="auto" w:after="0"/>
        <w:ind w:firstLine="720"/>
      </w:pPr>
      <w:r>
        <w:rPr>
          <w:rFonts w:ascii="Times New Roman" w:hAnsi="Times New Roman"/>
          <w:sz w:val="24"/>
        </w:rPr>
        <w:t>The five gate positions correspond to genuine cross-agent dependency points: decisions made at these points propagate through all subsequent agent outputs. Five is a judgment call, not an empirically derived optimum. The design case documents this honestly: the number reflects the designer's best current assessment of where oversight adds more value than it subtracts in cognitive load. Whether five checkpoints produce deliberation or habituated click-through is an empirical question for the companion evaluation paper.</w:t>
      </w:r>
    </w:p>
    <w:p>
      <w:pPr>
        <w:spacing w:line="480" w:lineRule="auto"/>
        <w:jc w:val="center"/>
      </w:pPr>
      <w:r>
        <w:drawing>
          <wp:inline xmlns:a="http://schemas.openxmlformats.org/drawingml/2006/main" xmlns:pic="http://schemas.openxmlformats.org/drawingml/2006/picture">
            <wp:extent cx="5029200" cy="2096809"/>
            <wp:docPr id="5" name="Picture 5"/>
            <wp:cNvGraphicFramePr>
              <a:graphicFrameLocks noChangeAspect="1"/>
            </wp:cNvGraphicFramePr>
            <a:graphic>
              <a:graphicData uri="http://schemas.openxmlformats.org/drawingml/2006/picture">
                <pic:pic>
                  <pic:nvPicPr>
                    <pic:cNvPr id="0" name="figure5_checkpoint_flow.png"/>
                    <pic:cNvPicPr/>
                  </pic:nvPicPr>
                  <pic:blipFill>
                    <a:blip r:embed="rId13"/>
                    <a:stretch>
                      <a:fillRect/>
                    </a:stretch>
                  </pic:blipFill>
                  <pic:spPr>
                    <a:xfrm>
                      <a:off x="0" y="0"/>
                      <a:ext cx="5029200" cy="2096809"/>
                    </a:xfrm>
                    <a:prstGeom prst="rect"/>
                  </pic:spPr>
                </pic:pic>
              </a:graphicData>
            </a:graphic>
          </wp:inline>
        </w:drawing>
      </w:r>
    </w:p>
    <w:p>
      <w:pPr>
        <w:spacing w:line="480" w:lineRule="auto" w:after="120"/>
      </w:pPr>
      <w:r>
        <w:rPr>
          <w:rFonts w:ascii="Times New Roman" w:hAnsi="Times New Roman"/>
          <w:b/>
          <w:i/>
          <w:sz w:val="24"/>
        </w:rPr>
        <w:t>Figure 5</w:t>
      </w:r>
      <w:r>
        <w:br/>
      </w:r>
      <w:r>
        <w:rPr>
          <w:rFonts w:ascii="Times New Roman" w:hAnsi="Times New Roman"/>
          <w:i/>
          <w:sz w:val="24"/>
        </w:rPr>
        <w:t>Human Checkpoint Flow: Five Required Cognitive Forcing Function Gates in the Research Design Workflow, With Cognitive Apprenticeship Method Labels</w:t>
      </w:r>
    </w:p>
    <w:p>
      <w:pPr>
        <w:spacing w:before="240" w:after="0" w:line="480" w:lineRule="auto"/>
        <w:jc w:val="center"/>
      </w:pPr>
      <w:r>
        <w:rPr>
          <w:rFonts w:ascii="Times New Roman" w:hAnsi="Times New Roman"/>
          <w:b/>
          <w:sz w:val="24"/>
        </w:rPr>
        <w:t>Design Tensions</w:t>
      </w:r>
    </w:p>
    <w:p>
      <w:pPr>
        <w:spacing w:line="480" w:lineRule="auto" w:after="0"/>
        <w:ind w:firstLine="720"/>
      </w:pPr>
      <w:r>
        <w:rPr>
          <w:rFonts w:ascii="Times New Roman" w:hAnsi="Times New Roman"/>
          <w:sz w:val="24"/>
        </w:rPr>
        <w:t>Design cases in learning design often document what was built and why; the best ones also document what remains uncertain and why it matters. The following tensions are carried forward from the design decisions as open questions.</w:t>
      </w:r>
    </w:p>
    <w:p>
      <w:pPr>
        <w:spacing w:before="240" w:after="0" w:line="480" w:lineRule="auto"/>
        <w:jc w:val="left"/>
      </w:pPr>
      <w:r>
        <w:rPr>
          <w:rFonts w:ascii="Times New Roman" w:hAnsi="Times New Roman"/>
          <w:b/>
          <w:sz w:val="24"/>
        </w:rPr>
        <w:t>Simplicity Versus Specialization</w:t>
      </w:r>
    </w:p>
    <w:p>
      <w:pPr>
        <w:spacing w:line="480" w:lineRule="auto" w:after="0"/>
        <w:ind w:firstLine="720"/>
      </w:pPr>
      <w:r>
        <w:rPr>
          <w:rFonts w:ascii="Times New Roman" w:hAnsi="Times New Roman"/>
          <w:sz w:val="24"/>
        </w:rPr>
        <w:t>Twenty-four agents in nine categories is more principled than 44, but it is still more complex than ChatGPT. For novice researchers, the 9-category architecture may itself be a barrier: knowing which category of agent to invoke requires prior knowledge of the research design process. The design bets that the right users (doctoral students in research design contexts) have enough process knowledge to navigate the architecture. This bet has not been tested.</w:t>
      </w:r>
    </w:p>
    <w:p>
      <w:pPr>
        <w:spacing w:before="240" w:after="0" w:line="480" w:lineRule="auto"/>
        <w:jc w:val="left"/>
      </w:pPr>
      <w:r>
        <w:rPr>
          <w:rFonts w:ascii="Times New Roman" w:hAnsi="Times New Roman"/>
          <w:b/>
          <w:sz w:val="24"/>
        </w:rPr>
        <w:t>Diversity Versus Coherence</w:t>
      </w:r>
    </w:p>
    <w:p>
      <w:pPr>
        <w:spacing w:line="480" w:lineRule="auto" w:after="0"/>
        <w:ind w:firstLine="720"/>
      </w:pPr>
      <w:r>
        <w:rPr>
          <w:rFonts w:ascii="Times New Roman" w:hAnsi="Times New Roman"/>
          <w:sz w:val="24"/>
        </w:rPr>
        <w:t>The VS Arena generates five epistemologically divergent perspectives on a methodology question. For experienced researchers, this plurality is a resource. For novice researchers, it may be a source of confusion rather than illumination. No synthesis mechanism currently exists; the researcher must integrate competing perspectives without AI support. This is the most important unresolved design problem in Diverga's current state.</w:t>
      </w:r>
    </w:p>
    <w:p>
      <w:pPr>
        <w:spacing w:before="240" w:after="0" w:line="480" w:lineRule="auto"/>
        <w:jc w:val="left"/>
      </w:pPr>
      <w:r>
        <w:rPr>
          <w:rFonts w:ascii="Times New Roman" w:hAnsi="Times New Roman"/>
          <w:b/>
          <w:sz w:val="24"/>
        </w:rPr>
        <w:t>Oversight Rigor Versus Workflow Fluidity</w:t>
      </w:r>
    </w:p>
    <w:p>
      <w:pPr>
        <w:spacing w:line="480" w:lineRule="auto" w:after="0"/>
        <w:ind w:firstLine="720"/>
      </w:pPr>
      <w:r>
        <w:rPr>
          <w:rFonts w:ascii="Times New Roman" w:hAnsi="Times New Roman"/>
          <w:sz w:val="24"/>
        </w:rPr>
        <w:t>Five checkpoints interrupt cognitive flow. The design trades fluidity for genuine oversight, but the exchange rate is unknown. Checkpoint fatigue is not hypothetical: in the pre-fix v11.0, the silent auto-approval behavior may have emerged partly because the original checkpoint count was too high and was quietly engineered around. The companion evaluation paper will investigate whether five REQUIRED checkpoints produce the intended deliberative behavior or habituated click-through.</w:t>
      </w:r>
    </w:p>
    <w:p>
      <w:pPr>
        <w:spacing w:line="480" w:lineRule="auto" w:before="240"/>
      </w:pPr>
      <w:r>
        <w:rPr>
          <w:rFonts w:ascii="Times New Roman" w:hAnsi="Times New Roman"/>
          <w:b/>
          <w:i/>
          <w:sz w:val="24"/>
        </w:rPr>
        <w:t>Table 4</w:t>
      </w:r>
    </w:p>
    <w:p>
      <w:pPr>
        <w:spacing w:line="480" w:lineRule="auto" w:after="120"/>
      </w:pPr>
      <w:r>
        <w:rPr>
          <w:rFonts w:ascii="Times New Roman" w:hAnsi="Times New Roman"/>
          <w:i/>
          <w:sz w:val="24"/>
        </w:rPr>
        <w:t>Design Tensions Summary</w:t>
      </w:r>
    </w:p>
    <w:tbl>
      <w:tblPr>
        <w:tblStyle w:val="TableGrid"/>
        <w:tblW w:type="auto" w:w="0"/>
        <w:jc w:val="center"/>
        <w:tblLook w:firstColumn="1" w:firstRow="1" w:lastColumn="0" w:lastRow="0" w:noHBand="0" w:noVBand="1" w:val="04A0"/>
        <w:tblBorders>
          <w:top w:val="single" w:sz="4" w:space="0" w:color="000000"/>
          <w:bottom w:val="single" w:sz="4" w:space="0" w:color="000000"/>
          <w:insideH w:val="single" w:sz="4" w:space="0" w:color="000000"/>
          <w:left w:val="none" w:sz="0" w:space="0" w:color="000000"/>
          <w:right w:val="none" w:sz="0" w:space="0" w:color="000000"/>
          <w:insideV w:val="none" w:sz="0" w:space="0" w:color="000000"/>
        </w:tblBorders>
      </w:tblPr>
      <w:tblGrid>
        <w:gridCol w:w="2340"/>
        <w:gridCol w:w="2340"/>
        <w:gridCol w:w="2340"/>
        <w:gridCol w:w="2340"/>
      </w:tblGrid>
      <w:tr>
        <w:tc>
          <w:tcPr>
            <w:tcW w:type="dxa" w:w="2340"/>
          </w:tcPr>
          <w:p>
            <w:pPr>
              <w:jc w:val="left"/>
            </w:pPr>
            <w:r>
              <w:rPr>
                <w:rFonts w:ascii="Times New Roman" w:hAnsi="Times New Roman"/>
                <w:b/>
                <w:sz w:val="20"/>
              </w:rPr>
              <w:t>Tension</w:t>
            </w:r>
          </w:p>
        </w:tc>
        <w:tc>
          <w:tcPr>
            <w:tcW w:type="dxa" w:w="2340"/>
          </w:tcPr>
          <w:p>
            <w:pPr>
              <w:jc w:val="left"/>
            </w:pPr>
            <w:r>
              <w:rPr>
                <w:rFonts w:ascii="Times New Roman" w:hAnsi="Times New Roman"/>
                <w:b/>
                <w:sz w:val="20"/>
              </w:rPr>
              <w:t>Design Decision</w:t>
            </w:r>
          </w:p>
        </w:tc>
        <w:tc>
          <w:tcPr>
            <w:tcW w:type="dxa" w:w="2340"/>
          </w:tcPr>
          <w:p>
            <w:pPr>
              <w:jc w:val="left"/>
            </w:pPr>
            <w:r>
              <w:rPr>
                <w:rFonts w:ascii="Times New Roman" w:hAnsi="Times New Roman"/>
                <w:b/>
                <w:sz w:val="20"/>
              </w:rPr>
              <w:t>What Was Traded</w:t>
            </w:r>
          </w:p>
        </w:tc>
        <w:tc>
          <w:tcPr>
            <w:tcW w:type="dxa" w:w="2340"/>
          </w:tcPr>
          <w:p>
            <w:pPr>
              <w:jc w:val="left"/>
            </w:pPr>
            <w:r>
              <w:rPr>
                <w:rFonts w:ascii="Times New Roman" w:hAnsi="Times New Roman"/>
                <w:b/>
                <w:sz w:val="20"/>
              </w:rPr>
              <w:t>Open Question</w:t>
            </w:r>
          </w:p>
        </w:tc>
      </w:tr>
      <w:tr>
        <w:tc>
          <w:tcPr>
            <w:tcW w:type="dxa" w:w="2340"/>
          </w:tcPr>
          <w:p>
            <w:r>
              <w:rPr>
                <w:rFonts w:ascii="Times New Roman" w:hAnsi="Times New Roman"/>
                <w:sz w:val="20"/>
              </w:rPr>
              <w:t>Simplicity vs. Specialization</w:t>
            </w:r>
          </w:p>
        </w:tc>
        <w:tc>
          <w:tcPr>
            <w:tcW w:type="dxa" w:w="2340"/>
          </w:tcPr>
          <w:p>
            <w:r>
              <w:rPr>
                <w:rFonts w:ascii="Times New Roman" w:hAnsi="Times New Roman"/>
                <w:sz w:val="20"/>
              </w:rPr>
              <w:t>Multi-Agent Architecture</w:t>
            </w:r>
          </w:p>
        </w:tc>
        <w:tc>
          <w:tcPr>
            <w:tcW w:type="dxa" w:w="2340"/>
          </w:tcPr>
          <w:p>
            <w:r>
              <w:rPr>
                <w:rFonts w:ascii="Times New Roman" w:hAnsi="Times New Roman"/>
                <w:sz w:val="20"/>
              </w:rPr>
              <w:t>User simplicity for domain coverage</w:t>
            </w:r>
          </w:p>
        </w:tc>
        <w:tc>
          <w:tcPr>
            <w:tcW w:type="dxa" w:w="2340"/>
          </w:tcPr>
          <w:p>
            <w:r>
              <w:rPr>
                <w:rFonts w:ascii="Times New Roman" w:hAnsi="Times New Roman"/>
                <w:sz w:val="20"/>
              </w:rPr>
              <w:t>Is 24 agents still too many for novices?</w:t>
            </w:r>
          </w:p>
        </w:tc>
      </w:tr>
      <w:tr>
        <w:tc>
          <w:tcPr>
            <w:tcW w:type="dxa" w:w="2340"/>
          </w:tcPr>
          <w:p>
            <w:r>
              <w:rPr>
                <w:rFonts w:ascii="Times New Roman" w:hAnsi="Times New Roman"/>
                <w:sz w:val="20"/>
              </w:rPr>
              <w:t>Diversity vs. Coherence</w:t>
            </w:r>
          </w:p>
        </w:tc>
        <w:tc>
          <w:tcPr>
            <w:tcW w:type="dxa" w:w="2340"/>
          </w:tcPr>
          <w:p>
            <w:r>
              <w:rPr>
                <w:rFonts w:ascii="Times New Roman" w:hAnsi="Times New Roman"/>
                <w:sz w:val="20"/>
              </w:rPr>
              <w:t>VS and T-Score</w:t>
            </w:r>
          </w:p>
        </w:tc>
        <w:tc>
          <w:tcPr>
            <w:tcW w:type="dxa" w:w="2340"/>
          </w:tcPr>
          <w:p>
            <w:r>
              <w:rPr>
                <w:rFonts w:ascii="Times New Roman" w:hAnsi="Times New Roman"/>
                <w:sz w:val="20"/>
              </w:rPr>
              <w:t>Convergence for epistemic plurality</w:t>
            </w:r>
          </w:p>
        </w:tc>
        <w:tc>
          <w:tcPr>
            <w:tcW w:type="dxa" w:w="2340"/>
          </w:tcPr>
          <w:p>
            <w:r>
              <w:rPr>
                <w:rFonts w:ascii="Times New Roman" w:hAnsi="Times New Roman"/>
                <w:sz w:val="20"/>
              </w:rPr>
              <w:t>Do novices need synthesis support?</w:t>
            </w:r>
          </w:p>
        </w:tc>
      </w:tr>
      <w:tr>
        <w:tc>
          <w:tcPr>
            <w:tcW w:type="dxa" w:w="2340"/>
          </w:tcPr>
          <w:p>
            <w:r>
              <w:rPr>
                <w:rFonts w:ascii="Times New Roman" w:hAnsi="Times New Roman"/>
                <w:sz w:val="20"/>
              </w:rPr>
              <w:t>Oversight vs. Fluidity</w:t>
            </w:r>
          </w:p>
        </w:tc>
        <w:tc>
          <w:tcPr>
            <w:tcW w:type="dxa" w:w="2340"/>
          </w:tcPr>
          <w:p>
            <w:r>
              <w:rPr>
                <w:rFonts w:ascii="Times New Roman" w:hAnsi="Times New Roman"/>
                <w:sz w:val="20"/>
              </w:rPr>
              <w:t>Human Checkpoints</w:t>
            </w:r>
          </w:p>
        </w:tc>
        <w:tc>
          <w:tcPr>
            <w:tcW w:type="dxa" w:w="2340"/>
          </w:tcPr>
          <w:p>
            <w:r>
              <w:rPr>
                <w:rFonts w:ascii="Times New Roman" w:hAnsi="Times New Roman"/>
                <w:sz w:val="20"/>
              </w:rPr>
              <w:t>Workflow fluidity for human control</w:t>
            </w:r>
          </w:p>
        </w:tc>
        <w:tc>
          <w:tcPr>
            <w:tcW w:type="dxa" w:w="2340"/>
          </w:tcPr>
          <w:p>
            <w:r>
              <w:rPr>
                <w:rFonts w:ascii="Times New Roman" w:hAnsi="Times New Roman"/>
                <w:sz w:val="20"/>
              </w:rPr>
              <w:t>Do 5 checkpoints produce deliberation or click-through?</w:t>
            </w:r>
          </w:p>
        </w:tc>
      </w:tr>
    </w:tbl>
    <w:p/>
    <w:p>
      <w:pPr>
        <w:spacing w:before="240" w:after="0" w:line="480" w:lineRule="auto"/>
        <w:jc w:val="center"/>
      </w:pPr>
      <w:r>
        <w:rPr>
          <w:rFonts w:ascii="Times New Roman" w:hAnsi="Times New Roman"/>
          <w:b/>
          <w:sz w:val="24"/>
        </w:rPr>
        <w:t>Reflection and Future Directions</w:t>
      </w:r>
    </w:p>
    <w:p>
      <w:pPr>
        <w:spacing w:before="240" w:after="0" w:line="480" w:lineRule="auto"/>
        <w:jc w:val="left"/>
      </w:pPr>
      <w:r>
        <w:rPr>
          <w:rFonts w:ascii="Times New Roman" w:hAnsi="Times New Roman"/>
          <w:b/>
          <w:sz w:val="24"/>
        </w:rPr>
        <w:t>What This Design Story Reveals</w:t>
      </w:r>
    </w:p>
    <w:p>
      <w:pPr>
        <w:spacing w:line="480" w:lineRule="auto" w:after="0"/>
        <w:ind w:firstLine="720"/>
      </w:pPr>
      <w:r>
        <w:rPr>
          <w:rFonts w:ascii="Times New Roman" w:hAnsi="Times New Roman"/>
          <w:sz w:val="24"/>
        </w:rPr>
        <w:t>Learning design principles are not limited to explicit instructional settings. The decisions documented in this paper (structural diversity enforcement, mandatory cognitive interruption, typicality transparency) are recognizable to instructional designers even when they appear in an AI tool's architecture. The "learning design in disguise" framing is descriptive, not rhetorical: Diverga shapes researcher behavior through its form, not through explicit instruction, analogous to how a well-designed problem-based learning environment shapes student inquiry through task structure rather than direct teaching.</w:t>
      </w:r>
    </w:p>
    <w:p>
      <w:pPr>
        <w:spacing w:line="480" w:lineRule="auto" w:after="0"/>
        <w:ind w:firstLine="720"/>
      </w:pPr>
      <w:r>
        <w:rPr>
          <w:rFonts w:ascii="Times New Roman" w:hAnsi="Times New Roman"/>
          <w:sz w:val="24"/>
        </w:rPr>
        <w:t>The co-evolution with the Claude Code platform illustrates a broader phenomenon: AI tool designers are not designing on stable ground. Platform capabilities emerge and disappear; designs must adapt or become obsolete. The 41-day lifespan of cross-platform support and the architectural shift enabled by hooks and Agent Teams are not incidental details; they are defining features of what it means to design educational AI tools in a rapidly evolving ecosystem.</w:t>
      </w:r>
    </w:p>
    <w:p>
      <w:pPr>
        <w:spacing w:before="240" w:after="0" w:line="480" w:lineRule="auto"/>
        <w:jc w:val="left"/>
      </w:pPr>
      <w:r>
        <w:rPr>
          <w:rFonts w:ascii="Times New Roman" w:hAnsi="Times New Roman"/>
          <w:b/>
          <w:sz w:val="24"/>
        </w:rPr>
        <w:t>Transferable Design Principles</w:t>
      </w:r>
    </w:p>
    <w:p>
      <w:pPr>
        <w:spacing w:line="480" w:lineRule="auto" w:after="0"/>
        <w:ind w:firstLine="720"/>
      </w:pPr>
      <w:r>
        <w:rPr>
          <w:rFonts w:ascii="Times New Roman" w:hAnsi="Times New Roman"/>
          <w:sz w:val="24"/>
        </w:rPr>
        <w:t>Three principles transfer to other AI tool designs for knowledge work. First, structural enforcement over instructional exhortation: design diversity into the system's architecture, not into the system's instructions. Second, transparency as metacognitive prompt: surface the information the user needs to calibrate their reliance on the system. Third, checkpoints as cognitive forcing functions: design mandatory pause points at consequential decision nodes, not at every step.</w:t>
      </w:r>
    </w:p>
    <w:p>
      <w:pPr>
        <w:spacing w:before="240" w:after="0" w:line="480" w:lineRule="auto"/>
        <w:jc w:val="left"/>
      </w:pPr>
      <w:r>
        <w:rPr>
          <w:rFonts w:ascii="Times New Roman" w:hAnsi="Times New Roman"/>
          <w:b/>
          <w:sz w:val="24"/>
        </w:rPr>
        <w:t>Connection to Companion Papers</w:t>
      </w:r>
    </w:p>
    <w:p>
      <w:pPr>
        <w:spacing w:line="480" w:lineRule="auto" w:after="0"/>
        <w:ind w:firstLine="720"/>
      </w:pPr>
      <w:r>
        <w:rPr>
          <w:rFonts w:ascii="Times New Roman" w:hAnsi="Times New Roman"/>
          <w:sz w:val="24"/>
        </w:rPr>
        <w:t>This design case occupies Educational Design Research phases 1 and 2. The empirical evaluation of whether Diverga's design decisions produce the intended effects on researcher performance is the subject of a companion experimental paper (Paper 3). A separate methodological paper (Paper 2) addresses how to study artificial agency in multi-agent AI educational systems, using Diverga as the exemplar case. Authentic learning (Herrington, Reeves, &amp; Oliver, 2010), which shares characteristics with Diverga's design context, will serve as the primary theoretical framework for Papers 2 and 3. The design case establishes the design rationale that the companion papers can reference without re-documenting the full system.</w:t>
      </w:r>
    </w:p>
    <w:p>
      <w:r>
        <w:br w:type="page"/>
      </w:r>
    </w:p>
    <w:p>
      <w:pPr>
        <w:spacing w:before="240" w:after="0" w:line="480" w:lineRule="auto"/>
        <w:jc w:val="center"/>
      </w:pPr>
      <w:r>
        <w:rPr>
          <w:rFonts w:ascii="Times New Roman" w:hAnsi="Times New Roman"/>
          <w:b/>
          <w:sz w:val="24"/>
        </w:rPr>
        <w:t>References</w:t>
      </w:r>
    </w:p>
    <w:p>
      <w:pPr>
        <w:spacing w:line="480" w:lineRule="auto"/>
        <w:ind w:left="720" w:hanging="720"/>
      </w:pPr>
      <w:r>
        <w:rPr>
          <w:rFonts w:ascii="Times New Roman" w:hAnsi="Times New Roman"/>
          <w:sz w:val="24"/>
        </w:rPr>
        <w:t>Boling, E. (2010). The need for design cases: Disseminating design knowledge. International Journal of Designs for Learning, 1(1), 1-8.</w:t>
      </w:r>
    </w:p>
    <w:p>
      <w:pPr>
        <w:spacing w:line="480" w:lineRule="auto"/>
        <w:ind w:left="720" w:hanging="720"/>
      </w:pPr>
      <w:r>
        <w:rPr>
          <w:rFonts w:ascii="Times New Roman" w:hAnsi="Times New Roman"/>
          <w:sz w:val="24"/>
        </w:rPr>
        <w:t>Bucinca, Z., Malaya, M. B., &amp; Gajos, K. Z. (2021). To trust or to think: Cognitive forcing functions can reduce overreliance on AI in AI-assisted decision making. Proceedings of the ACM on Human-Computer Interaction, 5(CSCW1), Article 188.</w:t>
      </w:r>
    </w:p>
    <w:p>
      <w:pPr>
        <w:spacing w:line="480" w:lineRule="auto"/>
        <w:ind w:left="720" w:hanging="720"/>
      </w:pPr>
      <w:r>
        <w:rPr>
          <w:rFonts w:ascii="Times New Roman" w:hAnsi="Times New Roman"/>
          <w:sz w:val="24"/>
        </w:rPr>
        <w:t>Collins, A., Brown, J. S., &amp; Holum, A. (1991). Cognitive apprenticeship: Making thinking visible. American Educator, 15(3), 6-11.</w:t>
      </w:r>
    </w:p>
    <w:p>
      <w:pPr>
        <w:spacing w:line="480" w:lineRule="auto"/>
        <w:ind w:left="720" w:hanging="720"/>
      </w:pPr>
      <w:r>
        <w:rPr>
          <w:rFonts w:ascii="Times New Roman" w:hAnsi="Times New Roman"/>
          <w:sz w:val="24"/>
        </w:rPr>
        <w:t>Collins, A., Brown, J. S., &amp; Newman, S. E. (1989). Cognitive apprenticeship: Teaching the crafts of reading, writing, and mathematics. In L. B. Resnick (Ed.), Knowing, learning, and instruction: Essays in honor of Robert Glaser (pp. 453-494). Lawrence Erlbaum Associates.</w:t>
      </w:r>
    </w:p>
    <w:p>
      <w:pPr>
        <w:spacing w:line="480" w:lineRule="auto"/>
        <w:ind w:left="720" w:hanging="720"/>
      </w:pPr>
      <w:r>
        <w:rPr>
          <w:rFonts w:ascii="Times New Roman" w:hAnsi="Times New Roman"/>
          <w:sz w:val="24"/>
        </w:rPr>
        <w:t>Herrington, J., Reeves, T. C., &amp; Oliver, R. (2010). A guide to authentic e-learning. Routledge.</w:t>
      </w:r>
    </w:p>
    <w:p>
      <w:pPr>
        <w:spacing w:line="480" w:lineRule="auto"/>
        <w:ind w:left="720" w:hanging="720"/>
      </w:pPr>
      <w:r>
        <w:rPr>
          <w:rFonts w:ascii="Times New Roman" w:hAnsi="Times New Roman"/>
          <w:sz w:val="24"/>
        </w:rPr>
        <w:t>Li, Z., Zhang, Y., &amp; Zhao, H. (2025). More agents is less: Scaling properties of multi-agent LLM systems. arXiv:2602.03794.</w:t>
      </w:r>
    </w:p>
    <w:p>
      <w:pPr>
        <w:spacing w:line="480" w:lineRule="auto"/>
        <w:ind w:left="720" w:hanging="720"/>
      </w:pPr>
      <w:r>
        <w:rPr>
          <w:rFonts w:ascii="Times New Roman" w:hAnsi="Times New Roman"/>
          <w:sz w:val="24"/>
        </w:rPr>
        <w:t>Markauskaite, L., &amp; Goodyear, P. (2017). Epistemic fluency and professional education: Innovation, knowledgeable action and actionable knowledge. Springer.</w:t>
      </w:r>
    </w:p>
    <w:p>
      <w:pPr>
        <w:spacing w:line="480" w:lineRule="auto"/>
        <w:ind w:left="720" w:hanging="720"/>
      </w:pPr>
      <w:r>
        <w:rPr>
          <w:rFonts w:ascii="Times New Roman" w:hAnsi="Times New Roman"/>
          <w:sz w:val="24"/>
        </w:rPr>
        <w:t>McKenney, S., &amp; Reeves, T. C. (2012). Conducting educational design research. Routledge.</w:t>
      </w:r>
    </w:p>
    <w:p>
      <w:pPr>
        <w:spacing w:line="480" w:lineRule="auto"/>
        <w:ind w:left="720" w:hanging="720"/>
      </w:pPr>
      <w:r>
        <w:rPr>
          <w:rFonts w:ascii="Times New Roman" w:hAnsi="Times New Roman"/>
          <w:sz w:val="24"/>
        </w:rPr>
        <w:t>Smith, K. M. (2010). Producing the rigorous design case. International Journal of Designs for Learning, 1(1), 9-20.</w:t>
      </w:r>
    </w:p>
    <w:p>
      <w:pPr>
        <w:spacing w:line="480" w:lineRule="auto"/>
        <w:ind w:left="720" w:hanging="720"/>
      </w:pPr>
      <w:r>
        <w:rPr>
          <w:rFonts w:ascii="Times New Roman" w:hAnsi="Times New Roman"/>
          <w:sz w:val="24"/>
        </w:rPr>
        <w:t>Wang, T., Yu, P., &amp; Zha, D. (2024). Mixture-of-agents yields emergent collaborative intelligence. Together AI Technical Report.</w:t>
      </w:r>
    </w:p>
    <w:p>
      <w:pPr>
        <w:spacing w:line="480" w:lineRule="auto"/>
        <w:ind w:left="720" w:hanging="720"/>
      </w:pPr>
      <w:r>
        <w:rPr>
          <w:rFonts w:ascii="Times New Roman" w:hAnsi="Times New Roman"/>
          <w:sz w:val="24"/>
        </w:rPr>
        <w:t>Yang, M., &amp; Harbor, J. (2023). Authentic learning design failures: The need for learner and contextual analysis and participatory design. International Journal of Designs for Learning, 14(1), 88-105.</w:t>
      </w:r>
    </w:p>
    <w:p>
      <w:pPr>
        <w:spacing w:line="480" w:lineRule="auto"/>
        <w:ind w:left="720" w:hanging="720"/>
      </w:pPr>
      <w:r>
        <w:rPr>
          <w:rFonts w:ascii="Times New Roman" w:hAnsi="Times New Roman"/>
          <w:sz w:val="24"/>
        </w:rPr>
        <w:t>Zhao, Y., Huang, J., &amp; Chen, X. (2024). Verbalized sampling for language model selection. arXiv:2510.01171.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