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360"/>
        <w:jc w:val="center"/>
      </w:pPr>
      <w:r>
        <w:rPr>
          <w:rFonts w:ascii="Times New Roman" w:hAnsi="Times New Roman"/>
          <w:b/>
          <w:sz w:val="28"/>
        </w:rPr>
        <w:t>Paper 2 Outline: BJET Special Issue</w:t>
      </w:r>
    </w:p>
    <w:p>
      <w:pPr>
        <w:spacing w:line="480" w:lineRule="auto" w:before="360"/>
        <w:jc w:val="center"/>
      </w:pPr>
      <w:r>
        <w:rPr>
          <w:rFonts w:ascii="Times New Roman" w:hAnsi="Times New Roman"/>
          <w:b/>
          <w:sz w:val="28"/>
        </w:rPr>
        <w:t>Checkpoint-Mediated Agency Analysis</w:t>
      </w:r>
    </w:p>
    <w:p>
      <w:pPr>
        <w:spacing w:line="480" w:lineRule="auto"/>
      </w:pPr>
      <w:r>
        <w:rPr>
          <w:rFonts w:ascii="Times New Roman" w:hAnsi="Times New Roman"/>
          <w:sz w:val="24"/>
        </w:rPr>
        <w:t>Target: BJET Special Issue "Agentic AI in Education: Artificial Agency and the Social-Cognitive Dynamics of Learning" (SI-2026-000285)</w:t>
      </w:r>
    </w:p>
    <w:p>
      <w:pPr>
        <w:spacing w:line="480" w:lineRule="auto"/>
      </w:pPr>
      <w:r>
        <w:rPr>
          <w:rFonts w:ascii="Times New Roman" w:hAnsi="Times New Roman"/>
          <w:sz w:val="24"/>
        </w:rPr>
        <w:t>Track: Methodological Approaches for Studying Artificial Agency</w:t>
      </w:r>
    </w:p>
    <w:p>
      <w:pPr>
        <w:spacing w:line="480" w:lineRule="auto"/>
      </w:pPr>
      <w:r>
        <w:rPr>
          <w:rFonts w:ascii="Times New Roman" w:hAnsi="Times New Roman"/>
          <w:sz w:val="24"/>
        </w:rPr>
        <w:t>Format: Conceptual/methodological paper (~6,000 words, excluding references)</w:t>
      </w:r>
    </w:p>
    <w:p>
      <w:pPr>
        <w:spacing w:line="480" w:lineRule="auto"/>
      </w:pPr>
      <w:r>
        <w:rPr>
          <w:rFonts w:ascii="Times New Roman" w:hAnsi="Times New Roman"/>
          <w:sz w:val="24"/>
        </w:rPr>
        <w:t>Abstract deadline: 2026-08-01  |  Full manuscript: 2026-10-28</w:t>
      </w:r>
    </w:p>
    <w:p>
      <w:pPr>
        <w:spacing w:line="480" w:lineRule="auto"/>
      </w:pPr>
      <w:r>
        <w:rPr>
          <w:rFonts w:ascii="Times New Roman" w:hAnsi="Times New Roman"/>
          <w:sz w:val="24"/>
        </w:rPr>
        <w:t>Relationship: Paper 1 (IJDL Design Case) provides the design story; this paper reframes Diverga as artificial agency and proposes a methodology for studying it. Paper 3 (Computers &amp; Education) applies this methodology empirically.</w:t>
      </w:r>
    </w:p>
    <w:p>
      <w:pPr>
        <w:spacing w:line="480" w:lineRule="auto" w:before="360"/>
        <w:jc w:val="center"/>
      </w:pPr>
      <w:r>
        <w:rPr>
          <w:rFonts w:ascii="Times New Roman" w:hAnsi="Times New Roman"/>
          <w:b/>
          <w:sz w:val="28"/>
        </w:rPr>
        <w:t>Overview</w:t>
      </w:r>
    </w:p>
    <w:p>
      <w:pPr>
        <w:spacing w:line="480" w:lineRule="auto"/>
        <w:ind w:firstLine="720"/>
      </w:pPr>
      <w:r>
        <w:rPr>
          <w:rFonts w:ascii="Times New Roman" w:hAnsi="Times New Roman"/>
          <w:sz w:val="24"/>
        </w:rPr>
        <w:t>Agentic AI systems are entering educational contexts, but researchers lack validated methodologies for measuring artificial agency and distinguishing it from conventional tool-based assistance. This paper proposes Checkpoint-Mediated Agency Analysis (CMAA), a methodology that leverages structured human-AI interaction points in checkpoint-governed multi-agent systems as natural measurement instruments for studying artificial agency effects.</w:t>
      </w:r>
    </w:p>
    <w:p>
      <w:pPr>
        <w:spacing w:line="480" w:lineRule="auto"/>
        <w:ind w:firstLine="720"/>
      </w:pPr>
      <w:r>
        <w:rPr>
          <w:rFonts w:ascii="Times New Roman" w:hAnsi="Times New Roman"/>
          <w:sz w:val="24"/>
        </w:rPr>
        <w:t>The paper integrates two theoretical foundations. Floridi's (2025) artificial agency framework provides the ontological grounding, defining agency through three criteria: interactivity, bounded autonomy, and adaptability. Authentic Learning theory (Herrington, Reeves, &amp; Oliver, 2010) provides the pedagogical grounding, specifying what design elements promote deep engagement and transfer in educational contexts. Diverga, a 24-agent AI research methodology assistant, serves as the proof-of-concept case for developing and illustrating CMAA.</w:t>
      </w:r>
    </w:p>
    <w:p>
      <w:pPr>
        <w:spacing w:line="480" w:lineRule="auto" w:before="360"/>
        <w:jc w:val="center"/>
      </w:pPr>
      <w:r>
        <w:rPr>
          <w:rFonts w:ascii="Times New Roman" w:hAnsi="Times New Roman"/>
          <w:b/>
          <w:sz w:val="28"/>
        </w:rPr>
        <w:t>Paper Structure</w:t>
      </w:r>
    </w:p>
    <w:p>
      <w:pPr>
        <w:spacing w:line="480" w:lineRule="auto" w:before="280"/>
      </w:pPr>
      <w:r>
        <w:rPr>
          <w:rFonts w:ascii="Times New Roman" w:hAnsi="Times New Roman"/>
          <w:b/>
          <w:sz w:val="24"/>
        </w:rPr>
        <w:t>1. Introduction (~800 words)</w:t>
      </w:r>
    </w:p>
    <w:p>
      <w:pPr>
        <w:spacing w:line="480" w:lineRule="auto"/>
        <w:ind w:firstLine="720"/>
      </w:pPr>
      <w:r>
        <w:rPr>
          <w:rFonts w:ascii="Times New Roman" w:hAnsi="Times New Roman"/>
          <w:sz w:val="24"/>
        </w:rPr>
        <w:t>The shift from AI-as-tool to AI-as-agent in education creates a measurement gap. Existing methods for studying educational technology (usability testing, learning analytics, pre-post designs) were developed for reactive or tool-based systems. Agentic AI systems, which maintain persistent goals, initiate interactions, and coordinate multiple sub-processes, require new methodological approaches that capture the process-level dynamics of artificial agency.</w:t>
      </w:r>
    </w:p>
    <w:p>
      <w:pPr>
        <w:spacing w:line="480" w:lineRule="auto"/>
        <w:ind w:left="720" w:hanging="357"/>
      </w:pPr>
      <w:r>
        <w:rPr>
          <w:rFonts w:ascii="Times New Roman" w:hAnsi="Times New Roman"/>
          <w:sz w:val="22"/>
        </w:rPr>
        <w:t>•  Floridi (2025): artificial agency = computational, goal-directed action defined by interactivity, bounded autonomy, and adaptability; distinct from intelligence, consciousness, or intentionality</w:t>
      </w:r>
    </w:p>
    <w:p>
      <w:pPr>
        <w:spacing w:line="480" w:lineRule="auto"/>
        <w:ind w:left="720" w:hanging="357"/>
      </w:pPr>
      <w:r>
        <w:rPr>
          <w:rFonts w:ascii="Times New Roman" w:hAnsi="Times New Roman"/>
          <w:sz w:val="22"/>
        </w:rPr>
        <w:t>•  The CFP distinction: reactive AIED vs. generative AI assistants vs. agentic AI; need for methods that operationalize this distinction empirically</w:t>
      </w:r>
    </w:p>
    <w:p>
      <w:pPr>
        <w:spacing w:line="480" w:lineRule="auto"/>
        <w:ind w:left="720" w:hanging="357"/>
      </w:pPr>
      <w:r>
        <w:rPr>
          <w:rFonts w:ascii="Times New Roman" w:hAnsi="Times New Roman"/>
          <w:sz w:val="22"/>
        </w:rPr>
        <w:t>•  Gap: no published methodology specifically designed to measure artificial agency effects in educational multi-agent systems</w:t>
      </w:r>
    </w:p>
    <w:p>
      <w:pPr>
        <w:spacing w:line="480" w:lineRule="auto"/>
        <w:ind w:left="720" w:hanging="357"/>
      </w:pPr>
      <w:r>
        <w:rPr>
          <w:rFonts w:ascii="Times New Roman" w:hAnsi="Times New Roman"/>
          <w:sz w:val="22"/>
        </w:rPr>
        <w:t>•  Contribution: CMAA as a transferable methodology, demonstrated through the case of Diverga</w:t>
      </w:r>
    </w:p>
    <w:p>
      <w:pPr>
        <w:spacing w:line="480" w:lineRule="auto" w:before="280"/>
      </w:pPr>
      <w:r>
        <w:rPr>
          <w:rFonts w:ascii="Times New Roman" w:hAnsi="Times New Roman"/>
          <w:b/>
          <w:sz w:val="24"/>
        </w:rPr>
        <w:t>2. Theoretical Framework (~1,200 words)</w:t>
      </w:r>
    </w:p>
    <w:p>
      <w:pPr>
        <w:spacing w:line="480" w:lineRule="auto" w:before="160"/>
      </w:pPr>
      <w:r>
        <w:rPr>
          <w:rFonts w:ascii="Times New Roman" w:hAnsi="Times New Roman"/>
          <w:b/>
          <w:i/>
          <w:sz w:val="24"/>
        </w:rPr>
        <w:t>2.1 Artificial Agency (Floridi, 2025)</w:t>
      </w:r>
    </w:p>
    <w:p>
      <w:pPr>
        <w:spacing w:line="480" w:lineRule="auto"/>
        <w:ind w:firstLine="720"/>
      </w:pPr>
      <w:r>
        <w:rPr>
          <w:rFonts w:ascii="Times New Roman" w:hAnsi="Times New Roman"/>
          <w:sz w:val="24"/>
        </w:rPr>
        <w:t>Artificial agency is a computational, goal-directed mode of action defined by human purposes. Three minimal criteria distinguish agentic systems from tools:</w:t>
      </w:r>
    </w:p>
    <w:p>
      <w:pPr>
        <w:spacing w:line="480" w:lineRule="auto"/>
        <w:ind w:left="720" w:hanging="357"/>
      </w:pPr>
      <w:r>
        <w:rPr>
          <w:rFonts w:ascii="Times New Roman" w:hAnsi="Times New Roman"/>
          <w:sz w:val="22"/>
        </w:rPr>
        <w:t>•  Interactivity: reciprocal engagement with environment, not one-directional output</w:t>
      </w:r>
    </w:p>
    <w:p>
      <w:pPr>
        <w:spacing w:line="480" w:lineRule="auto"/>
        <w:ind w:left="720" w:hanging="357"/>
      </w:pPr>
      <w:r>
        <w:rPr>
          <w:rFonts w:ascii="Times New Roman" w:hAnsi="Times New Roman"/>
          <w:sz w:val="22"/>
        </w:rPr>
        <w:t>•  Bounded autonomy: capacity to initiate actions within programmed constraints, subject to human override</w:t>
      </w:r>
    </w:p>
    <w:p>
      <w:pPr>
        <w:spacing w:line="480" w:lineRule="auto"/>
        <w:ind w:left="720" w:hanging="357"/>
      </w:pPr>
      <w:r>
        <w:rPr>
          <w:rFonts w:ascii="Times New Roman" w:hAnsi="Times New Roman"/>
          <w:sz w:val="22"/>
        </w:rPr>
        <w:t>•  Adaptability: capacity to modify behavior based on feedback, going beyond fixed input-output mappings</w:t>
      </w:r>
    </w:p>
    <w:p>
      <w:pPr>
        <w:spacing w:line="480" w:lineRule="auto"/>
        <w:ind w:firstLine="720"/>
      </w:pPr>
      <w:r>
        <w:rPr>
          <w:rFonts w:ascii="Times New Roman" w:hAnsi="Times New Roman"/>
          <w:sz w:val="24"/>
        </w:rPr>
        <w:t>This framing avoids anthropomorphic attributions (intelligence, intent) while providing precise criteria for empirical operationalization.</w:t>
      </w:r>
    </w:p>
    <w:p>
      <w:pPr>
        <w:spacing w:line="480" w:lineRule="auto" w:before="160"/>
      </w:pPr>
      <w:r>
        <w:rPr>
          <w:rFonts w:ascii="Times New Roman" w:hAnsi="Times New Roman"/>
          <w:b/>
          <w:i/>
          <w:sz w:val="24"/>
        </w:rPr>
        <w:t>2.2 Authentic Learning (Herrington, Reeves, &amp; Oliver, 2010)</w:t>
      </w:r>
    </w:p>
    <w:p>
      <w:pPr>
        <w:spacing w:line="480" w:lineRule="auto"/>
        <w:ind w:firstLine="720"/>
      </w:pPr>
      <w:r>
        <w:rPr>
          <w:rFonts w:ascii="Times New Roman" w:hAnsi="Times New Roman"/>
          <w:sz w:val="24"/>
        </w:rPr>
        <w:t>Nine elements of authentic learning provide the pedagogical framework for understanding how agentic AI systems can scaffold learning. The elements (authentic context, authentic activity, multiple perspectives, collaboration, reflection, articulation, coaching and scaffolding, authentic assessment, expert performance modeling) offer both design criteria and analytical dimensions for evaluating whether artificial agency produces educationally productive interactions.</w:t>
      </w:r>
    </w:p>
    <w:p>
      <w:pPr>
        <w:spacing w:line="480" w:lineRule="auto" w:before="160"/>
      </w:pPr>
      <w:r>
        <w:rPr>
          <w:rFonts w:ascii="Times New Roman" w:hAnsi="Times New Roman"/>
          <w:b/>
          <w:i/>
          <w:sz w:val="24"/>
        </w:rPr>
        <w:t>2.3 Integration: Why Both Frameworks</w:t>
      </w:r>
    </w:p>
    <w:p>
      <w:pPr>
        <w:spacing w:line="480" w:lineRule="auto"/>
        <w:ind w:firstLine="720"/>
      </w:pPr>
      <w:r>
        <w:rPr>
          <w:rFonts w:ascii="Times New Roman" w:hAnsi="Times New Roman"/>
          <w:sz w:val="24"/>
        </w:rPr>
        <w:t>Floridi's framework tells us what artificial agency IS (interactivity, bounded autonomy, adaptability). Authentic Learning tells us what artificial agency should DO in educational contexts (scaffold deep engagement and transfer). CMAA integrates both: it measures the three agency criteria through checkpoint data while evaluating whether the agency manifests as authentic learning processes.</w:t>
      </w:r>
    </w:p>
    <w:tbl>
      <w:tblPr>
        <w:tblStyle w:val="TableGrid"/>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000000"/>
          <w:right w:val="none" w:sz="0" w:space="0" w:color="000000"/>
          <w:insideV w:val="none" w:sz="0" w:space="0" w:color="000000"/>
        </w:tblBorders>
      </w:tblPr>
      <w:tblGrid>
        <w:gridCol w:w="3120"/>
        <w:gridCol w:w="3120"/>
        <w:gridCol w:w="3120"/>
      </w:tblGrid>
      <w:tr>
        <w:tc>
          <w:tcPr>
            <w:tcW w:type="dxa" w:w="3120"/>
          </w:tcPr>
          <w:p>
            <w:r>
              <w:rPr>
                <w:rFonts w:ascii="Times New Roman" w:hAnsi="Times New Roman"/>
                <w:b/>
                <w:sz w:val="20"/>
              </w:rPr>
              <w:t>Floridi Criterion</w:t>
            </w:r>
          </w:p>
        </w:tc>
        <w:tc>
          <w:tcPr>
            <w:tcW w:type="dxa" w:w="3120"/>
          </w:tcPr>
          <w:p>
            <w:r>
              <w:rPr>
                <w:rFonts w:ascii="Times New Roman" w:hAnsi="Times New Roman"/>
                <w:b/>
                <w:sz w:val="20"/>
              </w:rPr>
              <w:t>Authentic Learning Connection</w:t>
            </w:r>
          </w:p>
        </w:tc>
        <w:tc>
          <w:tcPr>
            <w:tcW w:type="dxa" w:w="3120"/>
          </w:tcPr>
          <w:p>
            <w:r>
              <w:rPr>
                <w:rFonts w:ascii="Times New Roman" w:hAnsi="Times New Roman"/>
                <w:b/>
                <w:sz w:val="20"/>
              </w:rPr>
              <w:t>CMAA Measurement Point</w:t>
            </w:r>
          </w:p>
        </w:tc>
      </w:tr>
      <w:tr>
        <w:tc>
          <w:tcPr>
            <w:tcW w:type="dxa" w:w="3120"/>
          </w:tcPr>
          <w:p>
            <w:r>
              <w:rPr>
                <w:rFonts w:ascii="Times New Roman" w:hAnsi="Times New Roman"/>
                <w:sz w:val="20"/>
              </w:rPr>
              <w:t>Interactivity</w:t>
            </w:r>
          </w:p>
        </w:tc>
        <w:tc>
          <w:tcPr>
            <w:tcW w:type="dxa" w:w="3120"/>
          </w:tcPr>
          <w:p>
            <w:r>
              <w:rPr>
                <w:rFonts w:ascii="Times New Roman" w:hAnsi="Times New Roman"/>
                <w:sz w:val="20"/>
              </w:rPr>
              <w:t>Collaboration, Coaching</w:t>
            </w:r>
          </w:p>
        </w:tc>
        <w:tc>
          <w:tcPr>
            <w:tcW w:type="dxa" w:w="3120"/>
          </w:tcPr>
          <w:p>
            <w:r>
              <w:rPr>
                <w:rFonts w:ascii="Times New Roman" w:hAnsi="Times New Roman"/>
                <w:sz w:val="20"/>
              </w:rPr>
              <w:t>Checkpoint dialogue patterns; turn-taking quality</w:t>
            </w:r>
          </w:p>
        </w:tc>
      </w:tr>
      <w:tr>
        <w:tc>
          <w:tcPr>
            <w:tcW w:type="dxa" w:w="3120"/>
          </w:tcPr>
          <w:p>
            <w:r>
              <w:rPr>
                <w:rFonts w:ascii="Times New Roman" w:hAnsi="Times New Roman"/>
                <w:sz w:val="20"/>
              </w:rPr>
              <w:t>Bounded Autonomy</w:t>
            </w:r>
          </w:p>
        </w:tc>
        <w:tc>
          <w:tcPr>
            <w:tcW w:type="dxa" w:w="3120"/>
          </w:tcPr>
          <w:p>
            <w:r>
              <w:rPr>
                <w:rFonts w:ascii="Times New Roman" w:hAnsi="Times New Roman"/>
                <w:sz w:val="20"/>
              </w:rPr>
              <w:t>Scaffolding, Reflection</w:t>
            </w:r>
          </w:p>
        </w:tc>
        <w:tc>
          <w:tcPr>
            <w:tcW w:type="dxa" w:w="3120"/>
          </w:tcPr>
          <w:p>
            <w:r>
              <w:rPr>
                <w:rFonts w:ascii="Times New Roman" w:hAnsi="Times New Roman"/>
                <w:sz w:val="20"/>
              </w:rPr>
              <w:t>Override rate; governance constraint activation</w:t>
            </w:r>
          </w:p>
        </w:tc>
      </w:tr>
      <w:tr>
        <w:tc>
          <w:tcPr>
            <w:tcW w:type="dxa" w:w="3120"/>
          </w:tcPr>
          <w:p>
            <w:r>
              <w:rPr>
                <w:rFonts w:ascii="Times New Roman" w:hAnsi="Times New Roman"/>
                <w:sz w:val="20"/>
              </w:rPr>
              <w:t>Adaptability</w:t>
            </w:r>
          </w:p>
        </w:tc>
        <w:tc>
          <w:tcPr>
            <w:tcW w:type="dxa" w:w="3120"/>
          </w:tcPr>
          <w:p>
            <w:r>
              <w:rPr>
                <w:rFonts w:ascii="Times New Roman" w:hAnsi="Times New Roman"/>
                <w:sz w:val="20"/>
              </w:rPr>
              <w:t>Multiple Perspectives, Exploration</w:t>
            </w:r>
          </w:p>
        </w:tc>
        <w:tc>
          <w:tcPr>
            <w:tcW w:type="dxa" w:w="3120"/>
          </w:tcPr>
          <w:p>
            <w:r>
              <w:rPr>
                <w:rFonts w:ascii="Times New Roman" w:hAnsi="Times New Roman"/>
                <w:sz w:val="20"/>
              </w:rPr>
              <w:t>T-Score trajectory; recommendation diversity across sessions</w:t>
            </w:r>
          </w:p>
        </w:tc>
      </w:tr>
    </w:tbl>
    <w:p>
      <w:pPr>
        <w:spacing w:line="480" w:lineRule="auto"/>
      </w:pPr>
    </w:p>
    <w:p>
      <w:pPr>
        <w:spacing w:line="480" w:lineRule="auto" w:before="280"/>
      </w:pPr>
      <w:r>
        <w:rPr>
          <w:rFonts w:ascii="Times New Roman" w:hAnsi="Times New Roman"/>
          <w:b/>
          <w:sz w:val="24"/>
        </w:rPr>
        <w:t>3. Reframing Diverga as Artificial Agency (~800 words)</w:t>
      </w:r>
    </w:p>
    <w:p>
      <w:pPr>
        <w:spacing w:line="480" w:lineRule="auto"/>
        <w:ind w:firstLine="720"/>
      </w:pPr>
      <w:r>
        <w:rPr>
          <w:rFonts w:ascii="Times New Roman" w:hAnsi="Times New Roman"/>
          <w:sz w:val="24"/>
        </w:rPr>
        <w:t>Diverga is mapped to Floridi's three criteria to demonstrate how a concrete multi-agent educational system instantiates artificial agency. This section serves as the proof-of-concept grounding for CMAA.</w:t>
      </w:r>
    </w:p>
    <w:p>
      <w:pPr>
        <w:spacing w:line="480" w:lineRule="auto" w:before="160"/>
      </w:pPr>
      <w:r>
        <w:rPr>
          <w:rFonts w:ascii="Times New Roman" w:hAnsi="Times New Roman"/>
          <w:b/>
          <w:i/>
          <w:sz w:val="24"/>
        </w:rPr>
        <w:t>3.1 Interactivity</w:t>
      </w:r>
    </w:p>
    <w:p>
      <w:pPr>
        <w:spacing w:line="480" w:lineRule="auto"/>
        <w:ind w:left="720" w:hanging="357"/>
      </w:pPr>
      <w:r>
        <w:rPr>
          <w:rFonts w:ascii="Times New Roman" w:hAnsi="Times New Roman"/>
          <w:sz w:val="22"/>
        </w:rPr>
        <w:t>•  Agent-to-user: structured bidirectional exchanges at REQUIRED checkpoints (system presents VS alternatives with T-Scores, waits for researcher selection)</w:t>
      </w:r>
    </w:p>
    <w:p>
      <w:pPr>
        <w:spacing w:line="480" w:lineRule="auto"/>
        <w:ind w:left="720" w:hanging="357"/>
      </w:pPr>
      <w:r>
        <w:rPr>
          <w:rFonts w:ascii="Times New Roman" w:hAnsi="Times New Roman"/>
          <w:sz w:val="22"/>
        </w:rPr>
        <w:t>•  Agent-to-agent: 24 agents in dependency graph; upstream outputs feed downstream processing</w:t>
      </w:r>
    </w:p>
    <w:p>
      <w:pPr>
        <w:spacing w:line="480" w:lineRule="auto"/>
        <w:ind w:left="720" w:hanging="357"/>
      </w:pPr>
      <w:r>
        <w:rPr>
          <w:rFonts w:ascii="Times New Roman" w:hAnsi="Times New Roman"/>
          <w:sz w:val="22"/>
        </w:rPr>
        <w:t>•  Agent-to-environment: 3-Layer Memory System; agents adapt based on accumulated project state</w:t>
      </w:r>
    </w:p>
    <w:p>
      <w:pPr>
        <w:spacing w:line="480" w:lineRule="auto" w:before="160"/>
      </w:pPr>
      <w:r>
        <w:rPr>
          <w:rFonts w:ascii="Times New Roman" w:hAnsi="Times New Roman"/>
          <w:b/>
          <w:i/>
          <w:sz w:val="24"/>
        </w:rPr>
        <w:t>3.2 Bounded Autonomy</w:t>
      </w:r>
    </w:p>
    <w:p>
      <w:pPr>
        <w:spacing w:line="480" w:lineRule="auto"/>
        <w:ind w:left="720" w:hanging="357"/>
      </w:pPr>
      <w:r>
        <w:rPr>
          <w:rFonts w:ascii="Times New Roman" w:hAnsi="Times New Roman"/>
          <w:sz w:val="22"/>
        </w:rPr>
        <w:t>•  Autonomous within bounds: agents independently generate recommendations, calculate T-Scores, orchestrate pipelines</w:t>
      </w:r>
    </w:p>
    <w:p>
      <w:pPr>
        <w:spacing w:line="480" w:lineRule="auto"/>
        <w:ind w:left="720" w:hanging="357"/>
      </w:pPr>
      <w:r>
        <w:rPr>
          <w:rFonts w:ascii="Times New Roman" w:hAnsi="Times New Roman"/>
          <w:sz w:val="22"/>
        </w:rPr>
        <w:t>•  Bounded by checkpoints: 5 REQUIRED gates where system halts and defers to human judgment; Override Refusal prevents bypass</w:t>
      </w:r>
    </w:p>
    <w:p>
      <w:pPr>
        <w:spacing w:line="480" w:lineRule="auto"/>
        <w:ind w:left="720" w:hanging="357"/>
      </w:pPr>
      <w:r>
        <w:rPr>
          <w:rFonts w:ascii="Times New Roman" w:hAnsi="Times New Roman"/>
          <w:sz w:val="22"/>
        </w:rPr>
        <w:t>•  Bounded by architecture: model routing (Opus/Sonnet/Haiku), dependency graph, execution constraints</w:t>
      </w:r>
    </w:p>
    <w:p>
      <w:pPr>
        <w:spacing w:line="480" w:lineRule="auto" w:before="160"/>
      </w:pPr>
      <w:r>
        <w:rPr>
          <w:rFonts w:ascii="Times New Roman" w:hAnsi="Times New Roman"/>
          <w:b/>
          <w:i/>
          <w:sz w:val="24"/>
        </w:rPr>
        <w:t>3.3 Adaptability</w:t>
      </w:r>
    </w:p>
    <w:p>
      <w:pPr>
        <w:spacing w:line="480" w:lineRule="auto"/>
        <w:ind w:left="720" w:hanging="357"/>
      </w:pPr>
      <w:r>
        <w:rPr>
          <w:rFonts w:ascii="Times New Roman" w:hAnsi="Times New Roman"/>
          <w:sz w:val="22"/>
        </w:rPr>
        <w:t>•  VS generates context-sensitive alternatives across the typicality spectrum, adapting to research question, paradigm, and prior decisions</w:t>
      </w:r>
    </w:p>
    <w:p>
      <w:pPr>
        <w:spacing w:line="480" w:lineRule="auto"/>
        <w:ind w:left="720" w:hanging="357"/>
      </w:pPr>
      <w:r>
        <w:rPr>
          <w:rFonts w:ascii="Times New Roman" w:hAnsi="Times New Roman"/>
          <w:sz w:val="22"/>
        </w:rPr>
        <w:t>•  3-Layer Memory enables cross-session adaptation</w:t>
      </w:r>
    </w:p>
    <w:p>
      <w:pPr>
        <w:spacing w:line="480" w:lineRule="auto"/>
        <w:ind w:left="720" w:hanging="357"/>
      </w:pPr>
      <w:r>
        <w:rPr>
          <w:rFonts w:ascii="Times New Roman" w:hAnsi="Times New Roman"/>
          <w:sz w:val="22"/>
        </w:rPr>
        <w:t>•  VS Arena: 5 epistemological personas adopt different evaluative stances, adapting framework rather than merely content</w:t>
      </w:r>
    </w:p>
    <w:p>
      <w:pPr>
        <w:spacing w:line="480" w:lineRule="auto" w:before="160"/>
      </w:pPr>
      <w:r>
        <w:rPr>
          <w:rFonts w:ascii="Times New Roman" w:hAnsi="Times New Roman"/>
          <w:b/>
          <w:i/>
          <w:sz w:val="24"/>
        </w:rPr>
        <w:t>3.4 Positioning on the AI Spectrum</w:t>
      </w:r>
    </w:p>
    <w:tbl>
      <w:tblPr>
        <w:tblStyle w:val="TableGrid"/>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000000"/>
          <w:right w:val="none" w:sz="0" w:space="0" w:color="000000"/>
          <w:insideV w:val="none" w:sz="0" w:space="0" w:color="000000"/>
        </w:tblBorders>
      </w:tblPr>
      <w:tblGrid>
        <w:gridCol w:w="3120"/>
        <w:gridCol w:w="3120"/>
        <w:gridCol w:w="3120"/>
      </w:tblGrid>
      <w:tr>
        <w:tc>
          <w:tcPr>
            <w:tcW w:type="dxa" w:w="3120"/>
          </w:tcPr>
          <w:p>
            <w:r>
              <w:rPr>
                <w:rFonts w:ascii="Times New Roman" w:hAnsi="Times New Roman"/>
                <w:b/>
                <w:sz w:val="20"/>
              </w:rPr>
              <w:t>Tier</w:t>
            </w:r>
          </w:p>
        </w:tc>
        <w:tc>
          <w:tcPr>
            <w:tcW w:type="dxa" w:w="3120"/>
          </w:tcPr>
          <w:p>
            <w:r>
              <w:rPr>
                <w:rFonts w:ascii="Times New Roman" w:hAnsi="Times New Roman"/>
                <w:b/>
                <w:sz w:val="20"/>
              </w:rPr>
              <w:t>Characteristics</w:t>
            </w:r>
          </w:p>
        </w:tc>
        <w:tc>
          <w:tcPr>
            <w:tcW w:type="dxa" w:w="3120"/>
          </w:tcPr>
          <w:p>
            <w:r>
              <w:rPr>
                <w:rFonts w:ascii="Times New Roman" w:hAnsi="Times New Roman"/>
                <w:b/>
                <w:sz w:val="20"/>
              </w:rPr>
              <w:t>Diverga Comparison</w:t>
            </w:r>
          </w:p>
        </w:tc>
      </w:tr>
      <w:tr>
        <w:tc>
          <w:tcPr>
            <w:tcW w:type="dxa" w:w="3120"/>
          </w:tcPr>
          <w:p>
            <w:r>
              <w:rPr>
                <w:rFonts w:ascii="Times New Roman" w:hAnsi="Times New Roman"/>
                <w:sz w:val="20"/>
              </w:rPr>
              <w:t>Reactive AIED</w:t>
            </w:r>
          </w:p>
        </w:tc>
        <w:tc>
          <w:tcPr>
            <w:tcW w:type="dxa" w:w="3120"/>
          </w:tcPr>
          <w:p>
            <w:r>
              <w:rPr>
                <w:rFonts w:ascii="Times New Roman" w:hAnsi="Times New Roman"/>
                <w:sz w:val="20"/>
              </w:rPr>
              <w:t>Fixed rules, predetermined responses</w:t>
            </w:r>
          </w:p>
        </w:tc>
        <w:tc>
          <w:tcPr>
            <w:tcW w:type="dxa" w:w="3120"/>
          </w:tcPr>
          <w:p>
            <w:r>
              <w:rPr>
                <w:rFonts w:ascii="Times New Roman" w:hAnsi="Times New Roman"/>
                <w:sz w:val="20"/>
              </w:rPr>
              <w:t>Fundamentally different: generates novel recommendations, adapts to context</w:t>
            </w:r>
          </w:p>
        </w:tc>
      </w:tr>
      <w:tr>
        <w:tc>
          <w:tcPr>
            <w:tcW w:type="dxa" w:w="3120"/>
          </w:tcPr>
          <w:p>
            <w:r>
              <w:rPr>
                <w:rFonts w:ascii="Times New Roman" w:hAnsi="Times New Roman"/>
                <w:sz w:val="20"/>
              </w:rPr>
              <w:t>Generative AI Assistants</w:t>
            </w:r>
          </w:p>
        </w:tc>
        <w:tc>
          <w:tcPr>
            <w:tcW w:type="dxa" w:w="3120"/>
          </w:tcPr>
          <w:p>
            <w:r>
              <w:rPr>
                <w:rFonts w:ascii="Times New Roman" w:hAnsi="Times New Roman"/>
                <w:sz w:val="20"/>
              </w:rPr>
              <w:t>Prompt-driven, episodic, user-initiated</w:t>
            </w:r>
          </w:p>
        </w:tc>
        <w:tc>
          <w:tcPr>
            <w:tcW w:type="dxa" w:w="3120"/>
          </w:tcPr>
          <w:p>
            <w:r>
              <w:rPr>
                <w:rFonts w:ascii="Times New Roman" w:hAnsi="Times New Roman"/>
                <w:sz w:val="20"/>
              </w:rPr>
              <w:t>Shares generative foundation but adds persistent state, checkpoint governance, multi-agent coordination</w:t>
            </w:r>
          </w:p>
        </w:tc>
      </w:tr>
      <w:tr>
        <w:tc>
          <w:tcPr>
            <w:tcW w:type="dxa" w:w="3120"/>
          </w:tcPr>
          <w:p>
            <w:r>
              <w:rPr>
                <w:rFonts w:ascii="Times New Roman" w:hAnsi="Times New Roman"/>
                <w:sz w:val="20"/>
              </w:rPr>
              <w:t>Agentic AI</w:t>
            </w:r>
          </w:p>
        </w:tc>
        <w:tc>
          <w:tcPr>
            <w:tcW w:type="dxa" w:w="3120"/>
          </w:tcPr>
          <w:p>
            <w:r>
              <w:rPr>
                <w:rFonts w:ascii="Times New Roman" w:hAnsi="Times New Roman"/>
                <w:sz w:val="20"/>
              </w:rPr>
              <w:t>Goal-directed, semi-autonomous, coordinated</w:t>
            </w:r>
          </w:p>
        </w:tc>
        <w:tc>
          <w:tcPr>
            <w:tcW w:type="dxa" w:w="3120"/>
          </w:tcPr>
          <w:p>
            <w:r>
              <w:rPr>
                <w:rFonts w:ascii="Times New Roman" w:hAnsi="Times New Roman"/>
                <w:sz w:val="20"/>
              </w:rPr>
              <w:t>Diverga occupies this tier: 24-agent architecture with prerequisite enforcement, persistent memory, checkpoint governance</w:t>
            </w:r>
          </w:p>
        </w:tc>
      </w:tr>
    </w:tbl>
    <w:p>
      <w:pPr>
        <w:spacing w:line="480" w:lineRule="auto"/>
      </w:pPr>
    </w:p>
    <w:p>
      <w:pPr>
        <w:spacing w:line="480" w:lineRule="auto" w:before="280"/>
      </w:pPr>
      <w:r>
        <w:rPr>
          <w:rFonts w:ascii="Times New Roman" w:hAnsi="Times New Roman"/>
          <w:b/>
          <w:sz w:val="24"/>
        </w:rPr>
        <w:t>4. Checkpoint-Mediated Agency Analysis (CMAA) (~1,500 words)</w:t>
      </w:r>
    </w:p>
    <w:p>
      <w:pPr>
        <w:spacing w:line="480" w:lineRule="auto"/>
        <w:ind w:firstLine="720"/>
      </w:pPr>
      <w:r>
        <w:rPr>
          <w:rFonts w:ascii="Times New Roman" w:hAnsi="Times New Roman"/>
          <w:sz w:val="24"/>
        </w:rPr>
        <w:t>CMAA is the primary methodological contribution. It treats human checkpoints in multi-agent systems as naturally occurring measurement instruments for studying artificial agency effects.</w:t>
      </w:r>
    </w:p>
    <w:p>
      <w:pPr>
        <w:spacing w:line="480" w:lineRule="auto" w:before="160"/>
      </w:pPr>
      <w:r>
        <w:rPr>
          <w:rFonts w:ascii="Times New Roman" w:hAnsi="Times New Roman"/>
          <w:b/>
          <w:i/>
          <w:sz w:val="24"/>
        </w:rPr>
        <w:t>4.1 Checkpoints as Measurement Instruments</w:t>
      </w:r>
    </w:p>
    <w:p>
      <w:pPr>
        <w:spacing w:line="480" w:lineRule="auto"/>
        <w:ind w:firstLine="720"/>
      </w:pPr>
      <w:r>
        <w:rPr>
          <w:rFonts w:ascii="Times New Roman" w:hAnsi="Times New Roman"/>
          <w:sz w:val="24"/>
        </w:rPr>
        <w:t>In checkpoint-governed agentic AI systems, every REQUIRED checkpoint generates a naturally occurring data point where human and artificial agency intersect. At each checkpoint, the system presents AI-generated alternatives (with T-Scores), and the researcher must evaluate, select, and articulate rationale. This creates three simultaneous data streams:</w:t>
      </w:r>
    </w:p>
    <w:p>
      <w:pPr>
        <w:spacing w:line="480" w:lineRule="auto"/>
        <w:ind w:left="720" w:hanging="357"/>
      </w:pPr>
      <w:r>
        <w:rPr>
          <w:rFonts w:ascii="Times New Roman" w:hAnsi="Times New Roman"/>
          <w:sz w:val="22"/>
        </w:rPr>
        <w:t>•  Behavioral: what was selected, how long deliberation took, which T-Score range was chosen</w:t>
      </w:r>
    </w:p>
    <w:p>
      <w:pPr>
        <w:spacing w:line="480" w:lineRule="auto"/>
        <w:ind w:left="720" w:hanging="357"/>
      </w:pPr>
      <w:r>
        <w:rPr>
          <w:rFonts w:ascii="Times New Roman" w:hAnsi="Times New Roman"/>
          <w:sz w:val="22"/>
        </w:rPr>
        <w:t>•  Cognitive: think-aloud verbalization of reasoning during checkpoint interaction</w:t>
      </w:r>
    </w:p>
    <w:p>
      <w:pPr>
        <w:spacing w:line="480" w:lineRule="auto"/>
        <w:ind w:left="720" w:hanging="357"/>
      </w:pPr>
      <w:r>
        <w:rPr>
          <w:rFonts w:ascii="Times New Roman" w:hAnsi="Times New Roman"/>
          <w:sz w:val="22"/>
        </w:rPr>
        <w:t>•  Artifactual: the Decision Audit Trail (decision-log.yaml) as persistent record</w:t>
      </w:r>
    </w:p>
    <w:p>
      <w:pPr>
        <w:spacing w:line="480" w:lineRule="auto" w:before="160"/>
      </w:pPr>
      <w:r>
        <w:rPr>
          <w:rFonts w:ascii="Times New Roman" w:hAnsi="Times New Roman"/>
          <w:b/>
          <w:i/>
          <w:sz w:val="24"/>
        </w:rPr>
        <w:t>4.2 Five Indicators for Distinguishing Agentic from Tool-Based Assistance</w:t>
      </w:r>
    </w:p>
    <w:p>
      <w:pPr>
        <w:spacing w:line="480" w:lineRule="auto"/>
        <w:ind w:firstLine="720"/>
      </w:pPr>
      <w:r>
        <w:rPr>
          <w:rFonts w:ascii="Times New Roman" w:hAnsi="Times New Roman"/>
          <w:sz w:val="24"/>
        </w:rPr>
        <w:t>CMAA proposes five operationalized indicators that distinguish agentic participation from tool-based assistance:</w:t>
      </w:r>
    </w:p>
    <w:tbl>
      <w:tblPr>
        <w:tblStyle w:val="TableGrid"/>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000000"/>
          <w:right w:val="none" w:sz="0" w:space="0" w:color="000000"/>
          <w:insideV w:val="none" w:sz="0" w:space="0" w:color="000000"/>
        </w:tblBorders>
      </w:tblPr>
      <w:tblGrid>
        <w:gridCol w:w="3120"/>
        <w:gridCol w:w="3120"/>
        <w:gridCol w:w="3120"/>
      </w:tblGrid>
      <w:tr>
        <w:tc>
          <w:tcPr>
            <w:tcW w:type="dxa" w:w="3120"/>
          </w:tcPr>
          <w:p>
            <w:r>
              <w:rPr>
                <w:rFonts w:ascii="Times New Roman" w:hAnsi="Times New Roman"/>
                <w:b/>
                <w:sz w:val="20"/>
              </w:rPr>
              <w:t>Indicator</w:t>
            </w:r>
          </w:p>
        </w:tc>
        <w:tc>
          <w:tcPr>
            <w:tcW w:type="dxa" w:w="3120"/>
          </w:tcPr>
          <w:p>
            <w:r>
              <w:rPr>
                <w:rFonts w:ascii="Times New Roman" w:hAnsi="Times New Roman"/>
                <w:b/>
                <w:sz w:val="20"/>
              </w:rPr>
              <w:t>Definition</w:t>
            </w:r>
          </w:p>
        </w:tc>
        <w:tc>
          <w:tcPr>
            <w:tcW w:type="dxa" w:w="3120"/>
          </w:tcPr>
          <w:p>
            <w:r>
              <w:rPr>
                <w:rFonts w:ascii="Times New Roman" w:hAnsi="Times New Roman"/>
                <w:b/>
                <w:sz w:val="20"/>
              </w:rPr>
              <w:t>Measurement</w:t>
            </w:r>
          </w:p>
        </w:tc>
      </w:tr>
      <w:tr>
        <w:tc>
          <w:tcPr>
            <w:tcW w:type="dxa" w:w="3120"/>
          </w:tcPr>
          <w:p>
            <w:r>
              <w:rPr>
                <w:rFonts w:ascii="Times New Roman" w:hAnsi="Times New Roman"/>
                <w:sz w:val="20"/>
              </w:rPr>
              <w:t>Proactive Intervention Rate (PIR)</w:t>
            </w:r>
          </w:p>
        </w:tc>
        <w:tc>
          <w:tcPr>
            <w:tcW w:type="dxa" w:w="3120"/>
          </w:tcPr>
          <w:p>
            <w:r>
              <w:rPr>
                <w:rFonts w:ascii="Times New Roman" w:hAnsi="Times New Roman"/>
                <w:sz w:val="20"/>
              </w:rPr>
              <w:t>Frequency of system-initiated interactions vs. user-initiated</w:t>
            </w:r>
          </w:p>
        </w:tc>
        <w:tc>
          <w:tcPr>
            <w:tcW w:type="dxa" w:w="3120"/>
          </w:tcPr>
          <w:p>
            <w:r>
              <w:rPr>
                <w:rFonts w:ascii="Times New Roman" w:hAnsi="Times New Roman"/>
                <w:sz w:val="20"/>
              </w:rPr>
              <w:t>Checkpoint triggers / total interactions</w:t>
            </w:r>
          </w:p>
        </w:tc>
      </w:tr>
      <w:tr>
        <w:tc>
          <w:tcPr>
            <w:tcW w:type="dxa" w:w="3120"/>
          </w:tcPr>
          <w:p>
            <w:r>
              <w:rPr>
                <w:rFonts w:ascii="Times New Roman" w:hAnsi="Times New Roman"/>
                <w:sz w:val="20"/>
              </w:rPr>
              <w:t>State Utilization Depth (SUD)</w:t>
            </w:r>
          </w:p>
        </w:tc>
        <w:tc>
          <w:tcPr>
            <w:tcW w:type="dxa" w:w="3120"/>
          </w:tcPr>
          <w:p>
            <w:r>
              <w:rPr>
                <w:rFonts w:ascii="Times New Roman" w:hAnsi="Times New Roman"/>
                <w:sz w:val="20"/>
              </w:rPr>
              <w:t>Extent to which system uses accumulated state to adapt behavior</w:t>
            </w:r>
          </w:p>
        </w:tc>
        <w:tc>
          <w:tcPr>
            <w:tcW w:type="dxa" w:w="3120"/>
          </w:tcPr>
          <w:p>
            <w:r>
              <w:rPr>
                <w:rFonts w:ascii="Times New Roman" w:hAnsi="Times New Roman"/>
                <w:sz w:val="20"/>
              </w:rPr>
              <w:t>Cross-session recommendation novelty; state reference frequency</w:t>
            </w:r>
          </w:p>
        </w:tc>
      </w:tr>
      <w:tr>
        <w:tc>
          <w:tcPr>
            <w:tcW w:type="dxa" w:w="3120"/>
          </w:tcPr>
          <w:p>
            <w:r>
              <w:rPr>
                <w:rFonts w:ascii="Times New Roman" w:hAnsi="Times New Roman"/>
                <w:sz w:val="20"/>
              </w:rPr>
              <w:t>Decision Space Expansion (DSE)</w:t>
            </w:r>
          </w:p>
        </w:tc>
        <w:tc>
          <w:tcPr>
            <w:tcW w:type="dxa" w:w="3120"/>
          </w:tcPr>
          <w:p>
            <w:r>
              <w:rPr>
                <w:rFonts w:ascii="Times New Roman" w:hAnsi="Times New Roman"/>
                <w:sz w:val="20"/>
              </w:rPr>
              <w:t>Degree to which system expands the alternatives available to the user</w:t>
            </w:r>
          </w:p>
        </w:tc>
        <w:tc>
          <w:tcPr>
            <w:tcW w:type="dxa" w:w="3120"/>
          </w:tcPr>
          <w:p>
            <w:r>
              <w:rPr>
                <w:rFonts w:ascii="Times New Roman" w:hAnsi="Times New Roman"/>
                <w:sz w:val="20"/>
              </w:rPr>
              <w:t>T-Score range presented; number of non-modal alternatives</w:t>
            </w:r>
          </w:p>
        </w:tc>
      </w:tr>
      <w:tr>
        <w:tc>
          <w:tcPr>
            <w:tcW w:type="dxa" w:w="3120"/>
          </w:tcPr>
          <w:p>
            <w:r>
              <w:rPr>
                <w:rFonts w:ascii="Times New Roman" w:hAnsi="Times New Roman"/>
                <w:sz w:val="20"/>
              </w:rPr>
              <w:t>Governance Constraint Activation (GCA)</w:t>
            </w:r>
          </w:p>
        </w:tc>
        <w:tc>
          <w:tcPr>
            <w:tcW w:type="dxa" w:w="3120"/>
          </w:tcPr>
          <w:p>
            <w:r>
              <w:rPr>
                <w:rFonts w:ascii="Times New Roman" w:hAnsi="Times New Roman"/>
                <w:sz w:val="20"/>
              </w:rPr>
              <w:t>Frequency and type of governance mechanisms triggered</w:t>
            </w:r>
          </w:p>
        </w:tc>
        <w:tc>
          <w:tcPr>
            <w:tcW w:type="dxa" w:w="3120"/>
          </w:tcPr>
          <w:p>
            <w:r>
              <w:rPr>
                <w:rFonts w:ascii="Times New Roman" w:hAnsi="Times New Roman"/>
                <w:sz w:val="20"/>
              </w:rPr>
              <w:t>Override Refusal events; prerequisite enforcement blocks</w:t>
            </w:r>
          </w:p>
        </w:tc>
      </w:tr>
      <w:tr>
        <w:tc>
          <w:tcPr>
            <w:tcW w:type="dxa" w:w="3120"/>
          </w:tcPr>
          <w:p>
            <w:r>
              <w:rPr>
                <w:rFonts w:ascii="Times New Roman" w:hAnsi="Times New Roman"/>
                <w:sz w:val="20"/>
              </w:rPr>
              <w:t>Coordination Complexity Index (CCI)</w:t>
            </w:r>
          </w:p>
        </w:tc>
        <w:tc>
          <w:tcPr>
            <w:tcW w:type="dxa" w:w="3120"/>
          </w:tcPr>
          <w:p>
            <w:r>
              <w:rPr>
                <w:rFonts w:ascii="Times New Roman" w:hAnsi="Times New Roman"/>
                <w:sz w:val="20"/>
              </w:rPr>
              <w:t>Degree of multi-agent coordination required to produce output</w:t>
            </w:r>
          </w:p>
        </w:tc>
        <w:tc>
          <w:tcPr>
            <w:tcW w:type="dxa" w:w="3120"/>
          </w:tcPr>
          <w:p>
            <w:r>
              <w:rPr>
                <w:rFonts w:ascii="Times New Roman" w:hAnsi="Times New Roman"/>
                <w:sz w:val="20"/>
              </w:rPr>
              <w:t>Number of agents activated; dependency chain depth</w:t>
            </w:r>
          </w:p>
        </w:tc>
      </w:tr>
    </w:tbl>
    <w:p>
      <w:pPr>
        <w:spacing w:line="480" w:lineRule="auto"/>
      </w:pPr>
    </w:p>
    <w:p>
      <w:pPr>
        <w:spacing w:line="480" w:lineRule="auto"/>
        <w:ind w:firstLine="720"/>
      </w:pPr>
      <w:r>
        <w:rPr>
          <w:rFonts w:ascii="Times New Roman" w:hAnsi="Times New Roman"/>
          <w:sz w:val="24"/>
        </w:rPr>
        <w:t>A tool-based assistant would show low PIR (responds only when prompted), minimal SUD (no state persistence), narrow DSE (modal recommendations), zero GCA (no governance), and CCI of 1 (single agent). An agentic system would show elevated values across all five indicators. The indicators provide a quantitative basis for the qualitative distinction between tool use and artificial agency.</w:t>
      </w:r>
    </w:p>
    <w:p>
      <w:pPr>
        <w:spacing w:line="480" w:lineRule="auto" w:before="160"/>
      </w:pPr>
      <w:r>
        <w:rPr>
          <w:rFonts w:ascii="Times New Roman" w:hAnsi="Times New Roman"/>
          <w:b/>
          <w:i/>
          <w:sz w:val="24"/>
        </w:rPr>
        <w:t>4.3 Process-Level Modelling</w:t>
      </w:r>
    </w:p>
    <w:p>
      <w:pPr>
        <w:spacing w:line="480" w:lineRule="auto"/>
        <w:ind w:firstLine="720"/>
      </w:pPr>
      <w:r>
        <w:rPr>
          <w:rFonts w:ascii="Times New Roman" w:hAnsi="Times New Roman"/>
          <w:sz w:val="24"/>
        </w:rPr>
        <w:t>CMAA enables two forms of process-level analysis:</w:t>
      </w:r>
    </w:p>
    <w:p>
      <w:pPr>
        <w:spacing w:line="480" w:lineRule="auto"/>
        <w:ind w:left="720" w:hanging="357"/>
      </w:pPr>
      <w:r>
        <w:rPr>
          <w:rFonts w:ascii="Times New Roman" w:hAnsi="Times New Roman"/>
          <w:sz w:val="22"/>
        </w:rPr>
        <w:t>•  Sequential Decision Mapping: tracing how decisions at early checkpoints propagate through subsequent agent outputs, revealing the path-dependent nature of AI-scaffolded research design</w:t>
      </w:r>
    </w:p>
    <w:p>
      <w:pPr>
        <w:spacing w:line="480" w:lineRule="auto"/>
        <w:ind w:left="720" w:hanging="357"/>
      </w:pPr>
      <w:r>
        <w:rPr>
          <w:rFonts w:ascii="Times New Roman" w:hAnsi="Times New Roman"/>
          <w:sz w:val="22"/>
        </w:rPr>
        <w:t>•  Typicality Trajectory Analysis: tracking T-Score selections across checkpoints to model how researchers navigate the typicality spectrum over time (e.g., initial modal preference shifting toward unconventional choices as familiarity grows)</w:t>
      </w:r>
    </w:p>
    <w:p>
      <w:pPr>
        <w:spacing w:line="480" w:lineRule="auto" w:before="160"/>
      </w:pPr>
      <w:r>
        <w:rPr>
          <w:rFonts w:ascii="Times New Roman" w:hAnsi="Times New Roman"/>
          <w:b/>
          <w:i/>
          <w:sz w:val="24"/>
        </w:rPr>
        <w:t>4.4 Authentic Learning Integration</w:t>
      </w:r>
    </w:p>
    <w:p>
      <w:pPr>
        <w:spacing w:line="480" w:lineRule="auto"/>
        <w:ind w:firstLine="720"/>
      </w:pPr>
      <w:r>
        <w:rPr>
          <w:rFonts w:ascii="Times New Roman" w:hAnsi="Times New Roman"/>
          <w:sz w:val="24"/>
        </w:rPr>
        <w:t>CMAA connects each indicator to authentic learning elements. PIR maps to coaching (the system initiates pedagogically relevant interactions). DSE maps to multiple perspectives (the system expands the epistemic horizon). GCA maps to scaffolding (governance constraints structure the learning experience). This integration ensures that CMAA measures not only whether agency is present but whether it manifests as educationally productive scaffolding.</w:t>
      </w:r>
    </w:p>
    <w:p>
      <w:pPr>
        <w:spacing w:line="480" w:lineRule="auto" w:before="280"/>
      </w:pPr>
      <w:r>
        <w:rPr>
          <w:rFonts w:ascii="Times New Roman" w:hAnsi="Times New Roman"/>
          <w:b/>
          <w:sz w:val="24"/>
        </w:rPr>
        <w:t>5. Proof-of-Concept Study Design (~1,000 words)</w:t>
      </w:r>
    </w:p>
    <w:p>
      <w:pPr>
        <w:spacing w:line="480" w:lineRule="auto"/>
        <w:ind w:firstLine="720"/>
      </w:pPr>
      <w:r>
        <w:rPr>
          <w:rFonts w:ascii="Times New Roman" w:hAnsi="Times New Roman"/>
          <w:sz w:val="24"/>
        </w:rPr>
        <w:t>A proof-of-concept study demonstrates CMAA's feasibility. This section outlines the design; full empirical results will be reported in Paper 3.</w:t>
      </w:r>
    </w:p>
    <w:p>
      <w:pPr>
        <w:spacing w:line="480" w:lineRule="auto" w:before="160"/>
      </w:pPr>
      <w:r>
        <w:rPr>
          <w:rFonts w:ascii="Times New Roman" w:hAnsi="Times New Roman"/>
          <w:b/>
          <w:i/>
          <w:sz w:val="24"/>
        </w:rPr>
        <w:t>5.1 Design</w:t>
      </w:r>
    </w:p>
    <w:p>
      <w:pPr>
        <w:spacing w:line="480" w:lineRule="auto"/>
        <w:ind w:firstLine="720"/>
      </w:pPr>
      <w:r>
        <w:rPr>
          <w:rFonts w:ascii="Times New Roman" w:hAnsi="Times New Roman"/>
          <w:sz w:val="24"/>
        </w:rPr>
        <w:t>Embedded mixed methods with within-subject comparison. Each participant completes a research design task without Diverga (tool-based condition: using ChatGPT or no AI) and with Diverga (agentic condition). CMAA indicators are measured in both conditions to operationalize the tool-vs-agent distinction.</w:t>
      </w:r>
    </w:p>
    <w:p>
      <w:pPr>
        <w:spacing w:line="480" w:lineRule="auto" w:before="160"/>
      </w:pPr>
      <w:r>
        <w:rPr>
          <w:rFonts w:ascii="Times New Roman" w:hAnsi="Times New Roman"/>
          <w:b/>
          <w:i/>
          <w:sz w:val="24"/>
        </w:rPr>
        <w:t>5.2 Participants</w:t>
      </w:r>
    </w:p>
    <w:p>
      <w:pPr>
        <w:spacing w:line="480" w:lineRule="auto"/>
        <w:ind w:left="720" w:hanging="357"/>
      </w:pPr>
      <w:r>
        <w:rPr>
          <w:rFonts w:ascii="Times New Roman" w:hAnsi="Times New Roman"/>
          <w:sz w:val="22"/>
        </w:rPr>
        <w:t>•  N = 4: social science doctoral students, comparative design (2 AI-knowledgeable + 2 AI-novice)</w:t>
      </w:r>
    </w:p>
    <w:p>
      <w:pPr>
        <w:spacing w:line="480" w:lineRule="auto"/>
        <w:ind w:left="720" w:hanging="357"/>
      </w:pPr>
      <w:r>
        <w:rPr>
          <w:rFonts w:ascii="Times New Roman" w:hAnsi="Times New Roman"/>
          <w:sz w:val="22"/>
        </w:rPr>
        <w:t>•  Profiling: AI knowledge, methodology expertise, disposition, disciplinary identity</w:t>
      </w:r>
    </w:p>
    <w:p>
      <w:pPr>
        <w:spacing w:line="480" w:lineRule="auto"/>
        <w:ind w:left="720" w:hanging="357"/>
      </w:pPr>
      <w:r>
        <w:rPr>
          <w:rFonts w:ascii="Times New Roman" w:hAnsi="Times New Roman"/>
          <w:sz w:val="22"/>
        </w:rPr>
        <w:t>•  Screening instrument captures four dimensions (see Paper 3 for full protocol)</w:t>
      </w:r>
    </w:p>
    <w:p>
      <w:pPr>
        <w:spacing w:line="480" w:lineRule="auto" w:before="160"/>
      </w:pPr>
      <w:r>
        <w:rPr>
          <w:rFonts w:ascii="Times New Roman" w:hAnsi="Times New Roman"/>
          <w:b/>
          <w:i/>
          <w:sz w:val="24"/>
        </w:rPr>
        <w:t>5.3 Data Collection</w:t>
      </w:r>
    </w:p>
    <w:p>
      <w:pPr>
        <w:spacing w:line="480" w:lineRule="auto"/>
        <w:ind w:left="720" w:hanging="357"/>
      </w:pPr>
      <w:r>
        <w:rPr>
          <w:rFonts w:ascii="Times New Roman" w:hAnsi="Times New Roman"/>
          <w:sz w:val="22"/>
        </w:rPr>
        <w:t>•  1:1 Zoom sessions (~2.5 hours each)</w:t>
      </w:r>
    </w:p>
    <w:p>
      <w:pPr>
        <w:spacing w:line="480" w:lineRule="auto"/>
        <w:ind w:left="720" w:hanging="357"/>
      </w:pPr>
      <w:r>
        <w:rPr>
          <w:rFonts w:ascii="Times New Roman" w:hAnsi="Times New Roman"/>
          <w:sz w:val="22"/>
        </w:rPr>
        <w:t>•  Pre-task (no AI) + Orientation + Post-task (with Diverga, think-aloud) + Re-design + Semi-structured interview</w:t>
      </w:r>
    </w:p>
    <w:p>
      <w:pPr>
        <w:spacing w:line="480" w:lineRule="auto"/>
        <w:ind w:left="720" w:hanging="357"/>
      </w:pPr>
      <w:r>
        <w:rPr>
          <w:rFonts w:ascii="Times New Roman" w:hAnsi="Times New Roman"/>
          <w:sz w:val="22"/>
        </w:rPr>
        <w:t>•  Data: checkpoint logs, think-aloud transcripts, screen recordings, interview transcripts, research design artifacts</w:t>
      </w:r>
    </w:p>
    <w:p>
      <w:pPr>
        <w:spacing w:line="480" w:lineRule="auto" w:before="160"/>
      </w:pPr>
      <w:r>
        <w:rPr>
          <w:rFonts w:ascii="Times New Roman" w:hAnsi="Times New Roman"/>
          <w:b/>
          <w:i/>
          <w:sz w:val="24"/>
        </w:rPr>
        <w:t>5.4 Analysis</w:t>
      </w:r>
    </w:p>
    <w:p>
      <w:pPr>
        <w:spacing w:line="480" w:lineRule="auto"/>
        <w:ind w:left="720" w:hanging="357"/>
      </w:pPr>
      <w:r>
        <w:rPr>
          <w:rFonts w:ascii="Times New Roman" w:hAnsi="Times New Roman"/>
          <w:sz w:val="22"/>
        </w:rPr>
        <w:t>•  CMAA indicators calculated for both conditions per participant</w:t>
      </w:r>
    </w:p>
    <w:p>
      <w:pPr>
        <w:spacing w:line="480" w:lineRule="auto"/>
        <w:ind w:left="720" w:hanging="357"/>
      </w:pPr>
      <w:r>
        <w:rPr>
          <w:rFonts w:ascii="Times New Roman" w:hAnsi="Times New Roman"/>
          <w:sz w:val="22"/>
        </w:rPr>
        <w:t>•  Within-case analysis: how does each participant's interaction pattern map to the five indicators?</w:t>
      </w:r>
    </w:p>
    <w:p>
      <w:pPr>
        <w:spacing w:line="480" w:lineRule="auto"/>
        <w:ind w:left="720" w:hanging="357"/>
      </w:pPr>
      <w:r>
        <w:rPr>
          <w:rFonts w:ascii="Times New Roman" w:hAnsi="Times New Roman"/>
          <w:sz w:val="22"/>
        </w:rPr>
        <w:t>•  Cross-case analysis: do AI-knowledgeable and AI-novice participants show different agency interaction patterns?</w:t>
      </w:r>
    </w:p>
    <w:p>
      <w:pPr>
        <w:spacing w:line="480" w:lineRule="auto"/>
        <w:ind w:left="720" w:hanging="357"/>
      </w:pPr>
      <w:r>
        <w:rPr>
          <w:rFonts w:ascii="Times New Roman" w:hAnsi="Times New Roman"/>
          <w:sz w:val="22"/>
        </w:rPr>
        <w:t>•  Authentic learning element manifestation: which elements appear at checkpoints? (deductive coding with AL framework)</w:t>
      </w:r>
    </w:p>
    <w:p>
      <w:pPr>
        <w:spacing w:line="480" w:lineRule="auto" w:before="280"/>
      </w:pPr>
      <w:r>
        <w:rPr>
          <w:rFonts w:ascii="Times New Roman" w:hAnsi="Times New Roman"/>
          <w:b/>
          <w:sz w:val="24"/>
        </w:rPr>
        <w:t>6. Discussion (~800 words)</w:t>
      </w:r>
    </w:p>
    <w:p>
      <w:pPr>
        <w:spacing w:line="480" w:lineRule="auto"/>
        <w:ind w:left="720" w:hanging="357"/>
      </w:pPr>
      <w:r>
        <w:rPr>
          <w:rFonts w:ascii="Times New Roman" w:hAnsi="Times New Roman"/>
          <w:sz w:val="22"/>
        </w:rPr>
        <w:t>•  Transferability of CMAA to other agentic AI educational systems (not Diverga-specific)</w:t>
      </w:r>
    </w:p>
    <w:p>
      <w:pPr>
        <w:spacing w:line="480" w:lineRule="auto"/>
        <w:ind w:left="720" w:hanging="357"/>
      </w:pPr>
      <w:r>
        <w:rPr>
          <w:rFonts w:ascii="Times New Roman" w:hAnsi="Times New Roman"/>
          <w:sz w:val="22"/>
        </w:rPr>
        <w:t>•  Limitations: proof-of-concept with small N; CMAA indicators need validation across systems</w:t>
      </w:r>
    </w:p>
    <w:p>
      <w:pPr>
        <w:spacing w:line="480" w:lineRule="auto"/>
        <w:ind w:left="720" w:hanging="357"/>
      </w:pPr>
      <w:r>
        <w:rPr>
          <w:rFonts w:ascii="Times New Roman" w:hAnsi="Times New Roman"/>
          <w:sz w:val="22"/>
        </w:rPr>
        <w:t>•  Relationship to CFP themes: how CMAA addresses "methodological contributions that advance the measurement of artificial agency and its effects"</w:t>
      </w:r>
    </w:p>
    <w:p>
      <w:pPr>
        <w:spacing w:line="480" w:lineRule="auto"/>
        <w:ind w:left="720" w:hanging="357"/>
      </w:pPr>
      <w:r>
        <w:rPr>
          <w:rFonts w:ascii="Times New Roman" w:hAnsi="Times New Roman"/>
          <w:sz w:val="22"/>
        </w:rPr>
        <w:t>•  International relevance: CMAA is framework-agnostic and applicable across cultural/institutional contexts</w:t>
      </w:r>
    </w:p>
    <w:p>
      <w:pPr>
        <w:spacing w:line="480" w:lineRule="auto"/>
        <w:ind w:left="720" w:hanging="357"/>
      </w:pPr>
      <w:r>
        <w:rPr>
          <w:rFonts w:ascii="Times New Roman" w:hAnsi="Times New Roman"/>
          <w:sz w:val="22"/>
        </w:rPr>
        <w:t>•  Future directions: large-scale validation; longitudinal application; extension to non-research-methodology domains</w:t>
      </w:r>
    </w:p>
    <w:p>
      <w:pPr>
        <w:spacing w:line="480" w:lineRule="auto" w:before="360"/>
        <w:jc w:val="center"/>
      </w:pPr>
      <w:r>
        <w:rPr>
          <w:rFonts w:ascii="Times New Roman" w:hAnsi="Times New Roman"/>
          <w:b/>
          <w:sz w:val="28"/>
        </w:rPr>
        <w:t>Figures and Tables</w:t>
      </w:r>
    </w:p>
    <w:tbl>
      <w:tblPr>
        <w:tblStyle w:val="TableGrid"/>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000000"/>
          <w:right w:val="none" w:sz="0" w:space="0" w:color="000000"/>
          <w:insideV w:val="none" w:sz="0" w:space="0" w:color="000000"/>
        </w:tblBorders>
      </w:tblPr>
      <w:tblGrid>
        <w:gridCol w:w="3120"/>
        <w:gridCol w:w="3120"/>
        <w:gridCol w:w="3120"/>
      </w:tblGrid>
      <w:tr>
        <w:tc>
          <w:tcPr>
            <w:tcW w:type="dxa" w:w="3120"/>
          </w:tcPr>
          <w:p>
            <w:r>
              <w:rPr>
                <w:rFonts w:ascii="Times New Roman" w:hAnsi="Times New Roman"/>
                <w:b/>
                <w:sz w:val="20"/>
              </w:rPr>
              <w:t>ID</w:t>
            </w:r>
          </w:p>
        </w:tc>
        <w:tc>
          <w:tcPr>
            <w:tcW w:type="dxa" w:w="3120"/>
          </w:tcPr>
          <w:p>
            <w:r>
              <w:rPr>
                <w:rFonts w:ascii="Times New Roman" w:hAnsi="Times New Roman"/>
                <w:b/>
                <w:sz w:val="20"/>
              </w:rPr>
              <w:t>Content</w:t>
            </w:r>
          </w:p>
        </w:tc>
        <w:tc>
          <w:tcPr>
            <w:tcW w:type="dxa" w:w="3120"/>
          </w:tcPr>
          <w:p>
            <w:r>
              <w:rPr>
                <w:rFonts w:ascii="Times New Roman" w:hAnsi="Times New Roman"/>
                <w:b/>
                <w:sz w:val="20"/>
              </w:rPr>
              <w:t>Section</w:t>
            </w:r>
          </w:p>
        </w:tc>
      </w:tr>
      <w:tr>
        <w:tc>
          <w:tcPr>
            <w:tcW w:type="dxa" w:w="3120"/>
          </w:tcPr>
          <w:p>
            <w:r>
              <w:rPr>
                <w:rFonts w:ascii="Times New Roman" w:hAnsi="Times New Roman"/>
                <w:sz w:val="20"/>
              </w:rPr>
              <w:t>Figure 1</w:t>
            </w:r>
          </w:p>
        </w:tc>
        <w:tc>
          <w:tcPr>
            <w:tcW w:type="dxa" w:w="3120"/>
          </w:tcPr>
          <w:p>
            <w:r>
              <w:rPr>
                <w:rFonts w:ascii="Times New Roman" w:hAnsi="Times New Roman"/>
                <w:sz w:val="20"/>
              </w:rPr>
              <w:t>Conceptual framework: Floridi's 3 criteria + Authentic Learning + CMAA integration</w:t>
            </w:r>
          </w:p>
        </w:tc>
        <w:tc>
          <w:tcPr>
            <w:tcW w:type="dxa" w:w="3120"/>
          </w:tcPr>
          <w:p>
            <w:r>
              <w:rPr>
                <w:rFonts w:ascii="Times New Roman" w:hAnsi="Times New Roman"/>
                <w:sz w:val="20"/>
              </w:rPr>
              <w:t>2</w:t>
            </w:r>
          </w:p>
        </w:tc>
      </w:tr>
      <w:tr>
        <w:tc>
          <w:tcPr>
            <w:tcW w:type="dxa" w:w="3120"/>
          </w:tcPr>
          <w:p>
            <w:r>
              <w:rPr>
                <w:rFonts w:ascii="Times New Roman" w:hAnsi="Times New Roman"/>
                <w:sz w:val="20"/>
              </w:rPr>
              <w:t>Figure 2</w:t>
            </w:r>
          </w:p>
        </w:tc>
        <w:tc>
          <w:tcPr>
            <w:tcW w:type="dxa" w:w="3120"/>
          </w:tcPr>
          <w:p>
            <w:r>
              <w:rPr>
                <w:rFonts w:ascii="Times New Roman" w:hAnsi="Times New Roman"/>
                <w:sz w:val="20"/>
              </w:rPr>
              <w:t>Diverga mapped to the reactive-generative-agentic spectrum</w:t>
            </w:r>
          </w:p>
        </w:tc>
        <w:tc>
          <w:tcPr>
            <w:tcW w:type="dxa" w:w="3120"/>
          </w:tcPr>
          <w:p>
            <w:r>
              <w:rPr>
                <w:rFonts w:ascii="Times New Roman" w:hAnsi="Times New Roman"/>
                <w:sz w:val="20"/>
              </w:rPr>
              <w:t>3</w:t>
            </w:r>
          </w:p>
        </w:tc>
      </w:tr>
      <w:tr>
        <w:tc>
          <w:tcPr>
            <w:tcW w:type="dxa" w:w="3120"/>
          </w:tcPr>
          <w:p>
            <w:r>
              <w:rPr>
                <w:rFonts w:ascii="Times New Roman" w:hAnsi="Times New Roman"/>
                <w:sz w:val="20"/>
              </w:rPr>
              <w:t>Figure 3</w:t>
            </w:r>
          </w:p>
        </w:tc>
        <w:tc>
          <w:tcPr>
            <w:tcW w:type="dxa" w:w="3120"/>
          </w:tcPr>
          <w:p>
            <w:r>
              <w:rPr>
                <w:rFonts w:ascii="Times New Roman" w:hAnsi="Times New Roman"/>
                <w:sz w:val="20"/>
              </w:rPr>
              <w:t>CMAA measurement architecture: checkpoints as data collection points</w:t>
            </w:r>
          </w:p>
        </w:tc>
        <w:tc>
          <w:tcPr>
            <w:tcW w:type="dxa" w:w="3120"/>
          </w:tcPr>
          <w:p>
            <w:r>
              <w:rPr>
                <w:rFonts w:ascii="Times New Roman" w:hAnsi="Times New Roman"/>
                <w:sz w:val="20"/>
              </w:rPr>
              <w:t>4</w:t>
            </w:r>
          </w:p>
        </w:tc>
      </w:tr>
      <w:tr>
        <w:tc>
          <w:tcPr>
            <w:tcW w:type="dxa" w:w="3120"/>
          </w:tcPr>
          <w:p>
            <w:r>
              <w:rPr>
                <w:rFonts w:ascii="Times New Roman" w:hAnsi="Times New Roman"/>
                <w:sz w:val="20"/>
              </w:rPr>
              <w:t>Figure 4</w:t>
            </w:r>
          </w:p>
        </w:tc>
        <w:tc>
          <w:tcPr>
            <w:tcW w:type="dxa" w:w="3120"/>
          </w:tcPr>
          <w:p>
            <w:r>
              <w:rPr>
                <w:rFonts w:ascii="Times New Roman" w:hAnsi="Times New Roman"/>
                <w:sz w:val="20"/>
              </w:rPr>
              <w:t>Proof-of-concept study design (within-subject comparison)</w:t>
            </w:r>
          </w:p>
        </w:tc>
        <w:tc>
          <w:tcPr>
            <w:tcW w:type="dxa" w:w="3120"/>
          </w:tcPr>
          <w:p>
            <w:r>
              <w:rPr>
                <w:rFonts w:ascii="Times New Roman" w:hAnsi="Times New Roman"/>
                <w:sz w:val="20"/>
              </w:rPr>
              <w:t>5</w:t>
            </w:r>
          </w:p>
        </w:tc>
      </w:tr>
      <w:tr>
        <w:tc>
          <w:tcPr>
            <w:tcW w:type="dxa" w:w="3120"/>
          </w:tcPr>
          <w:p>
            <w:r>
              <w:rPr>
                <w:rFonts w:ascii="Times New Roman" w:hAnsi="Times New Roman"/>
                <w:sz w:val="20"/>
              </w:rPr>
              <w:t>Table 1</w:t>
            </w:r>
          </w:p>
        </w:tc>
        <w:tc>
          <w:tcPr>
            <w:tcW w:type="dxa" w:w="3120"/>
          </w:tcPr>
          <w:p>
            <w:r>
              <w:rPr>
                <w:rFonts w:ascii="Times New Roman" w:hAnsi="Times New Roman"/>
                <w:sz w:val="20"/>
              </w:rPr>
              <w:t>Floridi criteria x Authentic Learning x CMAA indicators</w:t>
            </w:r>
          </w:p>
        </w:tc>
        <w:tc>
          <w:tcPr>
            <w:tcW w:type="dxa" w:w="3120"/>
          </w:tcPr>
          <w:p>
            <w:r>
              <w:rPr>
                <w:rFonts w:ascii="Times New Roman" w:hAnsi="Times New Roman"/>
                <w:sz w:val="20"/>
              </w:rPr>
              <w:t>2</w:t>
            </w:r>
          </w:p>
        </w:tc>
      </w:tr>
      <w:tr>
        <w:tc>
          <w:tcPr>
            <w:tcW w:type="dxa" w:w="3120"/>
          </w:tcPr>
          <w:p>
            <w:r>
              <w:rPr>
                <w:rFonts w:ascii="Times New Roman" w:hAnsi="Times New Roman"/>
                <w:sz w:val="20"/>
              </w:rPr>
              <w:t>Table 2</w:t>
            </w:r>
          </w:p>
        </w:tc>
        <w:tc>
          <w:tcPr>
            <w:tcW w:type="dxa" w:w="3120"/>
          </w:tcPr>
          <w:p>
            <w:r>
              <w:rPr>
                <w:rFonts w:ascii="Times New Roman" w:hAnsi="Times New Roman"/>
                <w:sz w:val="20"/>
              </w:rPr>
              <w:t>Five CMAA indicators with definitions and operationalization</w:t>
            </w:r>
          </w:p>
        </w:tc>
        <w:tc>
          <w:tcPr>
            <w:tcW w:type="dxa" w:w="3120"/>
          </w:tcPr>
          <w:p>
            <w:r>
              <w:rPr>
                <w:rFonts w:ascii="Times New Roman" w:hAnsi="Times New Roman"/>
                <w:sz w:val="20"/>
              </w:rPr>
              <w:t>4</w:t>
            </w:r>
          </w:p>
        </w:tc>
      </w:tr>
      <w:tr>
        <w:tc>
          <w:tcPr>
            <w:tcW w:type="dxa" w:w="3120"/>
          </w:tcPr>
          <w:p>
            <w:r>
              <w:rPr>
                <w:rFonts w:ascii="Times New Roman" w:hAnsi="Times New Roman"/>
                <w:sz w:val="20"/>
              </w:rPr>
              <w:t>Table 3</w:t>
            </w:r>
          </w:p>
        </w:tc>
        <w:tc>
          <w:tcPr>
            <w:tcW w:type="dxa" w:w="3120"/>
          </w:tcPr>
          <w:p>
            <w:r>
              <w:rPr>
                <w:rFonts w:ascii="Times New Roman" w:hAnsi="Times New Roman"/>
                <w:sz w:val="20"/>
              </w:rPr>
              <w:t>Data sources and analysis alignment</w:t>
            </w:r>
          </w:p>
        </w:tc>
        <w:tc>
          <w:tcPr>
            <w:tcW w:type="dxa" w:w="3120"/>
          </w:tcPr>
          <w:p>
            <w:r>
              <w:rPr>
                <w:rFonts w:ascii="Times New Roman" w:hAnsi="Times New Roman"/>
                <w:sz w:val="20"/>
              </w:rPr>
              <w:t>5</w:t>
            </w:r>
          </w:p>
        </w:tc>
      </w:tr>
    </w:tbl>
    <w:p>
      <w:pPr>
        <w:spacing w:line="480" w:lineRule="auto"/>
      </w:pPr>
    </w:p>
    <w:p>
      <w:pPr>
        <w:spacing w:line="480" w:lineRule="auto" w:before="360"/>
        <w:jc w:val="center"/>
      </w:pPr>
      <w:r>
        <w:rPr>
          <w:rFonts w:ascii="Times New Roman" w:hAnsi="Times New Roman"/>
          <w:b/>
          <w:sz w:val="28"/>
        </w:rPr>
        <w:t>Role Distribution (Proposed)</w:t>
      </w:r>
    </w:p>
    <w:tbl>
      <w:tblPr>
        <w:tblStyle w:val="TableGrid"/>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000000"/>
          <w:right w:val="none" w:sz="0" w:space="0" w:color="000000"/>
          <w:insideV w:val="none" w:sz="0" w:space="0" w:color="000000"/>
        </w:tblBorders>
      </w:tblPr>
      <w:tblGrid>
        <w:gridCol w:w="3120"/>
        <w:gridCol w:w="3120"/>
        <w:gridCol w:w="3120"/>
      </w:tblGrid>
      <w:tr>
        <w:tc>
          <w:tcPr>
            <w:tcW w:type="dxa" w:w="3120"/>
          </w:tcPr>
          <w:p>
            <w:r>
              <w:rPr>
                <w:rFonts w:ascii="Times New Roman" w:hAnsi="Times New Roman"/>
                <w:b/>
                <w:sz w:val="20"/>
              </w:rPr>
              <w:t>Task</w:t>
            </w:r>
          </w:p>
        </w:tc>
        <w:tc>
          <w:tcPr>
            <w:tcW w:type="dxa" w:w="3120"/>
          </w:tcPr>
          <w:p>
            <w:r>
              <w:rPr>
                <w:rFonts w:ascii="Times New Roman" w:hAnsi="Times New Roman"/>
                <w:b/>
                <w:sz w:val="20"/>
              </w:rPr>
              <w:t>Lead</w:t>
            </w:r>
          </w:p>
        </w:tc>
        <w:tc>
          <w:tcPr>
            <w:tcW w:type="dxa" w:w="3120"/>
          </w:tcPr>
          <w:p>
            <w:r>
              <w:rPr>
                <w:rFonts w:ascii="Times New Roman" w:hAnsi="Times New Roman"/>
                <w:b/>
                <w:sz w:val="20"/>
              </w:rPr>
              <w:t>Support</w:t>
            </w:r>
          </w:p>
        </w:tc>
      </w:tr>
      <w:tr>
        <w:tc>
          <w:tcPr>
            <w:tcW w:type="dxa" w:w="3120"/>
          </w:tcPr>
          <w:p>
            <w:r>
              <w:rPr>
                <w:rFonts w:ascii="Times New Roman" w:hAnsi="Times New Roman"/>
                <w:sz w:val="20"/>
              </w:rPr>
              <w:t>Artificial agency theoretical framing (Floridi)</w:t>
            </w:r>
          </w:p>
        </w:tc>
        <w:tc>
          <w:tcPr>
            <w:tcW w:type="dxa" w:w="3120"/>
          </w:tcPr>
          <w:p>
            <w:r>
              <w:rPr>
                <w:rFonts w:ascii="Times New Roman" w:hAnsi="Times New Roman"/>
                <w:sz w:val="20"/>
              </w:rPr>
              <w:t>You</w:t>
            </w:r>
          </w:p>
        </w:tc>
        <w:tc>
          <w:tcPr>
            <w:tcW w:type="dxa" w:w="3120"/>
          </w:tcPr>
          <w:p>
            <w:r>
              <w:rPr>
                <w:rFonts w:ascii="Times New Roman" w:hAnsi="Times New Roman"/>
                <w:sz w:val="20"/>
              </w:rPr>
              <w:t>Yang</w:t>
            </w:r>
          </w:p>
        </w:tc>
      </w:tr>
      <w:tr>
        <w:tc>
          <w:tcPr>
            <w:tcW w:type="dxa" w:w="3120"/>
          </w:tcPr>
          <w:p>
            <w:r>
              <w:rPr>
                <w:rFonts w:ascii="Times New Roman" w:hAnsi="Times New Roman"/>
                <w:sz w:val="20"/>
              </w:rPr>
              <w:t>Authentic Learning integration</w:t>
            </w:r>
          </w:p>
        </w:tc>
        <w:tc>
          <w:tcPr>
            <w:tcW w:type="dxa" w:w="3120"/>
          </w:tcPr>
          <w:p>
            <w:r>
              <w:rPr>
                <w:rFonts w:ascii="Times New Roman" w:hAnsi="Times New Roman"/>
                <w:sz w:val="20"/>
              </w:rPr>
              <w:t>Yang</w:t>
            </w:r>
          </w:p>
        </w:tc>
        <w:tc>
          <w:tcPr>
            <w:tcW w:type="dxa" w:w="3120"/>
          </w:tcPr>
          <w:p>
            <w:r>
              <w:rPr>
                <w:rFonts w:ascii="Times New Roman" w:hAnsi="Times New Roman"/>
                <w:sz w:val="20"/>
              </w:rPr>
              <w:t>You</w:t>
            </w:r>
          </w:p>
        </w:tc>
      </w:tr>
      <w:tr>
        <w:tc>
          <w:tcPr>
            <w:tcW w:type="dxa" w:w="3120"/>
          </w:tcPr>
          <w:p>
            <w:r>
              <w:rPr>
                <w:rFonts w:ascii="Times New Roman" w:hAnsi="Times New Roman"/>
                <w:sz w:val="20"/>
              </w:rPr>
              <w:t>CMAA methodology development</w:t>
            </w:r>
          </w:p>
        </w:tc>
        <w:tc>
          <w:tcPr>
            <w:tcW w:type="dxa" w:w="3120"/>
          </w:tcPr>
          <w:p>
            <w:r>
              <w:rPr>
                <w:rFonts w:ascii="Times New Roman" w:hAnsi="Times New Roman"/>
                <w:sz w:val="20"/>
              </w:rPr>
              <w:t>You</w:t>
            </w:r>
          </w:p>
        </w:tc>
        <w:tc>
          <w:tcPr>
            <w:tcW w:type="dxa" w:w="3120"/>
          </w:tcPr>
          <w:p>
            <w:r>
              <w:rPr>
                <w:rFonts w:ascii="Times New Roman" w:hAnsi="Times New Roman"/>
                <w:sz w:val="20"/>
              </w:rPr>
              <w:t>Yang</w:t>
            </w:r>
          </w:p>
        </w:tc>
      </w:tr>
      <w:tr>
        <w:tc>
          <w:tcPr>
            <w:tcW w:type="dxa" w:w="3120"/>
          </w:tcPr>
          <w:p>
            <w:r>
              <w:rPr>
                <w:rFonts w:ascii="Times New Roman" w:hAnsi="Times New Roman"/>
                <w:sz w:val="20"/>
              </w:rPr>
              <w:t>Diverga system description</w:t>
            </w:r>
          </w:p>
        </w:tc>
        <w:tc>
          <w:tcPr>
            <w:tcW w:type="dxa" w:w="3120"/>
          </w:tcPr>
          <w:p>
            <w:r>
              <w:rPr>
                <w:rFonts w:ascii="Times New Roman" w:hAnsi="Times New Roman"/>
                <w:sz w:val="20"/>
              </w:rPr>
              <w:t>You</w:t>
            </w:r>
          </w:p>
        </w:tc>
        <w:tc>
          <w:tcPr>
            <w:tcW w:type="dxa" w:w="3120"/>
          </w:tcPr>
          <w:p>
            <w:r>
              <w:rPr>
                <w:rFonts w:ascii="Times New Roman" w:hAnsi="Times New Roman"/>
                <w:sz w:val="20"/>
              </w:rPr>
              <w:t>Yang</w:t>
            </w:r>
          </w:p>
        </w:tc>
      </w:tr>
      <w:tr>
        <w:tc>
          <w:tcPr>
            <w:tcW w:type="dxa" w:w="3120"/>
          </w:tcPr>
          <w:p>
            <w:r>
              <w:rPr>
                <w:rFonts w:ascii="Times New Roman" w:hAnsi="Times New Roman"/>
                <w:sz w:val="20"/>
              </w:rPr>
              <w:t>Proof-of-concept study design</w:t>
            </w:r>
          </w:p>
        </w:tc>
        <w:tc>
          <w:tcPr>
            <w:tcW w:type="dxa" w:w="3120"/>
          </w:tcPr>
          <w:p>
            <w:r>
              <w:rPr>
                <w:rFonts w:ascii="Times New Roman" w:hAnsi="Times New Roman"/>
                <w:sz w:val="20"/>
              </w:rPr>
              <w:t>Joint</w:t>
            </w:r>
          </w:p>
        </w:tc>
        <w:tc>
          <w:tcPr>
            <w:tcW w:type="dxa" w:w="3120"/>
          </w:tcPr>
          <w:p>
            <w:r>
              <w:rPr>
                <w:rFonts w:ascii="Times New Roman" w:hAnsi="Times New Roman"/>
                <w:sz w:val="20"/>
              </w:rPr>
              <w:t>Joint</w:t>
            </w:r>
          </w:p>
        </w:tc>
      </w:tr>
      <w:tr>
        <w:tc>
          <w:tcPr>
            <w:tcW w:type="dxa" w:w="3120"/>
          </w:tcPr>
          <w:p>
            <w:r>
              <w:rPr>
                <w:rFonts w:ascii="Times New Roman" w:hAnsi="Times New Roman"/>
                <w:sz w:val="20"/>
              </w:rPr>
              <w:t>Writing: Introduction, Theoretical Framework</w:t>
            </w:r>
          </w:p>
        </w:tc>
        <w:tc>
          <w:tcPr>
            <w:tcW w:type="dxa" w:w="3120"/>
          </w:tcPr>
          <w:p>
            <w:r>
              <w:rPr>
                <w:rFonts w:ascii="Times New Roman" w:hAnsi="Times New Roman"/>
                <w:sz w:val="20"/>
              </w:rPr>
              <w:t>Joint</w:t>
            </w:r>
          </w:p>
        </w:tc>
        <w:tc>
          <w:tcPr>
            <w:tcW w:type="dxa" w:w="3120"/>
          </w:tcPr>
          <w:p>
            <w:r>
              <w:rPr>
                <w:rFonts w:ascii="Times New Roman" w:hAnsi="Times New Roman"/>
                <w:sz w:val="20"/>
              </w:rPr>
              <w:t>Joint</w:t>
            </w:r>
          </w:p>
        </w:tc>
      </w:tr>
      <w:tr>
        <w:tc>
          <w:tcPr>
            <w:tcW w:type="dxa" w:w="3120"/>
          </w:tcPr>
          <w:p>
            <w:r>
              <w:rPr>
                <w:rFonts w:ascii="Times New Roman" w:hAnsi="Times New Roman"/>
                <w:sz w:val="20"/>
              </w:rPr>
              <w:t>Writing: CMAA Framework</w:t>
            </w:r>
          </w:p>
        </w:tc>
        <w:tc>
          <w:tcPr>
            <w:tcW w:type="dxa" w:w="3120"/>
          </w:tcPr>
          <w:p>
            <w:r>
              <w:rPr>
                <w:rFonts w:ascii="Times New Roman" w:hAnsi="Times New Roman"/>
                <w:sz w:val="20"/>
              </w:rPr>
              <w:t>You</w:t>
            </w:r>
          </w:p>
        </w:tc>
        <w:tc>
          <w:tcPr>
            <w:tcW w:type="dxa" w:w="3120"/>
          </w:tcPr>
          <w:p>
            <w:r>
              <w:rPr>
                <w:rFonts w:ascii="Times New Roman" w:hAnsi="Times New Roman"/>
                <w:sz w:val="20"/>
              </w:rPr>
              <w:t>Yang</w:t>
            </w:r>
          </w:p>
        </w:tc>
      </w:tr>
      <w:tr>
        <w:tc>
          <w:tcPr>
            <w:tcW w:type="dxa" w:w="3120"/>
          </w:tcPr>
          <w:p>
            <w:r>
              <w:rPr>
                <w:rFonts w:ascii="Times New Roman" w:hAnsi="Times New Roman"/>
                <w:sz w:val="20"/>
              </w:rPr>
              <w:t>Writing: Discussion, Implications</w:t>
            </w:r>
          </w:p>
        </w:tc>
        <w:tc>
          <w:tcPr>
            <w:tcW w:type="dxa" w:w="3120"/>
          </w:tcPr>
          <w:p>
            <w:r>
              <w:rPr>
                <w:rFonts w:ascii="Times New Roman" w:hAnsi="Times New Roman"/>
                <w:sz w:val="20"/>
              </w:rPr>
              <w:t>Yang</w:t>
            </w:r>
          </w:p>
        </w:tc>
        <w:tc>
          <w:tcPr>
            <w:tcW w:type="dxa" w:w="3120"/>
          </w:tcPr>
          <w:p>
            <w:r>
              <w:rPr>
                <w:rFonts w:ascii="Times New Roman" w:hAnsi="Times New Roman"/>
                <w:sz w:val="20"/>
              </w:rPr>
              <w:t>You</w:t>
            </w:r>
          </w:p>
        </w:tc>
      </w:tr>
    </w:tbl>
    <w:p>
      <w:pPr>
        <w:spacing w:line="480" w:lineRule="auto"/>
      </w:pPr>
    </w:p>
    <w:p>
      <w:pPr>
        <w:spacing w:line="480" w:lineRule="auto" w:before="360"/>
        <w:jc w:val="center"/>
      </w:pPr>
      <w:r>
        <w:rPr>
          <w:rFonts w:ascii="Times New Roman" w:hAnsi="Times New Roman"/>
          <w:b/>
          <w:sz w:val="28"/>
        </w:rPr>
        <w:t>Key References</w:t>
      </w:r>
    </w:p>
    <w:p>
      <w:pPr>
        <w:spacing w:line="480" w:lineRule="auto"/>
        <w:ind w:left="720" w:hanging="720"/>
      </w:pPr>
      <w:r>
        <w:rPr>
          <w:rFonts w:ascii="Times New Roman" w:hAnsi="Times New Roman"/>
          <w:sz w:val="22"/>
        </w:rPr>
        <w:t>Floridi, L. (2025). AI as agency without intelligence. Philosophy &amp; Technology, 38, 30.</w:t>
      </w:r>
    </w:p>
    <w:p>
      <w:pPr>
        <w:spacing w:line="480" w:lineRule="auto"/>
        <w:ind w:left="720" w:hanging="720"/>
      </w:pPr>
      <w:r>
        <w:rPr>
          <w:rFonts w:ascii="Times New Roman" w:hAnsi="Times New Roman"/>
          <w:sz w:val="22"/>
        </w:rPr>
        <w:t>Herrington, J., Reeves, T. C., &amp; Oliver, R. (2010). A guide to authentic e-learning. Routledge.</w:t>
      </w:r>
    </w:p>
    <w:p>
      <w:pPr>
        <w:spacing w:line="480" w:lineRule="auto"/>
        <w:ind w:left="720" w:hanging="720"/>
      </w:pPr>
      <w:r>
        <w:rPr>
          <w:rFonts w:ascii="Times New Roman" w:hAnsi="Times New Roman"/>
          <w:sz w:val="22"/>
        </w:rPr>
        <w:t>Bucinca, Z., et al. (2021). Cognitive forcing functions. CSCW, 5, Article 188.</w:t>
      </w:r>
    </w:p>
    <w:p>
      <w:pPr>
        <w:spacing w:line="480" w:lineRule="auto"/>
        <w:ind w:left="720" w:hanging="720"/>
      </w:pPr>
      <w:r>
        <w:rPr>
          <w:rFonts w:ascii="Times New Roman" w:hAnsi="Times New Roman"/>
          <w:sz w:val="22"/>
        </w:rPr>
        <w:t>Sapkota, R., et al. (2026). AI agents vs. agentic AI. Information Fusion, 126(B), 103599.</w:t>
      </w:r>
    </w:p>
    <w:p>
      <w:pPr>
        <w:spacing w:line="480" w:lineRule="auto"/>
        <w:ind w:left="720" w:hanging="720"/>
      </w:pPr>
      <w:r>
        <w:rPr>
          <w:rFonts w:ascii="Times New Roman" w:hAnsi="Times New Roman"/>
          <w:sz w:val="22"/>
        </w:rPr>
        <w:t>Yang, M., et al. (2025). Towards dynamic learner state: Orchestrating AI agents via MCP. Education Sciences.</w:t>
      </w:r>
    </w:p>
    <w:p>
      <w:pPr>
        <w:spacing w:line="480" w:lineRule="auto"/>
        <w:ind w:left="720" w:hanging="720"/>
      </w:pPr>
      <w:r>
        <w:rPr>
          <w:rFonts w:ascii="Times New Roman" w:hAnsi="Times New Roman"/>
          <w:sz w:val="22"/>
        </w:rPr>
        <w:t>Yang, M., et al. (2025). Analysing nontraditional students' ChatGPT interaction. BJET.</w:t>
      </w:r>
    </w:p>
    <w:p>
      <w:pPr>
        <w:spacing w:line="480" w:lineRule="auto"/>
        <w:ind w:left="720" w:hanging="720"/>
      </w:pPr>
      <w:r>
        <w:rPr>
          <w:rFonts w:ascii="Times New Roman" w:hAnsi="Times New Roman"/>
          <w:sz w:val="22"/>
        </w:rPr>
        <w:t>Yang, M., &amp; Harbor, J. (2023). Authentic learning design failures. IJDL, 14(1), 88-105.</w:t>
      </w:r>
    </w:p>
    <w:p>
      <w:pPr>
        <w:spacing w:line="480" w:lineRule="auto"/>
        <w:ind w:left="720" w:hanging="720"/>
      </w:pPr>
      <w:r>
        <w:rPr>
          <w:rFonts w:ascii="Times New Roman" w:hAnsi="Times New Roman"/>
          <w:sz w:val="22"/>
        </w:rPr>
        <w:t>Zhao, Y., et al. (2024). Verbalized sampling. arXiv:2510.01171.</w:t>
      </w:r>
    </w:p>
    <w:p>
      <w:pPr>
        <w:spacing w:line="480" w:lineRule="auto"/>
        <w:ind w:left="720" w:hanging="720"/>
      </w:pPr>
      <w:r>
        <w:rPr>
          <w:rFonts w:ascii="Times New Roman" w:hAnsi="Times New Roman"/>
          <w:sz w:val="22"/>
        </w:rPr>
        <w:t>Jarvela, S., Nguyen, A., &amp; Hadwin, A. (2023). Human and AI collaboration for socially shared regulation. BJET, 54(5), 1057-1076.</w:t>
      </w:r>
    </w:p>
    <w:p>
      <w:pPr>
        <w:spacing w:line="480" w:lineRule="auto" w:before="280"/>
      </w:pPr>
      <w:r>
        <w:rPr>
          <w:rFonts w:ascii="Times New Roman" w:hAnsi="Times New Roman"/>
          <w:b/>
          <w:sz w:val="24"/>
        </w:rPr>
        <w:t>Accompanying Materials</w:t>
      </w:r>
    </w:p>
    <w:p>
      <w:pPr>
        <w:spacing w:line="480" w:lineRule="auto"/>
        <w:ind w:firstLine="720"/>
      </w:pPr>
      <w:r>
        <w:rPr>
          <w:rFonts w:ascii="Times New Roman" w:hAnsi="Times New Roman"/>
          <w:sz w:val="24"/>
        </w:rPr>
        <w:t>A detailed conceptual framing document and abstract draft are available as companion materials. Paper 1 (IJDL Design Case) provides the full design story that this paper references.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