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Checkpoint-Mediated Agency Analysis and Its Application to Doctoral Researchers' Methodological Reasoning:</w:t>
      </w:r>
    </w:p>
    <w:p>
      <w:pPr>
        <w:jc w:val="center"/>
      </w:pPr>
      <w:r>
        <w:rPr>
          <w:rFonts w:ascii="Times New Roman" w:hAnsi="Times New Roman"/>
          <w:b/>
          <w:i w:val="0"/>
          <w:sz w:val="24"/>
        </w:rPr>
        <w:t>A Multi-Site Design-Based Study</w:t>
      </w:r>
    </w:p>
    <w:p>
      <w:r>
        <w:br w:type="page"/>
      </w:r>
    </w:p>
    <w:p>
      <w:pPr>
        <w:jc w:val="center"/>
      </w:pPr>
      <w:r>
        <w:rPr>
          <w:rFonts w:ascii="Times New Roman" w:hAnsi="Times New Roman"/>
          <w:b/>
          <w:i w:val="0"/>
          <w:sz w:val="24"/>
        </w:rPr>
        <w:t>Abstract</w:t>
      </w:r>
    </w:p>
    <w:p>
      <w:pPr>
        <w:ind w:firstLine="0"/>
      </w:pPr>
      <w:r>
        <w:rPr>
          <w:rFonts w:ascii="Times New Roman" w:hAnsi="Times New Roman"/>
          <w:b w:val="0"/>
          <w:i w:val="0"/>
          <w:sz w:val="24"/>
        </w:rPr>
        <w:t>This multi-site design-based study extends Yang et al.'s (2025) application of the Human-AI Language-based Interaction Evaluation (HALIE) framework (Lee et al., 2023) from standard generative AI (ChatGPT) to checkpoint-governed agentic AI. We propose Checkpoint-Mediated Agency Analysis (CMAA) as a methodological complement to HALIE, grounded in Floridi's (2025) three criteria for artificial agency (interactivity, bounded autonomy, adaptability). A single shared dataset of five doctoral students in social sciences, collected through a two-day within-subject comparison of a standard generative AI condition (Claude.ai) and a checkpoint-governed agentic AI condition (Diverga), supports two distinct publications. Paper 2 (methodology, target: British Journal of Educational Technology Special Issue on Agentic AI in Education) presents the HALIE-adapted metrics and five new CMAA indicators. Paper 3 (empirical, target: Computers &amp; Education) reports case-centric analysis of systemic contradictions using Engestrom's contradiction typology. Measurement follows a two-tier structure: Tier 1 adapts four metrics from Yang et al. (2025, Appendix A) that apply to both conditions (prompt number, Depth of Knowledge, prompt relevance and evolution, originality) plus validated self-efficacy (Avey et al., 2009) and engagement (Skinner et al., 2009) scales; Tier 2 introduces five CMAA indicators specific to the checkpoint architecture (Proactive Intervention Rate, Decision Space Expansion, Governance Constraint Activation, State Utilization Depth, Coordination Complexity Index). This document specifies the research design for multi-site Institutional Review Board submission.</w:t>
      </w:r>
    </w:p>
    <w:p>
      <w:pPr>
        <w:ind w:firstLine="720"/>
      </w:pPr>
      <w:r>
        <w:rPr>
          <w:rFonts w:ascii="Times New Roman" w:hAnsi="Times New Roman"/>
          <w:b w:val="0"/>
          <w:i/>
          <w:sz w:val="24"/>
        </w:rPr>
        <w:t xml:space="preserve">Keywords: </w:t>
      </w:r>
      <w:r>
        <w:rPr>
          <w:rFonts w:ascii="Times New Roman" w:hAnsi="Times New Roman"/>
          <w:b w:val="0"/>
          <w:i w:val="0"/>
          <w:sz w:val="24"/>
        </w:rPr>
        <w:t>artificial agency, agentic AI, HALIE framework, checkpoint-mediated analysis, doctoral research design, activity theory, mixed methods</w:t>
      </w:r>
    </w:p>
    <w:p>
      <w:r>
        <w:br w:type="page"/>
      </w:r>
    </w:p>
    <w:p>
      <w:pPr>
        <w:jc w:val="center"/>
      </w:pPr>
      <w:r>
        <w:rPr>
          <w:rFonts w:ascii="Times New Roman" w:hAnsi="Times New Roman"/>
          <w:b/>
          <w:i w:val="0"/>
          <w:sz w:val="24"/>
        </w:rPr>
        <w:t>Checkpoint-Mediated Agency Analysis and Its Application to Doctoral Researchers' Methodological Reasoning</w:t>
      </w:r>
    </w:p>
    <w:p>
      <w:pPr>
        <w:ind w:firstLine="720"/>
      </w:pPr>
      <w:r>
        <w:rPr>
          <w:rFonts w:ascii="Times New Roman" w:hAnsi="Times New Roman"/>
          <w:b w:val="0"/>
          <w:i w:val="0"/>
          <w:sz w:val="24"/>
        </w:rPr>
        <w:t>This document specifies the research design for a multi-site Institutional Review Board (IRB) submission supporting two planned publications from a shared empirical dataset. The study pursues two distinct but interlocking contributions. Paper 2 develops and demonstrates a methodological framework, Checkpoint-Mediated Agency Analysis (CMAA), for measuring artificial agency effects in multi-agent AI educational systems. CMAA extends Yang et al.'s (2025) application of the Human-AI Language-based Interaction Evaluation (HALIE) framework (Lee et al., 2023) from standard generative AI to checkpoint-governed agentic AI, and grounds the extension in Floridi's (2025) three-criteria theory of artificial agency. Paper 3 reports a multiple case study using Activity Theory (Engestrom, 1987) to examine how doctoral researchers engage with Diverga's checkpoint-governed agency architecture.</w:t>
      </w:r>
    </w:p>
    <w:p>
      <w:pPr>
        <w:ind w:firstLine="720"/>
      </w:pPr>
      <w:r>
        <w:rPr>
          <w:rFonts w:ascii="Times New Roman" w:hAnsi="Times New Roman"/>
          <w:b w:val="0"/>
          <w:i w:val="0"/>
          <w:sz w:val="24"/>
        </w:rPr>
        <w:t>The two papers are partitioned by unit of analysis. Paper 2 is indicator-centric, foregrounding HALIE-adapted metrics and new CMAA indicators with cases as illustrative anchors. Paper 3 is case-centric, with each participant constituting a case and the quantitative indicators incorporated as one data stream among several qualitative sources. The papers share the dataset by design: the methodological contribution requires ecological demonstration, not independent replication. Both manuscripts cross-reference each other and disclose the shared dataset in cover letters in accordance with Committee on Publication Ethics guidelines (COPE, 2019).</w:t>
      </w:r>
    </w:p>
    <w:p>
      <w:pPr>
        <w:jc w:val="center"/>
      </w:pPr>
      <w:r>
        <w:rPr>
          <w:rFonts w:ascii="Times New Roman" w:hAnsi="Times New Roman"/>
          <w:b/>
          <w:i w:val="0"/>
          <w:sz w:val="24"/>
        </w:rPr>
        <w:t>Research Questions</w:t>
      </w:r>
    </w:p>
    <w:p>
      <w:pPr>
        <w:jc w:val="left"/>
      </w:pPr>
      <w:r>
        <w:rPr>
          <w:rFonts w:ascii="Times New Roman" w:hAnsi="Times New Roman"/>
          <w:b/>
          <w:i w:val="0"/>
          <w:sz w:val="24"/>
        </w:rPr>
        <w:t>Paper 2 Research Questions</w:t>
      </w:r>
    </w:p>
    <w:p>
      <w:pPr>
        <w:ind w:firstLine="720"/>
      </w:pPr>
      <w:r>
        <w:rPr>
          <w:rFonts w:ascii="Times New Roman" w:hAnsi="Times New Roman"/>
          <w:b w:val="0"/>
          <w:i w:val="0"/>
          <w:sz w:val="24"/>
        </w:rPr>
        <w:t>Paper 2 addresses the following research questions aligned with the British Journal of Educational Technology Special Issue call for methodological advances in studying artificial agency.</w:t>
      </w:r>
    </w:p>
    <w:p>
      <w:pPr>
        <w:ind w:firstLine="720"/>
      </w:pPr>
      <w:r>
        <w:rPr>
          <w:rFonts w:ascii="Times New Roman" w:hAnsi="Times New Roman"/>
          <w:b w:val="0"/>
          <w:i w:val="0"/>
          <w:sz w:val="24"/>
        </w:rPr>
        <w:t>RQ1: How can the structured interaction points (Human Checkpoints) in multi-agent AI systems be leveraged as measurement instruments for studying artificial agency effects on educational decision-making?</w:t>
      </w:r>
    </w:p>
    <w:p>
      <w:pPr>
        <w:ind w:firstLine="720"/>
      </w:pPr>
      <w:r>
        <w:rPr>
          <w:rFonts w:ascii="Times New Roman" w:hAnsi="Times New Roman"/>
          <w:b w:val="0"/>
          <w:i w:val="0"/>
          <w:sz w:val="24"/>
        </w:rPr>
        <w:t>RQ2: What measurable indicators, combining HALIE-adapted metrics (Yang et al., 2025) with novel checkpoint-mediated indicators, reliably distinguish agentic AI participation from standard generative AI assistance in research methodology learning contexts?</w:t>
      </w:r>
    </w:p>
    <w:p>
      <w:pPr>
        <w:ind w:firstLine="720"/>
      </w:pPr>
      <w:r>
        <w:rPr>
          <w:rFonts w:ascii="Times New Roman" w:hAnsi="Times New Roman"/>
          <w:b w:val="0"/>
          <w:i w:val="0"/>
          <w:sz w:val="24"/>
        </w:rPr>
        <w:t>RQ3: How do researchers' typicality trajectories (T-Score selections across sequential checkpoints) evolve under exposure to checkpoint-governed agency, and what process-level patterns emerge relative to the strategic-inquirer and exploratory-inquirer archetypes identified by Yang et al. (2025)?</w:t>
      </w:r>
    </w:p>
    <w:p>
      <w:pPr>
        <w:jc w:val="left"/>
      </w:pPr>
      <w:r>
        <w:rPr>
          <w:rFonts w:ascii="Times New Roman" w:hAnsi="Times New Roman"/>
          <w:b/>
          <w:i w:val="0"/>
          <w:sz w:val="24"/>
        </w:rPr>
        <w:t>Paper 3 Research Questions</w:t>
      </w:r>
    </w:p>
    <w:p>
      <w:pPr>
        <w:ind w:firstLine="720"/>
      </w:pPr>
      <w:r>
        <w:rPr>
          <w:rFonts w:ascii="Times New Roman" w:hAnsi="Times New Roman"/>
          <w:b w:val="0"/>
          <w:i w:val="0"/>
          <w:sz w:val="24"/>
        </w:rPr>
        <w:t>Paper 3 addresses the following research questions aligned with Computers &amp; Education's emphasis on theoretically grounded empirical contributions.</w:t>
      </w:r>
    </w:p>
    <w:p>
      <w:pPr>
        <w:ind w:firstLine="720"/>
      </w:pPr>
      <w:r>
        <w:rPr>
          <w:rFonts w:ascii="Times New Roman" w:hAnsi="Times New Roman"/>
          <w:b w:val="0"/>
          <w:i w:val="0"/>
          <w:sz w:val="24"/>
        </w:rPr>
        <w:t>RQ1: How does interaction with Diverga's checkpoint-governed agency architecture affect the diversity and quality of doctoral researchers' theoretical and methodological reasoning, compared with standard generative AI assistance?</w:t>
      </w:r>
    </w:p>
    <w:p>
      <w:pPr>
        <w:ind w:firstLine="720"/>
      </w:pPr>
      <w:r>
        <w:rPr>
          <w:rFonts w:ascii="Times New Roman" w:hAnsi="Times New Roman"/>
          <w:b w:val="0"/>
          <w:i w:val="0"/>
          <w:sz w:val="24"/>
        </w:rPr>
        <w:t>RQ2: What systemic contradictions, as identified through Engestrom's (1987) contradiction typology, emerge when doctoral researchers engage with mandatory checkpoints during research design activity?</w:t>
      </w:r>
    </w:p>
    <w:p>
      <w:pPr>
        <w:ind w:firstLine="720"/>
      </w:pPr>
      <w:r>
        <w:rPr>
          <w:rFonts w:ascii="Times New Roman" w:hAnsi="Times New Roman"/>
          <w:b w:val="0"/>
          <w:i w:val="0"/>
          <w:sz w:val="24"/>
        </w:rPr>
        <w:t>RQ3: How do learner characteristics (AI knowledge level, methodology expertise, epistemological disposition, disciplinary identity) mediate the relationship between checkpoint-mediated scaffolding intent and actual engagement patterns?</w:t>
      </w:r>
    </w:p>
    <w:p>
      <w:pPr>
        <w:jc w:val="center"/>
      </w:pPr>
      <w:r>
        <w:rPr>
          <w:rFonts w:ascii="Times New Roman" w:hAnsi="Times New Roman"/>
          <w:b/>
          <w:i w:val="0"/>
          <w:sz w:val="24"/>
        </w:rPr>
        <w:t>Theoretical Framework Distribution</w:t>
      </w:r>
    </w:p>
    <w:p>
      <w:pPr>
        <w:ind w:firstLine="720"/>
      </w:pPr>
      <w:r>
        <w:rPr>
          <w:rFonts w:ascii="Times New Roman" w:hAnsi="Times New Roman"/>
          <w:b w:val="0"/>
          <w:i w:val="0"/>
          <w:sz w:val="24"/>
        </w:rPr>
        <w:t>Each manuscript carries a distinct dominant theoretical voice. Paper 2 draws its primary grounding from Floridi's (2025) philosophical analysis of artificial agency, which defines agency through three minimal criteria: interactivity, bounded autonomy, and adaptability. Paper 2 is also methodologically anchored in the HALIE framework (Lee et al., 2023) as adapted by Yang et al. (2025) to evaluate human-AI language-based interaction in education. Fowler's (2025) harness engineering is cited in Paper 2's discussion as a structural analogue for the checkpoint architecture, but is not load-bearing. Paper 3 draws its primary grounding from cultural-historical activity theory (Engestrom, 1987), using the typology of contradictions to examine how doctoral researchers negotiate tool-mediated activity when checkpoints structurally require human deliberation. Paper 3 references CMAA and HALIE-adapted indicators only as measurement tools cross-cited from Paper 2.</w:t>
      </w:r>
    </w:p>
    <w:p>
      <w:pPr>
        <w:spacing w:line="240" w:lineRule="auto" w:before="240" w:after="0"/>
      </w:pPr>
      <w:r>
        <w:rPr>
          <w:rFonts w:ascii="Times New Roman" w:hAnsi="Times New Roman"/>
          <w:b/>
          <w:i w:val="0"/>
          <w:sz w:val="24"/>
        </w:rPr>
        <w:t>Table 1</w:t>
      </w:r>
    </w:p>
    <w:p>
      <w:pPr>
        <w:spacing w:line="240" w:lineRule="auto" w:before="0" w:after="120"/>
      </w:pPr>
      <w:r>
        <w:rPr>
          <w:rFonts w:ascii="Times New Roman" w:hAnsi="Times New Roman"/>
          <w:b w:val="0"/>
          <w:i/>
          <w:sz w:val="24"/>
        </w:rPr>
        <w:t>Theoretical Framework Distribution Across Paper 2 and Paper 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Paper</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Primary Framework</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Methodological Anchor</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Secondary</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Role in Analysis</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Paper 2</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Floridi (2025) artificial agency criteria</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HALIE framework (Lee et al., 2023) as adapted by Yang et al. (2025)</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Fowler (2025) harness engineering (discussion only)</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Philosophical grounding for CMAA extension of HALIE</w:t>
            </w:r>
          </w:p>
        </w:tc>
      </w:tr>
      <w:tr>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Paper 3</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Activity theory (Engestrom, 1987)</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Multiple case study (Stake, 2006; Yin, 2018)</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HALIE-adapted and CMAA indicators cross-referenced from Paper 2</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Sociocultural analytic lens for case interpretation</w:t>
            </w:r>
          </w:p>
        </w:tc>
      </w:tr>
    </w:tbl>
    <w:p>
      <w:pPr>
        <w:spacing w:before="120" w:after="0"/>
      </w:pPr>
    </w:p>
    <w:p>
      <w:pPr>
        <w:jc w:val="center"/>
      </w:pPr>
      <w:r>
        <w:rPr>
          <w:rFonts w:ascii="Times New Roman" w:hAnsi="Times New Roman"/>
          <w:b/>
          <w:i w:val="0"/>
          <w:sz w:val="24"/>
        </w:rPr>
        <w:t>Research Design</w:t>
      </w:r>
    </w:p>
    <w:p>
      <w:pPr>
        <w:jc w:val="left"/>
      </w:pPr>
      <w:r>
        <w:rPr>
          <w:rFonts w:ascii="Times New Roman" w:hAnsi="Times New Roman"/>
          <w:b/>
          <w:i w:val="0"/>
          <w:sz w:val="24"/>
        </w:rPr>
        <w:t>Design Type and Morse Notation</w:t>
      </w:r>
    </w:p>
    <w:p>
      <w:pPr>
        <w:ind w:firstLine="720"/>
      </w:pPr>
      <w:r>
        <w:rPr>
          <w:rFonts w:ascii="Times New Roman" w:hAnsi="Times New Roman"/>
          <w:b w:val="0"/>
          <w:i w:val="0"/>
          <w:sz w:val="24"/>
        </w:rPr>
        <w:t>Paper 2 employs a convergent-then-explanatory hybrid design, notated as QUAN(qual) followed by qual (Morse &amp; Niehaus, 2009). The quantitative within-subject contrast across the Claude and Diverga conditions is dominant, with embedded qualitative think-aloud data providing in-the-moment interpretation, followed by a sequential semi-structured interview that offers explanatory depth for the observed patterns. This design mirrors the sequential explanatory mixed-methods structure used by Yang et al. (2025) in their BJET study of nontraditional students' ChatGPT interaction, adapted here to a within-subject contrast of two AI conditions.</w:t>
      </w:r>
    </w:p>
    <w:p>
      <w:pPr>
        <w:ind w:firstLine="720"/>
      </w:pPr>
      <w:r>
        <w:rPr>
          <w:rFonts w:ascii="Times New Roman" w:hAnsi="Times New Roman"/>
          <w:b w:val="0"/>
          <w:i w:val="0"/>
          <w:sz w:val="24"/>
        </w:rPr>
        <w:t>Paper 3 employs an embedded convergent case study design, notated as QUAL(quan) plus qual. The qualitative case-centric logic is dominant; HALIE-adapted and CMAA indicators are embedded as descriptive streams within each case portrait, and the interview data are integrated concurrently at the case level rather than sequenced.</w:t>
      </w:r>
    </w:p>
    <w:p>
      <w:pPr>
        <w:jc w:val="left"/>
      </w:pPr>
      <w:r>
        <w:rPr>
          <w:rFonts w:ascii="Times New Roman" w:hAnsi="Times New Roman"/>
          <w:b/>
          <w:i w:val="0"/>
          <w:sz w:val="24"/>
        </w:rPr>
        <w:t>Quantitative Strand</w:t>
      </w:r>
    </w:p>
    <w:p>
      <w:pPr>
        <w:ind w:firstLine="720"/>
      </w:pPr>
      <w:r>
        <w:rPr>
          <w:rFonts w:ascii="Times New Roman" w:hAnsi="Times New Roman"/>
          <w:b w:val="0"/>
          <w:i w:val="0"/>
          <w:sz w:val="24"/>
        </w:rPr>
        <w:t>Quantitative measurement follows a two-tier structure. Tier 1 adapts four metrics and two validated self-report scales from Yang et al. (2025) that apply to both the Claude and Diverga conditions. Tier 2 introduces five CMAA indicators that are specific to the checkpoint architecture of Diverga. Tier 1 provides ecological validity and direct comparability with prior BJET-published work; Tier 2 provides the novel methodological contribution of this study.</w:t>
      </w:r>
    </w:p>
    <w:p>
      <w:pPr>
        <w:jc w:val="left"/>
      </w:pPr>
      <w:r>
        <w:rPr>
          <w:rFonts w:ascii="Times New Roman" w:hAnsi="Times New Roman"/>
          <w:b/>
          <w:i/>
          <w:sz w:val="24"/>
        </w:rPr>
        <w:t>Tier 1: HALIE-Adapted Metrics and Validated Scales</w:t>
      </w:r>
    </w:p>
    <w:p>
      <w:pPr>
        <w:ind w:firstLine="720"/>
      </w:pPr>
      <w:r>
        <w:rPr>
          <w:rFonts w:ascii="Times New Roman" w:hAnsi="Times New Roman"/>
          <w:b w:val="0"/>
          <w:i w:val="0"/>
          <w:sz w:val="24"/>
        </w:rPr>
        <w:t>The following metrics are adapted directly from Yang et al. (2025) using the published rubrics from their Appendix A. Each metric is applied to both the Claude baseline condition and the Diverga condition by two independent coders, with inter-rater reliability reported using Cohen's kappa.</w:t>
      </w:r>
    </w:p>
    <w:p>
      <w:pPr>
        <w:spacing w:line="240" w:lineRule="auto" w:before="240" w:after="0"/>
      </w:pPr>
      <w:r>
        <w:rPr>
          <w:rFonts w:ascii="Times New Roman" w:hAnsi="Times New Roman"/>
          <w:b/>
          <w:i w:val="0"/>
          <w:sz w:val="24"/>
        </w:rPr>
        <w:t>Table 2</w:t>
      </w:r>
    </w:p>
    <w:p>
      <w:pPr>
        <w:spacing w:line="240" w:lineRule="auto" w:before="0" w:after="120"/>
      </w:pPr>
      <w:r>
        <w:rPr>
          <w:rFonts w:ascii="Times New Roman" w:hAnsi="Times New Roman"/>
          <w:b w:val="0"/>
          <w:i/>
          <w:sz w:val="24"/>
        </w:rPr>
        <w:t>Tier 1: HALIE-Adapted Metrics Applied to Both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Metric</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Measurement Approach</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Source Rubric</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Data Source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Prompt number</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Count of participant-initiated prompts per session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Yang et al. (2025)</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Claude transcript; Diverga interaction log</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Depth of Knowledge (DoK)</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Four-level rubric assessing cognitive complexity (Recall, Skills/Concepts, Strategic Thinking, Extended Thinking)</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Webb (2002); Yang et al. (2025, Appendix A)</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Coded from prompts and checkpoint selections</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Prompt relevance and evolution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Four-level rubric evaluating query progression and coherence across turns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Yang et al. (2025, Appendix A)</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Coded from prompt or checkpoint sequences</w:t>
            </w:r>
          </w:p>
        </w:tc>
      </w:tr>
      <w:tr>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Originality</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Four-level rubric measuring participant contribution relative to AI output</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Yang et al. (2025, Appendix A)</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Coded from pre-post artifacts plus session interaction</w:t>
            </w:r>
          </w:p>
        </w:tc>
      </w:tr>
    </w:tbl>
    <w:p>
      <w:pPr>
        <w:spacing w:before="120" w:after="0"/>
      </w:pPr>
    </w:p>
    <w:p>
      <w:pPr>
        <w:ind w:firstLine="720"/>
      </w:pPr>
      <w:r>
        <w:rPr>
          <w:rFonts w:ascii="Times New Roman" w:hAnsi="Times New Roman"/>
          <w:b w:val="0"/>
          <w:i w:val="0"/>
          <w:sz w:val="24"/>
        </w:rPr>
        <w:t>In addition, two validated self-report scales from Yang et al. (2025) are administered after each condition as post-session surveys (see Section 6.5). Self-efficacy is measured with five items adapted from Avey et al. (2009) on a 5-point Likert scale. Engagement is measured as a composite score combining emotional, cognitive, and behavioral engagement items adapted from Skinner et al. (2009), Fredricks et al. (2004), and Halverson and Graham (2019). Item wording is adapted from Yang et al.'s semester-long course context to a single-session research design context.</w:t>
      </w:r>
    </w:p>
    <w:p>
      <w:pPr>
        <w:jc w:val="left"/>
      </w:pPr>
      <w:r>
        <w:rPr>
          <w:rFonts w:ascii="Times New Roman" w:hAnsi="Times New Roman"/>
          <w:b/>
          <w:i/>
          <w:sz w:val="24"/>
        </w:rPr>
        <w:t>Tier 2: Checkpoint-Mediated Agency Analysis (CMAA) Indicators</w:t>
      </w:r>
    </w:p>
    <w:p>
      <w:pPr>
        <w:ind w:firstLine="720"/>
      </w:pPr>
      <w:r>
        <w:rPr>
          <w:rFonts w:ascii="Times New Roman" w:hAnsi="Times New Roman"/>
          <w:b w:val="0"/>
          <w:i w:val="0"/>
          <w:sz w:val="24"/>
        </w:rPr>
        <w:t>The five CMAA indicators are Diverga-specific by architectural necessity. Three indicators (PIR, DSE, GCA) yield interpretable between-condition contrasts under specific assumptions about the Claude baseline, while two (SUD, CCI) are reported as Diverga descriptors only. Paper 2 explicitly frames CMAA as containing both contrastive and descriptive-only indicators, an architectural honesty that complements rather than competes with the Tier 1 metrics from Yang et al. (2025).</w:t>
      </w:r>
    </w:p>
    <w:p>
      <w:pPr>
        <w:spacing w:line="240" w:lineRule="auto" w:before="240" w:after="0"/>
      </w:pPr>
      <w:r>
        <w:rPr>
          <w:rFonts w:ascii="Times New Roman" w:hAnsi="Times New Roman"/>
          <w:b/>
          <w:i w:val="0"/>
          <w:sz w:val="24"/>
        </w:rPr>
        <w:t>Table 3</w:t>
      </w:r>
    </w:p>
    <w:p>
      <w:pPr>
        <w:spacing w:line="240" w:lineRule="auto" w:before="0" w:after="120"/>
      </w:pPr>
      <w:r>
        <w:rPr>
          <w:rFonts w:ascii="Times New Roman" w:hAnsi="Times New Roman"/>
          <w:b w:val="0"/>
          <w:i/>
          <w:sz w:val="24"/>
        </w:rPr>
        <w:t>Tier 2: CMAA Indicator Definitions and Condition Comparability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Indicator</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Definition</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Claude Condition</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Diverga Condition</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Comparison Type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PIR (Proactive Intervention Rate)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Proportion of episodes initiated by the AI system</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Near zero by architecture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Computed per session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Contrastive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DSE (Decision Space Expansion)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Degree to which the system expands the human's option set</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Typically 1 to 2 alternatives per turn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Multiple alternatives forced at checkpoints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Contrastive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GCA (Governance Constraint Activation)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Frequency of internal governance constraints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Zero by definition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Computed per session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Contrastive</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SUD (State Utilization Depth)</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Cross-session state references in outputs</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Architecturally undefined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Computed per session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Descriptive only</w:t>
            </w:r>
          </w:p>
        </w:tc>
      </w:tr>
      <w:tr>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CCI (Coordination Complexity Index)</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Inter-component interactions per output</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Not applicable (single-agent)</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Computed per session</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Descriptive only</w:t>
            </w:r>
          </w:p>
        </w:tc>
      </w:tr>
    </w:tbl>
    <w:p>
      <w:pPr>
        <w:spacing w:before="120" w:after="0"/>
      </w:pPr>
    </w:p>
    <w:p>
      <w:pPr>
        <w:jc w:val="left"/>
      </w:pPr>
      <w:r>
        <w:rPr>
          <w:rFonts w:ascii="Times New Roman" w:hAnsi="Times New Roman"/>
          <w:b/>
          <w:i w:val="0"/>
          <w:sz w:val="24"/>
        </w:rPr>
        <w:t>Qualitative Strand</w:t>
      </w:r>
    </w:p>
    <w:p>
      <w:pPr>
        <w:ind w:firstLine="720"/>
      </w:pPr>
      <w:r>
        <w:rPr>
          <w:rFonts w:ascii="Times New Roman" w:hAnsi="Times New Roman"/>
          <w:b w:val="0"/>
          <w:i w:val="0"/>
          <w:sz w:val="24"/>
        </w:rPr>
        <w:t>Qualitative data sources include concurrent think-aloud transcripts from Phase 0 (Claude baseline) and Phase 2 (Diverga novel task), retrospective think-aloud via screen replay during Phase 3 and Phase 4, semi-structured interview audio from Phase 4, pre-task and post-task research design artifacts, and researcher field notes. For Paper 2, think-aloud and interview data anchor the interpretation of Tier 1 and Tier 2 indicator values through illustrative vignettes, analyzed using Floridi's three agency criteria and HALIE dimensions as sensitizing concepts. For Paper 3, the full qualitative corpus is coded using Engestrom's (1987) contradiction typology through a hybrid deductive-inductive process. Two coders code independently, disagreements are resolved through structured adjudication, and inter-rater reliability is reported using Cohen's kappa.</w:t>
      </w:r>
    </w:p>
    <w:p>
      <w:pPr>
        <w:jc w:val="left"/>
      </w:pPr>
      <w:r>
        <w:rPr>
          <w:rFonts w:ascii="Times New Roman" w:hAnsi="Times New Roman"/>
          <w:b/>
          <w:i w:val="0"/>
          <w:sz w:val="24"/>
        </w:rPr>
        <w:t>Integration Strategy</w:t>
      </w:r>
    </w:p>
    <w:p>
      <w:pPr>
        <w:ind w:firstLine="720"/>
      </w:pPr>
      <w:r>
        <w:rPr>
          <w:rFonts w:ascii="Times New Roman" w:hAnsi="Times New Roman"/>
          <w:b w:val="0"/>
          <w:i w:val="0"/>
          <w:sz w:val="24"/>
        </w:rPr>
        <w:t>For Paper 2, a joint display presents both Tier 1 and Tier 2 indicator values across the five participants, with each cell containing the numeric value, a one-sentence qualitative anchor from the think-aloud transcripts, and a symbol indicating the scenario-assignment condition. Scenario order is treated as a case-level covariate annotated on the display.</w:t>
      </w:r>
    </w:p>
    <w:p>
      <w:pPr>
        <w:ind w:firstLine="720"/>
      </w:pPr>
      <w:r>
        <w:rPr>
          <w:rFonts w:ascii="Times New Roman" w:hAnsi="Times New Roman"/>
          <w:b w:val="0"/>
          <w:i w:val="0"/>
          <w:sz w:val="24"/>
        </w:rPr>
        <w:t>For Paper 3, each case portrait weaves indicator values into a narrative grounded in Activity Theory. Cross-case analysis uses a case-ordered descriptive matrix (Miles et al., 2020) with participants ordered by AI knowledge level. The integration question is: where do the quantitative indicator patterns and the qualitative contradiction types converge or diverge, and how do learner characteristics mediate the pattern?</w:t>
      </w:r>
    </w:p>
    <w:p>
      <w:pPr>
        <w:jc w:val="left"/>
      </w:pPr>
      <w:r>
        <w:rPr>
          <w:rFonts w:ascii="Times New Roman" w:hAnsi="Times New Roman"/>
          <w:b/>
          <w:i w:val="0"/>
          <w:sz w:val="24"/>
        </w:rPr>
        <w:t>Integration with Prior BJET-Published Measurement Framework</w:t>
      </w:r>
    </w:p>
    <w:p>
      <w:pPr>
        <w:ind w:firstLine="720"/>
      </w:pPr>
      <w:r>
        <w:rPr>
          <w:rFonts w:ascii="Times New Roman" w:hAnsi="Times New Roman"/>
          <w:b w:val="0"/>
          <w:i w:val="0"/>
          <w:sz w:val="24"/>
        </w:rPr>
        <w:t>The measurement approach in this study builds directly on Yang et al.'s (2025) mixed-methods study published in British Journal of Educational Technology, which adapted the Human-AI Language-based Interaction Evaluation framework (Lee et al., 2023) to analyze nontraditional students' ChatGPT interactions. Yang et al. operationalized four interaction metrics (prompt number, DoK, prompt relevance, originality), two self-report scales (self-efficacy, engagement), and an independent performance evaluation, producing a methodologically coherent framework for evaluating human-LLM interaction in higher education contexts. The present study extends that framework in two ways. First, we apply HALIE's process-output and first-person-third-party dimensions to the contrast between standard generative AI (Claude.ai) and checkpoint-governed agentic AI (Diverga). Second, we introduce five CMAA indicators (PIR, DSE, GCA, SUD, CCI) that capture architectural properties unique to multi-agent checkpoint systems, grounded in Floridi's (2025) three-criteria theory of artificial agency. This integration preserves continuity with prior BJET-published methodology while advancing a new methodological contribution specific to agentic AI.</w:t>
      </w:r>
    </w:p>
    <w:p>
      <w:pPr>
        <w:ind w:firstLine="720"/>
      </w:pPr>
      <w:r>
        <w:rPr>
          <w:rFonts w:ascii="Times New Roman" w:hAnsi="Times New Roman"/>
          <w:b w:val="0"/>
          <w:i w:val="0"/>
          <w:sz w:val="24"/>
        </w:rPr>
        <w:t>The mapping of our metrics to HALIE's three-dimensional structure follows Yang et al. (2025, Figure 3 and Table 2), extended to include the CMAA indicators.</w:t>
      </w:r>
    </w:p>
    <w:p>
      <w:pPr>
        <w:spacing w:line="240" w:lineRule="auto" w:before="240" w:after="0"/>
      </w:pPr>
      <w:r>
        <w:rPr>
          <w:rFonts w:ascii="Times New Roman" w:hAnsi="Times New Roman"/>
          <w:b/>
          <w:i w:val="0"/>
          <w:sz w:val="24"/>
        </w:rPr>
        <w:t>Table 4</w:t>
      </w:r>
    </w:p>
    <w:p>
      <w:pPr>
        <w:spacing w:line="240" w:lineRule="auto" w:before="0" w:after="120"/>
      </w:pPr>
      <w:r>
        <w:rPr>
          <w:rFonts w:ascii="Times New Roman" w:hAnsi="Times New Roman"/>
          <w:b w:val="0"/>
          <w:i/>
          <w:sz w:val="24"/>
        </w:rPr>
        <w:t>Mapping the Tier 1 and Tier 2 Metrics to HALIE Dimensions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HALIE Dimension</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Component</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Tier 1 Indicators (Yang et al., 2025)</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Tier 2 Indicators (CMAA)</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Targets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Process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Prompt number, DoK, Prompt relevance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PIR, DSE, GCA</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Targets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Output</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Originality, Performance score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Artifact comparison (descriptive)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Perspectives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First-person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Self-efficacy, Engagement, Student reflections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Think-aloud at checkpoints</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Perspectives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Third-party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Independent expert evaluation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Activity Theory coding</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Criteria</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Quality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DoK levels, Prompt relevance, Originality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SUD, CCI (Diverga-specific)</w:t>
            </w:r>
          </w:p>
        </w:tc>
      </w:tr>
      <w:tr>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Criteria</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Preference</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Engagement composite, User experience</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Interview reflections on checkpoint experience</w:t>
            </w:r>
          </w:p>
        </w:tc>
      </w:tr>
    </w:tbl>
    <w:p>
      <w:pPr>
        <w:spacing w:before="120" w:after="0"/>
      </w:pPr>
    </w:p>
    <w:p>
      <w:pPr>
        <w:jc w:val="center"/>
      </w:pPr>
      <w:r>
        <w:rPr>
          <w:rFonts w:ascii="Times New Roman" w:hAnsi="Times New Roman"/>
          <w:b/>
          <w:i w:val="0"/>
          <w:sz w:val="24"/>
        </w:rPr>
        <w:t>Participants</w:t>
      </w:r>
    </w:p>
    <w:p>
      <w:pPr>
        <w:jc w:val="left"/>
      </w:pPr>
      <w:r>
        <w:rPr>
          <w:rFonts w:ascii="Times New Roman" w:hAnsi="Times New Roman"/>
          <w:b/>
          <w:i w:val="0"/>
          <w:sz w:val="24"/>
        </w:rPr>
        <w:t>Sampling Strategy</w:t>
      </w:r>
    </w:p>
    <w:p>
      <w:pPr>
        <w:ind w:firstLine="720"/>
      </w:pPr>
      <w:r>
        <w:rPr>
          <w:rFonts w:ascii="Times New Roman" w:hAnsi="Times New Roman"/>
          <w:b w:val="0"/>
          <w:i w:val="0"/>
          <w:sz w:val="24"/>
        </w:rPr>
        <w:t>Five doctoral students in social sciences will be recruited using maximum-variation purposeful sampling (Patton, 2015) to maximize analytic variation across four dimensions, treating the study as a multiple case study (Stake, 2006; Yin, 2018). The target sample size of N = 5 is defensible for a multiple case study: 4 to 10 cases are sufficient for within-case and cross-case analytic claims when maximum variation is achieved. The sample size is intentionally smaller than Yang et al. (2025, N = 73) because the present study prioritizes depth over breadth: each participant completes a within-subject comparison of two AI conditions across two sessions, with concurrent and retrospective think-aloud. Paper 2 frames its empirical component as a demonstration study rather than a validation study.</w:t>
      </w:r>
    </w:p>
    <w:p>
      <w:pPr>
        <w:spacing w:line="240" w:lineRule="auto" w:before="240" w:after="0"/>
      </w:pPr>
      <w:r>
        <w:rPr>
          <w:rFonts w:ascii="Times New Roman" w:hAnsi="Times New Roman"/>
          <w:b/>
          <w:i w:val="0"/>
          <w:sz w:val="24"/>
        </w:rPr>
        <w:t>Table 5</w:t>
      </w:r>
    </w:p>
    <w:p>
      <w:pPr>
        <w:spacing w:line="240" w:lineRule="auto" w:before="0" w:after="120"/>
      </w:pPr>
      <w:r>
        <w:rPr>
          <w:rFonts w:ascii="Times New Roman" w:hAnsi="Times New Roman"/>
          <w:b w:val="0"/>
          <w:i/>
          <w:sz w:val="24"/>
        </w:rPr>
        <w:t>Maximum-Variation Sampling Dimensions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Dimension</w:t>
            </w:r>
          </w:p>
        </w:tc>
        <w:tc>
          <w:tcPr>
            <w:tcW w:type="dxa" w:w="312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Variation Sought</w:t>
            </w:r>
          </w:p>
        </w:tc>
        <w:tc>
          <w:tcPr>
            <w:tcW w:type="dxa" w:w="312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Measurement</w:t>
            </w:r>
          </w:p>
        </w:tc>
      </w:tr>
      <w:tr>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AI knowledge level</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High to low</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Self-reported frequency and specificity of AI tool use</w:t>
            </w:r>
          </w:p>
        </w:tc>
      </w:tr>
      <w:tr>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Research methodology expertise</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Advanced to novice</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Methods courses completed, program stage, research outputs</w:t>
            </w:r>
          </w:p>
        </w:tc>
      </w:tr>
      <w:tr>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Epistemological disposition</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Challenge-seeking to conservative</w:t>
            </w:r>
          </w:p>
        </w:tc>
        <w:tc>
          <w:tcPr>
            <w:tcW w:type="dxa" w:w="3120"/>
            <w:tcBorders>
              <w:top w:val="nil"/>
              <w:bottom w:val="nil"/>
              <w:left w:val="nil"/>
              <w:right w:val="nil"/>
              <w:insideV w:val="nil"/>
            </w:tcBorders>
          </w:tcPr>
          <w:p>
            <w:pPr>
              <w:spacing w:line="240" w:lineRule="auto" w:before="60" w:after="60"/>
              <w:jc w:val="left"/>
            </w:pPr>
            <w:r/>
            <w:r>
              <w:rPr>
                <w:rFonts w:ascii="Times New Roman" w:hAnsi="Times New Roman"/>
                <w:sz w:val="22"/>
              </w:rPr>
              <w:t>Adapted Need for Cognition items (Cacioppo &amp; Petty, 1982)</w:t>
            </w:r>
          </w:p>
        </w:tc>
      </w:tr>
      <w:tr>
        <w:tc>
          <w:tcPr>
            <w:tcW w:type="dxa" w:w="3120"/>
            <w:tcBorders>
              <w:top w:val="nil"/>
              <w:bottom w:val="single" w:sz="8"/>
              <w:left w:val="nil"/>
              <w:right w:val="nil"/>
              <w:insideV w:val="nil"/>
            </w:tcBorders>
          </w:tcPr>
          <w:p>
            <w:pPr>
              <w:spacing w:line="240" w:lineRule="auto" w:before="60" w:after="60"/>
              <w:jc w:val="left"/>
            </w:pPr>
            <w:r/>
            <w:r>
              <w:rPr>
                <w:rFonts w:ascii="Times New Roman" w:hAnsi="Times New Roman"/>
                <w:sz w:val="22"/>
              </w:rPr>
              <w:t>Disciplinary identity</w:t>
            </w:r>
          </w:p>
        </w:tc>
        <w:tc>
          <w:tcPr>
            <w:tcW w:type="dxa" w:w="3120"/>
            <w:tcBorders>
              <w:top w:val="nil"/>
              <w:bottom w:val="single" w:sz="8"/>
              <w:left w:val="nil"/>
              <w:right w:val="nil"/>
              <w:insideV w:val="nil"/>
            </w:tcBorders>
          </w:tcPr>
          <w:p>
            <w:pPr>
              <w:spacing w:line="240" w:lineRule="auto" w:before="60" w:after="60"/>
              <w:jc w:val="left"/>
            </w:pPr>
            <w:r/>
            <w:r>
              <w:rPr>
                <w:rFonts w:ascii="Times New Roman" w:hAnsi="Times New Roman"/>
                <w:sz w:val="22"/>
              </w:rPr>
              <w:t>At least two social science fields</w:t>
            </w:r>
          </w:p>
        </w:tc>
        <w:tc>
          <w:tcPr>
            <w:tcW w:type="dxa" w:w="3120"/>
            <w:tcBorders>
              <w:top w:val="nil"/>
              <w:bottom w:val="single" w:sz="8"/>
              <w:left w:val="nil"/>
              <w:right w:val="nil"/>
              <w:insideV w:val="nil"/>
            </w:tcBorders>
          </w:tcPr>
          <w:p>
            <w:pPr>
              <w:spacing w:line="240" w:lineRule="auto" w:before="60" w:after="60"/>
              <w:jc w:val="left"/>
            </w:pPr>
            <w:r/>
            <w:r>
              <w:rPr>
                <w:rFonts w:ascii="Times New Roman" w:hAnsi="Times New Roman"/>
                <w:sz w:val="22"/>
              </w:rPr>
              <w:t>Self-identified field and dominant paradigm</w:t>
            </w:r>
          </w:p>
        </w:tc>
      </w:tr>
    </w:tbl>
    <w:p>
      <w:pPr>
        <w:spacing w:before="120" w:after="0"/>
      </w:pPr>
    </w:p>
    <w:p>
      <w:pPr>
        <w:jc w:val="left"/>
      </w:pPr>
      <w:r>
        <w:rPr>
          <w:rFonts w:ascii="Times New Roman" w:hAnsi="Times New Roman"/>
          <w:b/>
          <w:i w:val="0"/>
          <w:sz w:val="24"/>
        </w:rPr>
        <w:t>Inclusion and Exclusion Criteria</w:t>
      </w:r>
    </w:p>
    <w:p>
      <w:pPr>
        <w:ind w:firstLine="720"/>
      </w:pPr>
      <w:r>
        <w:rPr>
          <w:rFonts w:ascii="Times New Roman" w:hAnsi="Times New Roman"/>
          <w:b w:val="0"/>
          <w:i w:val="0"/>
          <w:sz w:val="24"/>
        </w:rPr>
        <w:t>Inclusion criteria are as follows:</w:t>
      </w:r>
    </w:p>
    <w:p>
      <w:pPr>
        <w:ind w:left="720" w:hanging="360"/>
      </w:pPr>
      <w:r>
        <w:rPr>
          <w:rFonts w:ascii="Times New Roman" w:hAnsi="Times New Roman"/>
          <w:b w:val="0"/>
          <w:i w:val="0"/>
          <w:sz w:val="24"/>
        </w:rPr>
        <w:t>•  Enrolled as a doctoral student in a social science field (education, psychology, sociology, communication, or related)</w:t>
      </w:r>
    </w:p>
    <w:p>
      <w:pPr>
        <w:ind w:left="720" w:hanging="360"/>
      </w:pPr>
      <w:r>
        <w:rPr>
          <w:rFonts w:ascii="Times New Roman" w:hAnsi="Times New Roman"/>
          <w:b w:val="0"/>
          <w:i w:val="0"/>
          <w:sz w:val="24"/>
        </w:rPr>
        <w:t>•  Completed at least one research methods course</w:t>
      </w:r>
    </w:p>
    <w:p>
      <w:pPr>
        <w:ind w:left="720" w:hanging="360"/>
      </w:pPr>
      <w:r>
        <w:rPr>
          <w:rFonts w:ascii="Times New Roman" w:hAnsi="Times New Roman"/>
          <w:b w:val="0"/>
          <w:i w:val="0"/>
          <w:sz w:val="24"/>
        </w:rPr>
        <w:t>•  Has used at least one generative AI tool for any purpose</w:t>
      </w:r>
    </w:p>
    <w:p>
      <w:pPr>
        <w:ind w:left="720" w:hanging="360"/>
      </w:pPr>
      <w:r>
        <w:rPr>
          <w:rFonts w:ascii="Times New Roman" w:hAnsi="Times New Roman"/>
          <w:b w:val="0"/>
          <w:i w:val="0"/>
          <w:sz w:val="24"/>
        </w:rPr>
        <w:t>•  Basic familiarity with command-line interfaces, or willingness to learn during the orientation phase</w:t>
      </w:r>
    </w:p>
    <w:p>
      <w:pPr>
        <w:ind w:left="720" w:hanging="360"/>
      </w:pPr>
      <w:r>
        <w:rPr>
          <w:rFonts w:ascii="Times New Roman" w:hAnsi="Times New Roman"/>
          <w:b w:val="0"/>
          <w:i w:val="0"/>
          <w:sz w:val="24"/>
        </w:rPr>
        <w:t>•  Able to participate in two Zoom sessions separated by 1 to 7 days</w:t>
      </w:r>
    </w:p>
    <w:p>
      <w:pPr>
        <w:ind w:firstLine="720"/>
      </w:pPr>
      <w:r>
        <w:rPr>
          <w:rFonts w:ascii="Times New Roman" w:hAnsi="Times New Roman"/>
          <w:b w:val="0"/>
          <w:i w:val="0"/>
          <w:sz w:val="24"/>
        </w:rPr>
        <w:t>Exclusion criteria are as follows:</w:t>
      </w:r>
    </w:p>
    <w:p>
      <w:pPr>
        <w:ind w:left="720" w:hanging="360"/>
      </w:pPr>
      <w:r>
        <w:rPr>
          <w:rFonts w:ascii="Times New Roman" w:hAnsi="Times New Roman"/>
          <w:b w:val="0"/>
          <w:i w:val="0"/>
          <w:sz w:val="24"/>
        </w:rPr>
        <w:t>•  Prior Diverga users, including beta testers and design consultants</w:t>
      </w:r>
    </w:p>
    <w:p>
      <w:pPr>
        <w:ind w:left="720" w:hanging="360"/>
      </w:pPr>
      <w:r>
        <w:rPr>
          <w:rFonts w:ascii="Times New Roman" w:hAnsi="Times New Roman"/>
          <w:b w:val="0"/>
          <w:i w:val="0"/>
          <w:sz w:val="24"/>
        </w:rPr>
        <w:t>•  Doctoral students in computer science or engineering</w:t>
      </w:r>
    </w:p>
    <w:p>
      <w:pPr>
        <w:ind w:left="720" w:hanging="360"/>
      </w:pPr>
      <w:r>
        <w:rPr>
          <w:rFonts w:ascii="Times New Roman" w:hAnsi="Times New Roman"/>
          <w:b w:val="0"/>
          <w:i w:val="0"/>
          <w:sz w:val="24"/>
        </w:rPr>
        <w:t>•  Current or former research collaborators of either investigator</w:t>
      </w:r>
    </w:p>
    <w:p>
      <w:pPr>
        <w:ind w:left="720" w:hanging="360"/>
      </w:pPr>
      <w:r>
        <w:rPr>
          <w:rFonts w:ascii="Times New Roman" w:hAnsi="Times New Roman"/>
          <w:b w:val="0"/>
          <w:i w:val="0"/>
          <w:sz w:val="24"/>
        </w:rPr>
        <w:t>•  Current or former advisees of the Principal Investigator</w:t>
      </w:r>
    </w:p>
    <w:p>
      <w:pPr>
        <w:ind w:left="720" w:hanging="360"/>
      </w:pPr>
      <w:r>
        <w:rPr>
          <w:rFonts w:ascii="Times New Roman" w:hAnsi="Times New Roman"/>
          <w:b w:val="0"/>
          <w:i w:val="0"/>
          <w:sz w:val="24"/>
        </w:rPr>
        <w:t>•  Students enrolled in any course currently taught by the Principal Investigator</w:t>
      </w:r>
    </w:p>
    <w:p>
      <w:pPr>
        <w:ind w:left="720" w:hanging="360"/>
      </w:pPr>
      <w:r>
        <w:rPr>
          <w:rFonts w:ascii="Times New Roman" w:hAnsi="Times New Roman"/>
          <w:b w:val="0"/>
          <w:i w:val="0"/>
          <w:sz w:val="24"/>
        </w:rPr>
        <w:t>•  Individuals with a close personal relationship with either investigator</w:t>
      </w:r>
    </w:p>
    <w:p>
      <w:pPr>
        <w:jc w:val="left"/>
      </w:pPr>
      <w:r>
        <w:rPr>
          <w:rFonts w:ascii="Times New Roman" w:hAnsi="Times New Roman"/>
          <w:b/>
          <w:i w:val="0"/>
          <w:sz w:val="24"/>
        </w:rPr>
        <w:t>Participant Roster</w:t>
      </w:r>
    </w:p>
    <w:p>
      <w:pPr>
        <w:ind w:firstLine="720"/>
      </w:pPr>
      <w:r>
        <w:rPr>
          <w:rFonts w:ascii="Times New Roman" w:hAnsi="Times New Roman"/>
          <w:b w:val="0"/>
          <w:i w:val="0"/>
          <w:sz w:val="24"/>
        </w:rPr>
        <w:t>The participant roster will be completed during the recruitment phase. Table below lists placeholder entries to be populated under the approved IRB protocol.</w:t>
      </w:r>
    </w:p>
    <w:p>
      <w:pPr>
        <w:spacing w:line="240" w:lineRule="auto" w:before="240" w:after="0"/>
      </w:pPr>
      <w:r>
        <w:rPr>
          <w:rFonts w:ascii="Times New Roman" w:hAnsi="Times New Roman"/>
          <w:b/>
          <w:i w:val="0"/>
          <w:sz w:val="24"/>
        </w:rPr>
        <w:t>Table 6</w:t>
      </w:r>
    </w:p>
    <w:p>
      <w:pPr>
        <w:spacing w:line="240" w:lineRule="auto" w:before="0" w:after="120"/>
      </w:pPr>
      <w:r>
        <w:rPr>
          <w:rFonts w:ascii="Times New Roman" w:hAnsi="Times New Roman"/>
          <w:b w:val="0"/>
          <w:i/>
          <w:sz w:val="24"/>
        </w:rPr>
        <w:t>Participant Roster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Pseudonym</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Institution and Role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AI Experience Profile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Discipline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Scenario Assignment</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P2</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P3</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P4</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To be determined</w:t>
            </w:r>
          </w:p>
        </w:tc>
      </w:tr>
      <w:tr>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P5</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To be determined</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To be determined</w:t>
            </w:r>
          </w:p>
        </w:tc>
      </w:tr>
    </w:tbl>
    <w:p>
      <w:pPr>
        <w:spacing w:before="120" w:after="0"/>
      </w:pPr>
    </w:p>
    <w:p>
      <w:pPr>
        <w:jc w:val="left"/>
      </w:pPr>
      <w:r>
        <w:rPr>
          <w:rFonts w:ascii="Times New Roman" w:hAnsi="Times New Roman"/>
          <w:b/>
          <w:i w:val="0"/>
          <w:sz w:val="24"/>
        </w:rPr>
        <w:t>Scenario Counterbalancing</w:t>
      </w:r>
    </w:p>
    <w:p>
      <w:pPr>
        <w:ind w:firstLine="720"/>
      </w:pPr>
      <w:r>
        <w:rPr>
          <w:rFonts w:ascii="Times New Roman" w:hAnsi="Times New Roman"/>
          <w:b w:val="0"/>
          <w:i w:val="0"/>
          <w:sz w:val="24"/>
        </w:rPr>
        <w:t>With N = 5, formal counterbalancing of a 2 (scenario) by 2 (condition) within-subject design is statistically impossible. A partial Latin square with explicit documentation is used instead. Three participants will receive Scenario A (AI tools in K-12 education) in the Phase 0 Claude condition and Scenario B (AI-based collaboration tools in remote work teams) in the Phase 2 Diverga condition. Two participants will receive the reverse assignment. Scenario assignment is pre-determined and will be locked in the Open Science Framework pre-registration prior to data collection. Scenario order is treated as a case-level covariate in cross-case analysis rather than as a variable to eliminate. The Phase 3 re-design task always uses the same scenario as Phase 0, enabling a within-scenario within-participant contrast between the Claude and Diverga conditions.</w:t>
      </w:r>
    </w:p>
    <w:p>
      <w:pPr>
        <w:jc w:val="left"/>
      </w:pPr>
      <w:r>
        <w:rPr>
          <w:rFonts w:ascii="Times New Roman" w:hAnsi="Times New Roman"/>
          <w:b/>
          <w:i w:val="0"/>
          <w:sz w:val="24"/>
        </w:rPr>
        <w:t>Recruitment Procedure</w:t>
      </w:r>
    </w:p>
    <w:p>
      <w:pPr>
        <w:ind w:firstLine="720"/>
      </w:pPr>
      <w:r>
        <w:rPr>
          <w:rFonts w:ascii="Times New Roman" w:hAnsi="Times New Roman"/>
          <w:b w:val="0"/>
          <w:i w:val="0"/>
          <w:sz w:val="24"/>
        </w:rPr>
        <w:t>To mitigate coercion risk, recruitment follows a third-party structure.</w:t>
      </w:r>
    </w:p>
    <w:p>
      <w:pPr>
        <w:ind w:left="720" w:hanging="360"/>
      </w:pPr>
      <w:r>
        <w:rPr>
          <w:rFonts w:ascii="Times New Roman" w:hAnsi="Times New Roman"/>
          <w:b w:val="0"/>
          <w:i w:val="0"/>
          <w:sz w:val="24"/>
        </w:rPr>
        <w:t>1. The Principal Investigator at Institution A sends a neutral recruitment announcement to doctoral program listservs at Institution A. The announcement describes the study in lay terms and directs interested students to a Qualtrics interest form hosted on Institution B's institutional Qualtrics account.</w:t>
      </w:r>
    </w:p>
    <w:p>
      <w:pPr>
        <w:ind w:left="720" w:hanging="360"/>
      </w:pPr>
      <w:r>
        <w:rPr>
          <w:rFonts w:ascii="Times New Roman" w:hAnsi="Times New Roman"/>
          <w:b w:val="0"/>
          <w:i w:val="0"/>
          <w:sz w:val="24"/>
        </w:rPr>
        <w:t>2. Parallel announcements are sent by a designated third-party contact at Institution B's College of Education, who is neither the Co-Investigator nor a current course instructor of any prospective participant.</w:t>
      </w:r>
    </w:p>
    <w:p>
      <w:pPr>
        <w:ind w:left="720" w:hanging="360"/>
      </w:pPr>
      <w:r>
        <w:rPr>
          <w:rFonts w:ascii="Times New Roman" w:hAnsi="Times New Roman"/>
          <w:b w:val="0"/>
          <w:i w:val="0"/>
          <w:sz w:val="24"/>
        </w:rPr>
        <w:t>3. Interest form responses are managed exclusively by a neutral study coordinator to be named in the IRB protocol. Neither investigator sees the identity of interested or declining students until data collection is complete.</w:t>
      </w:r>
    </w:p>
    <w:p>
      <w:pPr>
        <w:ind w:left="720" w:hanging="360"/>
      </w:pPr>
      <w:r>
        <w:rPr>
          <w:rFonts w:ascii="Times New Roman" w:hAnsi="Times New Roman"/>
          <w:b w:val="0"/>
          <w:i w:val="0"/>
          <w:sz w:val="24"/>
        </w:rPr>
        <w:t>4. The coordinator screens eligibility using the inclusion and exclusion criteria and a short screening survey of approximately 10 to 15 minutes capturing AI experience, methodology background, epistemological disposition, and disciplinary identity.</w:t>
      </w:r>
    </w:p>
    <w:p>
      <w:pPr>
        <w:ind w:left="720" w:hanging="360"/>
      </w:pPr>
      <w:r>
        <w:rPr>
          <w:rFonts w:ascii="Times New Roman" w:hAnsi="Times New Roman"/>
          <w:b w:val="0"/>
          <w:i w:val="0"/>
          <w:sz w:val="24"/>
        </w:rPr>
        <w:t>5. Five eligible participants are selected to maximize variation across the four sampling dimensions. Two to three alternates are identified to account for attrition.</w:t>
      </w:r>
    </w:p>
    <w:p>
      <w:pPr>
        <w:ind w:left="720" w:hanging="360"/>
      </w:pPr>
      <w:r>
        <w:rPr>
          <w:rFonts w:ascii="Times New Roman" w:hAnsi="Times New Roman"/>
          <w:b w:val="0"/>
          <w:i w:val="0"/>
          <w:sz w:val="24"/>
        </w:rPr>
        <w:t>6. The coordinator sends session invitations and schedules two Zoom sessions per enrolled participant.</w:t>
      </w:r>
    </w:p>
    <w:p>
      <w:pPr>
        <w:jc w:val="left"/>
      </w:pPr>
      <w:r>
        <w:rPr>
          <w:rFonts w:ascii="Times New Roman" w:hAnsi="Times New Roman"/>
          <w:b/>
          <w:i w:val="0"/>
          <w:sz w:val="24"/>
        </w:rPr>
        <w:t>Compensation</w:t>
      </w:r>
    </w:p>
    <w:p>
      <w:pPr>
        <w:ind w:firstLine="720"/>
      </w:pPr>
      <w:r>
        <w:rPr>
          <w:rFonts w:ascii="Times New Roman" w:hAnsi="Times New Roman"/>
          <w:b w:val="0"/>
          <w:i w:val="0"/>
          <w:sz w:val="24"/>
        </w:rPr>
        <w:t>Each participant receives a $75 digital gift card (Tango or Amazon) upon completion of both sessions. The amount reflects approximately $25 to $30 per hour for a combined commitment of 2.5 to 3 hours across the two sessions, consistent with 2026 norms for doctoral-level participant compensation at R1 universities. If a participant withdraws after Day 1 but before Day 2, a prorated $40 gift card is provided. The compensation is disclosed in the consent form as reportable income below the Internal Revenue Service 1099 threshold.</w:t>
      </w:r>
    </w:p>
    <w:p>
      <w:pPr>
        <w:jc w:val="center"/>
      </w:pPr>
      <w:r>
        <w:rPr>
          <w:rFonts w:ascii="Times New Roman" w:hAnsi="Times New Roman"/>
          <w:b/>
          <w:i w:val="0"/>
          <w:sz w:val="24"/>
        </w:rPr>
        <w:t>Data Collection and Measurement</w:t>
      </w:r>
    </w:p>
    <w:p>
      <w:pPr>
        <w:jc w:val="left"/>
      </w:pPr>
      <w:r>
        <w:rPr>
          <w:rFonts w:ascii="Times New Roman" w:hAnsi="Times New Roman"/>
          <w:b/>
          <w:i w:val="0"/>
          <w:sz w:val="24"/>
        </w:rPr>
        <w:t>Session Format and Timing</w:t>
      </w:r>
    </w:p>
    <w:p>
      <w:pPr>
        <w:ind w:firstLine="720"/>
      </w:pPr>
      <w:r>
        <w:rPr>
          <w:rFonts w:ascii="Times New Roman" w:hAnsi="Times New Roman"/>
          <w:b w:val="0"/>
          <w:i w:val="0"/>
          <w:sz w:val="24"/>
        </w:rPr>
        <w:t>Each participant completes two one-on-one Zoom sessions separated by 1 to 7 days. The inter-session gap is a design parameter rather than a limitation: it reduces rote recall of the Phase 0 design, ensuring that the Phase 3 re-design task is a genuine re-reasoning event rather than a transcription exercise.</w:t>
      </w:r>
    </w:p>
    <w:p>
      <w:pPr>
        <w:spacing w:line="240" w:lineRule="auto" w:before="240" w:after="0"/>
      </w:pPr>
      <w:r>
        <w:rPr>
          <w:rFonts w:ascii="Times New Roman" w:hAnsi="Times New Roman"/>
          <w:b/>
          <w:i w:val="0"/>
          <w:sz w:val="24"/>
        </w:rPr>
        <w:t>Table 7</w:t>
      </w:r>
    </w:p>
    <w:p>
      <w:pPr>
        <w:spacing w:line="240" w:lineRule="auto" w:before="0" w:after="120"/>
      </w:pPr>
      <w:r>
        <w:rPr>
          <w:rFonts w:ascii="Times New Roman" w:hAnsi="Times New Roman"/>
          <w:b w:val="0"/>
          <w:i/>
          <w:sz w:val="24"/>
        </w:rPr>
        <w:t>Two-Day Session Structure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Day</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Phase</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Duration</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Activity</w:t>
            </w:r>
          </w:p>
        </w:tc>
        <w:tc>
          <w:tcPr>
            <w:tcW w:type="dxa" w:w="1872"/>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Data Collected</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Day 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Phase 0: Claude baseline</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30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Design a research study using Claude.ai (single conversation, no Projects). Browser web search permitted. Post-session self-efficacy and engagement survey.</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Claude transcript, browser history, Google Doc artifact, screen recording, concurrent think-aloud, self-report scales</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Day 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Phase 1: Orientation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20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Guided walkthrough of Diverga's checkpoint system with neutral practice scenario.</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Orientation log</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Day 1</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Phase 2: Diverga novel task</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60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Design a research study on the alternate scenario using Diverga with concurrent think-aloud. Post-session self-efficacy and engagement survey.</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Screen recording, think-aloud, decision-log, agent activation log, artifact, self-report scales</w:t>
            </w:r>
          </w:p>
        </w:tc>
      </w:tr>
      <w:tr>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Day 2</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Phase 3: Re-design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40 min</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Revisit Phase 0 scenario using Diverga. Retrospective think-aloud deferred to interview.</w:t>
            </w:r>
          </w:p>
        </w:tc>
        <w:tc>
          <w:tcPr>
            <w:tcW w:type="dxa" w:w="1872"/>
            <w:tcBorders>
              <w:top w:val="nil"/>
              <w:bottom w:val="nil"/>
              <w:left w:val="nil"/>
              <w:right w:val="nil"/>
              <w:insideV w:val="nil"/>
            </w:tcBorders>
          </w:tcPr>
          <w:p>
            <w:pPr>
              <w:spacing w:line="240" w:lineRule="auto" w:before="60" w:after="60"/>
              <w:jc w:val="left"/>
            </w:pPr>
            <w:r/>
            <w:r>
              <w:rPr>
                <w:rFonts w:ascii="Times New Roman" w:hAnsi="Times New Roman"/>
                <w:sz w:val="22"/>
              </w:rPr>
              <w:t>Screen recording, decision-log, re-designed artifact</w:t>
            </w:r>
          </w:p>
        </w:tc>
      </w:tr>
      <w:tr>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Day 2</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Phase 4: Interview</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30 min</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Semi-structured interview with four blocks and retrospective think-aloud via screen replay.</w:t>
            </w:r>
          </w:p>
        </w:tc>
        <w:tc>
          <w:tcPr>
            <w:tcW w:type="dxa" w:w="1872"/>
            <w:tcBorders>
              <w:top w:val="nil"/>
              <w:bottom w:val="single" w:sz="8"/>
              <w:left w:val="nil"/>
              <w:right w:val="nil"/>
              <w:insideV w:val="nil"/>
            </w:tcBorders>
          </w:tcPr>
          <w:p>
            <w:pPr>
              <w:spacing w:line="240" w:lineRule="auto" w:before="60" w:after="60"/>
              <w:jc w:val="left"/>
            </w:pPr>
            <w:r/>
            <w:r>
              <w:rPr>
                <w:rFonts w:ascii="Times New Roman" w:hAnsi="Times New Roman"/>
                <w:sz w:val="22"/>
              </w:rPr>
              <w:t>Interview audio, retrospective think-aloud</w:t>
            </w:r>
          </w:p>
        </w:tc>
      </w:tr>
    </w:tbl>
    <w:p>
      <w:pPr>
        <w:spacing w:before="120" w:after="0"/>
      </w:pPr>
    </w:p>
    <w:p>
      <w:pPr>
        <w:jc w:val="left"/>
      </w:pPr>
      <w:r>
        <w:rPr>
          <w:rFonts w:ascii="Times New Roman" w:hAnsi="Times New Roman"/>
          <w:b/>
          <w:i w:val="0"/>
          <w:sz w:val="24"/>
        </w:rPr>
        <w:t>Phase 0 Instrumentation Protocol</w:t>
      </w:r>
    </w:p>
    <w:p>
      <w:pPr>
        <w:ind w:firstLine="720"/>
      </w:pPr>
      <w:r>
        <w:rPr>
          <w:rFonts w:ascii="Times New Roman" w:hAnsi="Times New Roman"/>
          <w:b w:val="0"/>
          <w:i w:val="0"/>
          <w:sz w:val="24"/>
        </w:rPr>
        <w:t>The Phase 0 Claude baseline requires specific instrumentation to distinguish reasoning attributable to Claude's output from reasoning drawn from web-retrieved content. Participants use the Claude.ai web application in a single fresh conversation with the Projects feature and any custom system prompt disabled. Participants are permitted to open browser tabs for web search, consistent with ecologically valid doctoral research practice. The full Claude conversation transcript is exported and retained for subsequent Tier 1 rubric coding (DoK, prompt relevance, originality). Browser history for the Phase 0 session window is logged with participant consent and retained for post-hoc attribution analysis. The Google Doc artifact is retained as the final output for originality and performance scoring.</w:t>
      </w:r>
    </w:p>
    <w:p>
      <w:pPr>
        <w:jc w:val="left"/>
      </w:pPr>
      <w:r>
        <w:rPr>
          <w:rFonts w:ascii="Times New Roman" w:hAnsi="Times New Roman"/>
          <w:b/>
          <w:i w:val="0"/>
          <w:sz w:val="24"/>
        </w:rPr>
        <w:t>Think-Aloud Protocol</w:t>
      </w:r>
    </w:p>
    <w:p>
      <w:pPr>
        <w:ind w:firstLine="720"/>
      </w:pPr>
      <w:r>
        <w:rPr>
          <w:rFonts w:ascii="Times New Roman" w:hAnsi="Times New Roman"/>
          <w:b w:val="0"/>
          <w:i w:val="0"/>
          <w:sz w:val="24"/>
        </w:rPr>
        <w:t>Concurrent think-aloud (Ericsson &amp; Simon, 1993) is used in Phase 0 (Claude baseline) and Phase 2 (Diverga novel task). A 5-minute warm-up using a non-research task familiarizes participants with verbalizing thought processes. Participants are instructed to think aloud as they work. The researcher prompts when silence exceeds 15 seconds. Retrospective think-aloud (van Someren et al., 1994) is used in Phase 3 and Phase 4 via screen replay, reducing cognitive load during the Phase 3 re-design task while still capturing the interpretive layer.</w:t>
      </w:r>
    </w:p>
    <w:p>
      <w:pPr>
        <w:jc w:val="left"/>
      </w:pPr>
      <w:r>
        <w:rPr>
          <w:rFonts w:ascii="Times New Roman" w:hAnsi="Times New Roman"/>
          <w:b/>
          <w:i w:val="0"/>
          <w:sz w:val="24"/>
        </w:rPr>
        <w:t>Data Sources Summary</w:t>
      </w:r>
    </w:p>
    <w:p>
      <w:pPr>
        <w:spacing w:line="240" w:lineRule="auto" w:before="240" w:after="0"/>
      </w:pPr>
      <w:r>
        <w:rPr>
          <w:rFonts w:ascii="Times New Roman" w:hAnsi="Times New Roman"/>
          <w:b/>
          <w:i w:val="0"/>
          <w:sz w:val="24"/>
        </w:rPr>
        <w:t>Table 8</w:t>
      </w:r>
    </w:p>
    <w:p>
      <w:pPr>
        <w:spacing w:line="240" w:lineRule="auto" w:before="0" w:after="120"/>
      </w:pPr>
      <w:r>
        <w:rPr>
          <w:rFonts w:ascii="Times New Roman" w:hAnsi="Times New Roman"/>
          <w:b w:val="0"/>
          <w:i/>
          <w:sz w:val="24"/>
        </w:rPr>
        <w:t>Data Sources by Paper and Type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Data Source</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Tier 1 Use</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Tier 2 Use</w:t>
            </w:r>
          </w:p>
        </w:tc>
        <w:tc>
          <w:tcPr>
            <w:tcW w:type="dxa" w:w="234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Paper 3 Qualitative Use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Claude.ai transcript (Phase 0)</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Prompt number, DoK, prompt relevance coding</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PIR baseline (near zero)</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Baseline narrative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Browser history (Phase 0)</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Originality attribution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Not applicable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Ecological context</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Diverga decision-log (SQLite)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Prompt number equivalent (checkpoint count)</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All 5 CMAA indicators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Case narrative evidence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Agent activation log</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Not applicable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CCI computation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Supplementary descriptor</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Zoom screen recording</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Behavioral timing for rubric coding</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Telemetry verification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Retrospective replay cue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Concurrent think-aloud</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Qualitative anchors for Tier 1 metrics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Qualitative anchors for CMAA vignettes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Primary contradiction coding data</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Retrospective think-aloud</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Clarification of prompt rationale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Clarification of checkpoint decisions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Case interpretation</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Pre-post artifacts</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Originality and performance scoring</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Decision space comparison</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Case portrait evidence</w:t>
            </w:r>
          </w:p>
        </w:tc>
      </w:tr>
      <w:tr>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Post-session survey</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Self-efficacy (Avey et al., 2009); Engagement (Skinner et al., 2009)</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Not applicable</w:t>
            </w:r>
          </w:p>
        </w:tc>
        <w:tc>
          <w:tcPr>
            <w:tcW w:type="dxa" w:w="2340"/>
            <w:tcBorders>
              <w:top w:val="nil"/>
              <w:bottom w:val="nil"/>
              <w:left w:val="nil"/>
              <w:right w:val="nil"/>
              <w:insideV w:val="nil"/>
            </w:tcBorders>
          </w:tcPr>
          <w:p>
            <w:pPr>
              <w:spacing w:line="240" w:lineRule="auto" w:before="60" w:after="60"/>
              <w:jc w:val="left"/>
            </w:pPr>
            <w:r/>
            <w:r>
              <w:rPr>
                <w:rFonts w:ascii="Times New Roman" w:hAnsi="Times New Roman"/>
                <w:sz w:val="22"/>
              </w:rPr>
              <w:t>Cross-condition self-report comparison</w:t>
            </w:r>
          </w:p>
        </w:tc>
      </w:tr>
      <w:tr>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Semi-structured interview</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Limited vignettes</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Limited vignettes</w:t>
            </w:r>
          </w:p>
        </w:tc>
        <w:tc>
          <w:tcPr>
            <w:tcW w:type="dxa" w:w="2340"/>
            <w:tcBorders>
              <w:top w:val="nil"/>
              <w:bottom w:val="single" w:sz="8"/>
              <w:left w:val="nil"/>
              <w:right w:val="nil"/>
              <w:insideV w:val="nil"/>
            </w:tcBorders>
          </w:tcPr>
          <w:p>
            <w:pPr>
              <w:spacing w:line="240" w:lineRule="auto" w:before="60" w:after="60"/>
              <w:jc w:val="left"/>
            </w:pPr>
            <w:r/>
            <w:r>
              <w:rPr>
                <w:rFonts w:ascii="Times New Roman" w:hAnsi="Times New Roman"/>
                <w:sz w:val="22"/>
              </w:rPr>
              <w:t>Primary interview data</w:t>
            </w:r>
          </w:p>
        </w:tc>
      </w:tr>
    </w:tbl>
    <w:p>
      <w:pPr>
        <w:spacing w:before="120" w:after="0"/>
      </w:pPr>
    </w:p>
    <w:p>
      <w:pPr>
        <w:jc w:val="left"/>
      </w:pPr>
      <w:r>
        <w:rPr>
          <w:rFonts w:ascii="Times New Roman" w:hAnsi="Times New Roman"/>
          <w:b/>
          <w:i w:val="0"/>
          <w:sz w:val="24"/>
        </w:rPr>
        <w:t>Self-Report Measures</w:t>
      </w:r>
    </w:p>
    <w:p>
      <w:pPr>
        <w:ind w:firstLine="720"/>
      </w:pPr>
      <w:r>
        <w:rPr>
          <w:rFonts w:ascii="Times New Roman" w:hAnsi="Times New Roman"/>
          <w:b w:val="0"/>
          <w:i w:val="0"/>
          <w:sz w:val="24"/>
        </w:rPr>
        <w:t>Following Yang et al. (2025), two validated self-report scales are administered after each condition as a brief post-session survey of approximately 5 minutes. Items are adapted from the original semester-long course context to a single-session research design context while preserving the item structure and response format.</w:t>
      </w:r>
    </w:p>
    <w:p>
      <w:pPr>
        <w:ind w:firstLine="720"/>
      </w:pPr>
      <w:r>
        <w:rPr>
          <w:rFonts w:ascii="Times New Roman" w:hAnsi="Times New Roman"/>
          <w:b w:val="0"/>
          <w:i w:val="0"/>
          <w:sz w:val="24"/>
        </w:rPr>
        <w:t>Self-efficacy is measured with five items adapted from Avey et al. (2009), using a 5-point Likert scale (1 = strongly disagree, 5 = strongly agree). Example adapted items include statements such as, I feel confident using this AI system to design research, and I can effectively interact with this AI system to get useful ideas. Participants complete the scale twice, once after Phase 0 (Claude condition) and once after Phase 2 (Diverga condition), with the referent AI system substituted accordingly.</w:t>
      </w:r>
    </w:p>
    <w:p>
      <w:pPr>
        <w:ind w:firstLine="720"/>
      </w:pPr>
      <w:r>
        <w:rPr>
          <w:rFonts w:ascii="Times New Roman" w:hAnsi="Times New Roman"/>
          <w:b w:val="0"/>
          <w:i w:val="0"/>
          <w:sz w:val="24"/>
        </w:rPr>
        <w:t>Engagement is measured as a composite score combining emotional, cognitive, and behavioral engagement items adapted from Skinner et al. (2009), Fredricks et al. (2004), and Halverson and Graham (2019), following the composite scoring approach used by Yang et al. (2025). Six to eight items cover emotional engagement (interest and enjoyment), cognitive engagement (perceived value and critical thinking effort), and behavioral engagement (participation and concentration). Items are rephrased from Yang et al.'s course-level referent to a session-level referent. The composite score is computed by summing item responses. The scale is administered twice, once after each condition.</w:t>
      </w:r>
    </w:p>
    <w:p>
      <w:pPr>
        <w:ind w:firstLine="720"/>
      </w:pPr>
      <w:r>
        <w:rPr>
          <w:rFonts w:ascii="Times New Roman" w:hAnsi="Times New Roman"/>
          <w:b w:val="0"/>
          <w:i w:val="0"/>
          <w:sz w:val="24"/>
        </w:rPr>
        <w:t>The exact item wording will be finalized during the instrument adaptation phase prior to pilot testing and will be included as supplementary material in the Open Science Framework pre-registration before data collection begins.</w:t>
      </w:r>
    </w:p>
    <w:p>
      <w:pPr>
        <w:jc w:val="left"/>
      </w:pPr>
      <w:r>
        <w:rPr>
          <w:rFonts w:ascii="Times New Roman" w:hAnsi="Times New Roman"/>
          <w:b/>
          <w:i w:val="0"/>
          <w:sz w:val="24"/>
        </w:rPr>
        <w:t>Independent Performance Evaluation</w:t>
      </w:r>
    </w:p>
    <w:p>
      <w:pPr>
        <w:ind w:firstLine="720"/>
      </w:pPr>
      <w:r>
        <w:rPr>
          <w:rFonts w:ascii="Times New Roman" w:hAnsi="Times New Roman"/>
          <w:b w:val="0"/>
          <w:i w:val="0"/>
          <w:sz w:val="24"/>
        </w:rPr>
        <w:t>Research design quality is evaluated using a four-dimension rubric developed for this study, with dimensions for research question clarity and specificity, theoretical grounding, method-question alignment, and ethical consideration, each scored on a four-level scale. Following Yang et al.'s (2025) bias mitigation approach, evaluation is conducted by the Principal Investigator, who did not develop Diverga, serving as an independent evaluator blind to condition during scoring. The evaluator receives artifacts (Phase 0 Google Doc; Phase 2 and Phase 3 Diverga outputs) with identifying labels removed and in randomized order to prevent condition inference.</w:t>
      </w:r>
    </w:p>
    <w:p>
      <w:pPr>
        <w:ind w:firstLine="720"/>
      </w:pPr>
      <w:r>
        <w:rPr>
          <w:rFonts w:ascii="Times New Roman" w:hAnsi="Times New Roman"/>
          <w:b w:val="0"/>
          <w:i w:val="0"/>
          <w:sz w:val="24"/>
        </w:rPr>
        <w:t>Inter-rater reliability is established during a pilot phase: the Principal Investigator and one external educational research methodologist independently score a set of pilot artifacts, and Cohen's kappa is computed before any study artifacts are scored. The rubric is refined based on pilot disagreements. Final scoring of study artifacts is conducted by the Principal Investigator alone after reliability is established.</w:t>
      </w:r>
    </w:p>
    <w:p>
      <w:pPr>
        <w:jc w:val="center"/>
      </w:pPr>
      <w:r>
        <w:rPr>
          <w:rFonts w:ascii="Times New Roman" w:hAnsi="Times New Roman"/>
          <w:b/>
          <w:i w:val="0"/>
          <w:sz w:val="24"/>
        </w:rPr>
        <w:t>Data Analysis Plan</w:t>
      </w:r>
    </w:p>
    <w:p>
      <w:pPr>
        <w:jc w:val="left"/>
      </w:pPr>
      <w:r>
        <w:rPr>
          <w:rFonts w:ascii="Times New Roman" w:hAnsi="Times New Roman"/>
          <w:b/>
          <w:i w:val="0"/>
          <w:sz w:val="24"/>
        </w:rPr>
        <w:t>Paper 2 Analysis (Indicator-Centric)</w:t>
      </w:r>
    </w:p>
    <w:p>
      <w:pPr>
        <w:ind w:firstLine="720"/>
      </w:pPr>
      <w:r>
        <w:rPr>
          <w:rFonts w:ascii="Times New Roman" w:hAnsi="Times New Roman"/>
          <w:b w:val="0"/>
          <w:i w:val="0"/>
          <w:sz w:val="24"/>
        </w:rPr>
        <w:t>Tier 1 analysis computes descriptive statistics for the four HALIE-adapted metrics (prompt number, DoK, prompt relevance, originality) and the independent performance score across both conditions for each of the five participants. Between-condition contrasts are reported as paired within-subject descriptive comparisons following Yang et al.'s (2025) approach, adapted to the N = 5 scale. Self-efficacy and engagement scores are reported per condition per participant, with simple within-subject differences displayed graphically. Inferential statistics are not reported; with N = 5, descriptive visualization and pattern interpretation are the only defensible analyses.</w:t>
      </w:r>
    </w:p>
    <w:p>
      <w:pPr>
        <w:ind w:firstLine="720"/>
      </w:pPr>
      <w:r>
        <w:rPr>
          <w:rFonts w:ascii="Times New Roman" w:hAnsi="Times New Roman"/>
          <w:b w:val="0"/>
          <w:i w:val="0"/>
          <w:sz w:val="24"/>
        </w:rPr>
        <w:t>Tier 2 analysis computes the five CMAA indicators for the Diverga condition. PIR, DSE, and GCA are also computed for the Claude condition (where architecturally meaningful) to support contrastive interpretation; SUD and CCI are reported as Diverga descriptors only. Typicality Trajectory analysis plots T-Score selections across sequential Diverga checkpoints, building on the strategic-inquirer versus exploratory-inquirer archetypes identified by Yang et al. (2025). For each indicator, Paper 2 presents one or two think-aloud vignettes that illustrate the behavioral and cognitive processes underlying the numeric value.</w:t>
      </w:r>
    </w:p>
    <w:p>
      <w:pPr>
        <w:jc w:val="left"/>
      </w:pPr>
      <w:r>
        <w:rPr>
          <w:rFonts w:ascii="Times New Roman" w:hAnsi="Times New Roman"/>
          <w:b/>
          <w:i w:val="0"/>
          <w:sz w:val="24"/>
        </w:rPr>
        <w:t>Paper 3 Analysis (Case-Centric)</w:t>
      </w:r>
    </w:p>
    <w:p>
      <w:pPr>
        <w:ind w:firstLine="720"/>
      </w:pPr>
      <w:r>
        <w:rPr>
          <w:rFonts w:ascii="Times New Roman" w:hAnsi="Times New Roman"/>
          <w:b w:val="0"/>
          <w:i w:val="0"/>
          <w:sz w:val="24"/>
        </w:rPr>
        <w:t>Within-case analysis reconstructs each participant's journey through the five phases as a chronological narrative, integrating think-aloud, screen recording, Tier 1 and Tier 2 indicators, artifacts, and interview reflections. Each case portrait includes the participant profile across the four sampling dimensions, the scenario assignment and phase-by-phase summary, identification of checkpoint moments where observable tension or deliberation occurred, indicator values as supporting numeric descriptors, and interview-derived reflective interpretation.</w:t>
      </w:r>
    </w:p>
    <w:p>
      <w:pPr>
        <w:ind w:firstLine="720"/>
      </w:pPr>
      <w:r>
        <w:rPr>
          <w:rFonts w:ascii="Times New Roman" w:hAnsi="Times New Roman"/>
          <w:b w:val="0"/>
          <w:i w:val="0"/>
          <w:sz w:val="24"/>
        </w:rPr>
        <w:t>Cross-case analysis uses Engestrom's (1987) contradiction typology as the primary analytic frame. Contradictions are coded at four levels: primary (within a single component), secondary (between components), tertiary (between a dominant and a more advanced activity form), and quaternary (between neighboring activity systems). Two coders code independently, inter-rater reliability is reported using Cohen's kappa, and disagreements are adjudicated by the Principal Investigator. A case-ordered descriptive matrix (Miles et al., 2020) organizes participants by AI knowledge level, with columns for checkpoint engagement pattern, dominant contradiction type, Tier 1 and Tier 2 indicator pattern, and perceived scaffolding value.</w:t>
      </w:r>
    </w:p>
    <w:p>
      <w:pPr>
        <w:jc w:val="left"/>
      </w:pPr>
      <w:r>
        <w:rPr>
          <w:rFonts w:ascii="Times New Roman" w:hAnsi="Times New Roman"/>
          <w:b/>
          <w:i w:val="0"/>
          <w:sz w:val="24"/>
        </w:rPr>
        <w:t>Researcher Positionality and Bias Controls</w:t>
      </w:r>
    </w:p>
    <w:p>
      <w:pPr>
        <w:ind w:firstLine="720"/>
      </w:pPr>
      <w:r>
        <w:rPr>
          <w:rFonts w:ascii="Times New Roman" w:hAnsi="Times New Roman"/>
          <w:b w:val="0"/>
          <w:i w:val="0"/>
          <w:sz w:val="24"/>
        </w:rPr>
        <w:t>The Co-Investigator is the developer of the Diverga system being studied. This dual role creates a confirmatory risk that must be mitigated through structural controls rather than aspirational reflexivity. The following controls are in place and will be documented in the pre-registered analysis plan.</w:t>
      </w:r>
    </w:p>
    <w:p>
      <w:pPr>
        <w:ind w:left="720" w:hanging="360"/>
      </w:pPr>
      <w:r>
        <w:rPr>
          <w:rFonts w:ascii="Times New Roman" w:hAnsi="Times New Roman"/>
          <w:b w:val="0"/>
          <w:i w:val="0"/>
          <w:sz w:val="24"/>
        </w:rPr>
        <w:t>1. A neutral third-party coordinator facilitates data collection sessions. The Co-Investigator is not present during the Zoom sessions.</w:t>
      </w:r>
    </w:p>
    <w:p>
      <w:pPr>
        <w:ind w:left="720" w:hanging="360"/>
      </w:pPr>
      <w:r>
        <w:rPr>
          <w:rFonts w:ascii="Times New Roman" w:hAnsi="Times New Roman"/>
          <w:b w:val="0"/>
          <w:i w:val="0"/>
          <w:sz w:val="24"/>
        </w:rPr>
        <w:t>2. The Principal Investigator, who was not involved in Diverga's development, leads the qualitative contradiction coding and the independent performance evaluation, following the bias mitigation precedent of Yang et al. (2025).</w:t>
      </w:r>
    </w:p>
    <w:p>
      <w:pPr>
        <w:ind w:left="720" w:hanging="360"/>
      </w:pPr>
      <w:r>
        <w:rPr>
          <w:rFonts w:ascii="Times New Roman" w:hAnsi="Times New Roman"/>
          <w:b w:val="0"/>
          <w:i w:val="0"/>
          <w:sz w:val="24"/>
        </w:rPr>
        <w:t>3. Inter-rater reliability on contradiction coding and Tier 1 rubric scoring is reported using Cohen's kappa. The second coder codes from anonymized transcripts without access to the decision-log, ensuring that qualitative interpretation is not anchored by quantitative patterns.</w:t>
      </w:r>
    </w:p>
    <w:p>
      <w:pPr>
        <w:ind w:left="720" w:hanging="360"/>
      </w:pPr>
      <w:r>
        <w:rPr>
          <w:rFonts w:ascii="Times New Roman" w:hAnsi="Times New Roman"/>
          <w:b w:val="0"/>
          <w:i w:val="0"/>
          <w:sz w:val="24"/>
        </w:rPr>
        <w:t>4. Disagreements in coding are resolved through structured adjudication by the Principal Investigator.</w:t>
      </w:r>
    </w:p>
    <w:p>
      <w:pPr>
        <w:ind w:left="720" w:hanging="360"/>
      </w:pPr>
      <w:r>
        <w:rPr>
          <w:rFonts w:ascii="Times New Roman" w:hAnsi="Times New Roman"/>
          <w:b w:val="0"/>
          <w:i w:val="0"/>
          <w:sz w:val="24"/>
        </w:rPr>
        <w:t>5. A written reflexivity memo is maintained by the Co-Investigator throughout analysis and submitted to the Principal Investigator at protocol close.</w:t>
      </w:r>
    </w:p>
    <w:p>
      <w:pPr>
        <w:ind w:left="720" w:hanging="360"/>
      </w:pPr>
      <w:r>
        <w:rPr>
          <w:rFonts w:ascii="Times New Roman" w:hAnsi="Times New Roman"/>
          <w:b w:val="0"/>
          <w:i w:val="0"/>
          <w:sz w:val="24"/>
        </w:rPr>
        <w:t>6. Disconfirming evidence, including instances where Diverga's checkpoints produced no observable benefit or generated friction, is reported in the results with equal prominence to positive cases.</w:t>
      </w:r>
    </w:p>
    <w:p>
      <w:pPr>
        <w:ind w:left="720" w:hanging="360"/>
      </w:pPr>
      <w:r>
        <w:rPr>
          <w:rFonts w:ascii="Times New Roman" w:hAnsi="Times New Roman"/>
          <w:b w:val="0"/>
          <w:i w:val="0"/>
          <w:sz w:val="24"/>
        </w:rPr>
        <w:t>7. All raw data, codebooks, instrument adaptations, and adjudication logs are archived on the Open Science Framework for independent audit.</w:t>
      </w:r>
    </w:p>
    <w:p>
      <w:pPr>
        <w:jc w:val="left"/>
      </w:pPr>
      <w:r>
        <w:rPr>
          <w:rFonts w:ascii="Times New Roman" w:hAnsi="Times New Roman"/>
          <w:b/>
          <w:i w:val="0"/>
          <w:sz w:val="24"/>
        </w:rPr>
        <w:t>Pre-Registration</w:t>
      </w:r>
    </w:p>
    <w:p>
      <w:pPr>
        <w:ind w:firstLine="720"/>
      </w:pPr>
      <w:r>
        <w:rPr>
          <w:rFonts w:ascii="Times New Roman" w:hAnsi="Times New Roman"/>
          <w:b w:val="0"/>
          <w:i w:val="0"/>
          <w:sz w:val="24"/>
        </w:rPr>
        <w:t>The study is pre-registered on the Open Science Framework prior to data collection. The following elements are locked in the pre-registration:</w:t>
      </w:r>
    </w:p>
    <w:p>
      <w:pPr>
        <w:ind w:left="720" w:hanging="360"/>
      </w:pPr>
      <w:r>
        <w:rPr>
          <w:rFonts w:ascii="Times New Roman" w:hAnsi="Times New Roman"/>
          <w:b w:val="0"/>
          <w:i w:val="0"/>
          <w:sz w:val="24"/>
        </w:rPr>
        <w:t>•  Exact wording of all research questions</w:t>
      </w:r>
    </w:p>
    <w:p>
      <w:pPr>
        <w:ind w:left="720" w:hanging="360"/>
      </w:pPr>
      <w:r>
        <w:rPr>
          <w:rFonts w:ascii="Times New Roman" w:hAnsi="Times New Roman"/>
          <w:b w:val="0"/>
          <w:i w:val="0"/>
          <w:sz w:val="24"/>
        </w:rPr>
        <w:t>•  Maximum-variation sampling criteria and rationale</w:t>
      </w:r>
    </w:p>
    <w:p>
      <w:pPr>
        <w:ind w:left="720" w:hanging="360"/>
      </w:pPr>
      <w:r>
        <w:rPr>
          <w:rFonts w:ascii="Times New Roman" w:hAnsi="Times New Roman"/>
          <w:b w:val="0"/>
          <w:i w:val="0"/>
          <w:sz w:val="24"/>
        </w:rPr>
        <w:t>•  Tier 1 rubric adaptations from Yang et al. (2025, Appendix A), including any minor wording changes</w:t>
      </w:r>
    </w:p>
    <w:p>
      <w:pPr>
        <w:ind w:left="720" w:hanging="360"/>
      </w:pPr>
      <w:r>
        <w:rPr>
          <w:rFonts w:ascii="Times New Roman" w:hAnsi="Times New Roman"/>
          <w:b w:val="0"/>
          <w:i w:val="0"/>
          <w:sz w:val="24"/>
        </w:rPr>
        <w:t>•  Final item wording for the adapted self-efficacy and engagement scales</w:t>
      </w:r>
    </w:p>
    <w:p>
      <w:pPr>
        <w:ind w:left="720" w:hanging="360"/>
      </w:pPr>
      <w:r>
        <w:rPr>
          <w:rFonts w:ascii="Times New Roman" w:hAnsi="Times New Roman"/>
          <w:b w:val="0"/>
          <w:i w:val="0"/>
          <w:sz w:val="24"/>
        </w:rPr>
        <w:t>•  Four-dimension research design quality rubric for performance evaluation</w:t>
      </w:r>
    </w:p>
    <w:p>
      <w:pPr>
        <w:ind w:left="720" w:hanging="360"/>
      </w:pPr>
      <w:r>
        <w:rPr>
          <w:rFonts w:ascii="Times New Roman" w:hAnsi="Times New Roman"/>
          <w:b w:val="0"/>
          <w:i w:val="0"/>
          <w:sz w:val="24"/>
        </w:rPr>
        <w:t>•  CMAA indicator operational definitions and scoring rules</w:t>
      </w:r>
    </w:p>
    <w:p>
      <w:pPr>
        <w:ind w:left="720" w:hanging="360"/>
      </w:pPr>
      <w:r>
        <w:rPr>
          <w:rFonts w:ascii="Times New Roman" w:hAnsi="Times New Roman"/>
          <w:b w:val="0"/>
          <w:i w:val="0"/>
          <w:sz w:val="24"/>
        </w:rPr>
        <w:t>•  Scenario assignment (which three participants receive Scenario A first, which two receive Scenario B first)</w:t>
      </w:r>
    </w:p>
    <w:p>
      <w:pPr>
        <w:ind w:left="720" w:hanging="360"/>
      </w:pPr>
      <w:r>
        <w:rPr>
          <w:rFonts w:ascii="Times New Roman" w:hAnsi="Times New Roman"/>
          <w:b w:val="0"/>
          <w:i w:val="0"/>
          <w:sz w:val="24"/>
        </w:rPr>
        <w:t>•  Engestrom contradiction coding taxonomy</w:t>
      </w:r>
    </w:p>
    <w:p>
      <w:pPr>
        <w:ind w:left="720" w:hanging="360"/>
      </w:pPr>
      <w:r>
        <w:rPr>
          <w:rFonts w:ascii="Times New Roman" w:hAnsi="Times New Roman"/>
          <w:b w:val="0"/>
          <w:i w:val="0"/>
          <w:sz w:val="24"/>
        </w:rPr>
        <w:t>•  Inference criteria defining what pattern of indicator values would constitute evidence for or against the study's claims</w:t>
      </w:r>
    </w:p>
    <w:p>
      <w:pPr>
        <w:ind w:left="720" w:hanging="360"/>
      </w:pPr>
      <w:r>
        <w:rPr>
          <w:rFonts w:ascii="Times New Roman" w:hAnsi="Times New Roman"/>
          <w:b w:val="0"/>
          <w:i w:val="0"/>
          <w:sz w:val="24"/>
        </w:rPr>
        <w:t>•  Data collection protocol (two-day split, retrospective think-aloud in Phases 3 and 4)</w:t>
      </w:r>
    </w:p>
    <w:p>
      <w:pPr>
        <w:ind w:left="720" w:hanging="360"/>
      </w:pPr>
      <w:r>
        <w:rPr>
          <w:rFonts w:ascii="Times New Roman" w:hAnsi="Times New Roman"/>
          <w:b w:val="0"/>
          <w:i w:val="0"/>
          <w:sz w:val="24"/>
        </w:rPr>
        <w:t>•  Analysis sequence (within-case first, then cross-case)</w:t>
      </w:r>
    </w:p>
    <w:p>
      <w:pPr>
        <w:ind w:firstLine="720"/>
      </w:pPr>
      <w:r>
        <w:rPr>
          <w:rFonts w:ascii="Times New Roman" w:hAnsi="Times New Roman"/>
          <w:b w:val="0"/>
          <w:i w:val="0"/>
          <w:sz w:val="24"/>
        </w:rPr>
        <w:t>The following analyses are declared exploratory in the pre-registration:</w:t>
      </w:r>
    </w:p>
    <w:p>
      <w:pPr>
        <w:ind w:left="720" w:hanging="360"/>
      </w:pPr>
      <w:r>
        <w:rPr>
          <w:rFonts w:ascii="Times New Roman" w:hAnsi="Times New Roman"/>
          <w:b w:val="0"/>
          <w:i w:val="0"/>
          <w:sz w:val="24"/>
        </w:rPr>
        <w:t>•  Emergent sub-themes within contradiction categories</w:t>
      </w:r>
    </w:p>
    <w:p>
      <w:pPr>
        <w:ind w:left="720" w:hanging="360"/>
      </w:pPr>
      <w:r>
        <w:rPr>
          <w:rFonts w:ascii="Times New Roman" w:hAnsi="Times New Roman"/>
          <w:b w:val="0"/>
          <w:i w:val="0"/>
          <w:sz w:val="24"/>
        </w:rPr>
        <w:t>•  Post-hoc interpretive connections between Tier 1 and Tier 2 indicator patterns</w:t>
      </w:r>
    </w:p>
    <w:p>
      <w:pPr>
        <w:ind w:left="720" w:hanging="360"/>
      </w:pPr>
      <w:r>
        <w:rPr>
          <w:rFonts w:ascii="Times New Roman" w:hAnsi="Times New Roman"/>
          <w:b w:val="0"/>
          <w:i w:val="0"/>
          <w:sz w:val="24"/>
        </w:rPr>
        <w:t>•  Any analysis added after baseline review of session recordings</w:t>
      </w:r>
    </w:p>
    <w:p>
      <w:pPr>
        <w:ind w:firstLine="720"/>
      </w:pPr>
      <w:r>
        <w:rPr>
          <w:rFonts w:ascii="Times New Roman" w:hAnsi="Times New Roman"/>
          <w:b w:val="0"/>
          <w:i w:val="0"/>
          <w:sz w:val="24"/>
        </w:rPr>
        <w:t>Exploratory findings are labeled as such in both manuscripts. Retroactive reframing of exploratory findings as confirmatory is prohibited by protocol.</w:t>
      </w:r>
    </w:p>
    <w:p>
      <w:pPr>
        <w:jc w:val="center"/>
      </w:pPr>
      <w:r>
        <w:rPr>
          <w:rFonts w:ascii="Times New Roman" w:hAnsi="Times New Roman"/>
          <w:b/>
          <w:i w:val="0"/>
          <w:sz w:val="24"/>
        </w:rPr>
        <w:t>IRB Protections and Risk Mitigation</w:t>
      </w:r>
    </w:p>
    <w:p>
      <w:pPr>
        <w:jc w:val="left"/>
      </w:pPr>
      <w:r>
        <w:rPr>
          <w:rFonts w:ascii="Times New Roman" w:hAnsi="Times New Roman"/>
          <w:b/>
          <w:i w:val="0"/>
          <w:sz w:val="24"/>
        </w:rPr>
        <w:t>Risk Assessment</w:t>
      </w:r>
    </w:p>
    <w:p>
      <w:pPr>
        <w:ind w:firstLine="720"/>
      </w:pPr>
      <w:r>
        <w:rPr>
          <w:rFonts w:ascii="Times New Roman" w:hAnsi="Times New Roman"/>
          <w:b w:val="0"/>
          <w:i w:val="0"/>
          <w:sz w:val="24"/>
        </w:rPr>
        <w:t>The study presents minimal risk to participants. The primary risks are psychological discomfort from reflecting on research design capabilities, loss of time, and exposure of identifiable recordings. No physical, financial, legal, or clinical risks are present.</w:t>
      </w:r>
    </w:p>
    <w:p>
      <w:pPr>
        <w:jc w:val="left"/>
      </w:pPr>
      <w:r>
        <w:rPr>
          <w:rFonts w:ascii="Times New Roman" w:hAnsi="Times New Roman"/>
          <w:b/>
          <w:i w:val="0"/>
          <w:sz w:val="24"/>
        </w:rPr>
        <w:t>Data Security</w:t>
      </w:r>
    </w:p>
    <w:p>
      <w:pPr>
        <w:ind w:firstLine="720"/>
      </w:pPr>
      <w:r>
        <w:rPr>
          <w:rFonts w:ascii="Times New Roman" w:hAnsi="Times New Roman"/>
          <w:b w:val="0"/>
          <w:i w:val="0"/>
          <w:sz w:val="24"/>
        </w:rPr>
        <w:t>Zoom cloud recordings are retained on Institution A's institutional Zoom account under a restricted-access folder accessible only to the neutral coordinator and the Principal Investigator. Recordings are transcribed within 14 days of each session using an Institution A or Institution B approved transcription service. Upon confirmed transcript accuracy review, the Zoom cloud recording is deleted. A single encrypted backup is stored on Institution A's secure research storage system with a retention period of 3 years post-publication, after which it is permanently deleted. No recordings are stored on personal devices, external drives, or non-institutional cloud services.</w:t>
      </w:r>
    </w:p>
    <w:p>
      <w:pPr>
        <w:ind w:firstLine="720"/>
      </w:pPr>
      <w:r>
        <w:rPr>
          <w:rFonts w:ascii="Times New Roman" w:hAnsi="Times New Roman"/>
          <w:b w:val="0"/>
          <w:i w:val="0"/>
          <w:sz w:val="24"/>
        </w:rPr>
        <w:t>Claude.ai conversation transcripts and browser history logs from Phase 0 are stored on the same institutional storage with identical access controls and retention policy. Participants are informed in the consent form that Claude.ai is a third-party service operated by Anthropic and that Phase 0 conversations are transmitted to Anthropic's servers per Anthropic's data handling policy.</w:t>
      </w:r>
    </w:p>
    <w:p>
      <w:pPr>
        <w:ind w:firstLine="720"/>
      </w:pPr>
      <w:r>
        <w:rPr>
          <w:rFonts w:ascii="Times New Roman" w:hAnsi="Times New Roman"/>
          <w:b w:val="0"/>
          <w:i w:val="0"/>
          <w:sz w:val="24"/>
        </w:rPr>
        <w:t>The Diverga decision-log files are linked to participant pseudonyms, not names. Before any public data deposit, all logs are reviewed and de-identified by a designated privacy reviewer. Session timestamps are replaced with relative offsets from session start. Free-text fields are reviewed individually.</w:t>
      </w:r>
    </w:p>
    <w:p>
      <w:pPr>
        <w:jc w:val="left"/>
      </w:pPr>
      <w:r>
        <w:rPr>
          <w:rFonts w:ascii="Times New Roman" w:hAnsi="Times New Roman"/>
          <w:b/>
          <w:i w:val="0"/>
          <w:sz w:val="24"/>
        </w:rPr>
        <w:t>Informed Consent Language on Dual Role</w:t>
      </w:r>
    </w:p>
    <w:p>
      <w:pPr>
        <w:ind w:firstLine="720"/>
      </w:pPr>
      <w:r>
        <w:rPr>
          <w:rFonts w:ascii="Times New Roman" w:hAnsi="Times New Roman"/>
          <w:b w:val="0"/>
          <w:i w:val="0"/>
          <w:sz w:val="24"/>
        </w:rPr>
        <w:t>The consent form includes the following language addressing the Co-Investigator's dual role:</w:t>
      </w:r>
    </w:p>
    <w:p>
      <w:pPr>
        <w:ind w:left="720" w:right="720" w:firstLine="0"/>
      </w:pPr>
      <w:r>
        <w:rPr>
          <w:rFonts w:ascii="Times New Roman" w:hAnsi="Times New Roman"/>
          <w:b w:val="0"/>
          <w:i w:val="0"/>
          <w:sz w:val="24"/>
        </w:rPr>
        <w:t>One of the researchers on this study is also the developer of the Diverga system you will use during the session. This means the researcher has a personal connection to the tool. To reduce the influence of this connection on the analysis, the Principal Investigator, who did not develop Diverga, will independently review and code the study materials and conduct the independent performance evaluation. You are encouraged to use Diverga naturally and to share your honest reactions during the think-aloud and interview phases. There are no correct or preferred responses.</w:t>
      </w:r>
    </w:p>
    <w:p>
      <w:pPr>
        <w:jc w:val="left"/>
      </w:pPr>
      <w:r>
        <w:rPr>
          <w:rFonts w:ascii="Times New Roman" w:hAnsi="Times New Roman"/>
          <w:b/>
          <w:i w:val="0"/>
          <w:sz w:val="24"/>
        </w:rPr>
        <w:t>Dual-Publication Data Use Disclosure</w:t>
      </w:r>
    </w:p>
    <w:p>
      <w:pPr>
        <w:ind w:firstLine="720"/>
      </w:pPr>
      <w:r>
        <w:rPr>
          <w:rFonts w:ascii="Times New Roman" w:hAnsi="Times New Roman"/>
          <w:b w:val="0"/>
          <w:i w:val="0"/>
          <w:sz w:val="24"/>
        </w:rPr>
        <w:t>The consent form includes the following language disclosing the planned dual-publication use of the dataset:</w:t>
      </w:r>
    </w:p>
    <w:p>
      <w:pPr>
        <w:ind w:left="720" w:right="720" w:firstLine="0"/>
      </w:pPr>
      <w:r>
        <w:rPr>
          <w:rFonts w:ascii="Times New Roman" w:hAnsi="Times New Roman"/>
          <w:b w:val="0"/>
          <w:i w:val="0"/>
          <w:sz w:val="24"/>
        </w:rPr>
        <w:t>Data collected in this study will be used for two related research publications. One paper focuses on developing and demonstrating a measurement methodology; the other paper analyzes patterns in how doctoral researchers engage with the system. Both publications use the same session data you provide. You will not be asked to participate again for these two publications.</w:t>
      </w:r>
    </w:p>
    <w:p>
      <w:pPr>
        <w:jc w:val="left"/>
      </w:pPr>
      <w:r>
        <w:rPr>
          <w:rFonts w:ascii="Times New Roman" w:hAnsi="Times New Roman"/>
          <w:b/>
          <w:i w:val="0"/>
          <w:sz w:val="24"/>
        </w:rPr>
        <w:t>Voluntary Participation and Withdrawal</w:t>
      </w:r>
    </w:p>
    <w:p>
      <w:pPr>
        <w:ind w:firstLine="720"/>
      </w:pPr>
      <w:r>
        <w:rPr>
          <w:rFonts w:ascii="Times New Roman" w:hAnsi="Times New Roman"/>
          <w:b w:val="0"/>
          <w:i w:val="0"/>
          <w:sz w:val="24"/>
        </w:rPr>
        <w:t>Participation is voluntary. Participants may withdraw at any time without penalty. Withdrawal after Day 1 but before Day 2 results in prorated compensation and deletion of Day 1 data at the participant's request. Withdrawal does not affect academic standing, advising relationships, or any program outcomes. Neither investigator has any evaluative authority over any participant.</w:t>
      </w:r>
    </w:p>
    <w:p>
      <w:pPr>
        <w:jc w:val="center"/>
      </w:pPr>
      <w:r>
        <w:rPr>
          <w:rFonts w:ascii="Times New Roman" w:hAnsi="Times New Roman"/>
          <w:b/>
          <w:i w:val="0"/>
          <w:sz w:val="24"/>
        </w:rPr>
        <w:t>Timeline</w:t>
      </w:r>
    </w:p>
    <w:p>
      <w:pPr>
        <w:spacing w:line="240" w:lineRule="auto" w:before="240" w:after="0"/>
      </w:pPr>
      <w:r>
        <w:rPr>
          <w:rFonts w:ascii="Times New Roman" w:hAnsi="Times New Roman"/>
          <w:b/>
          <w:i w:val="0"/>
          <w:sz w:val="24"/>
        </w:rPr>
        <w:t>Table 9</w:t>
      </w:r>
    </w:p>
    <w:p>
      <w:pPr>
        <w:spacing w:line="240" w:lineRule="auto" w:before="0" w:after="120"/>
      </w:pPr>
      <w:r>
        <w:rPr>
          <w:rFonts w:ascii="Times New Roman" w:hAnsi="Times New Roman"/>
          <w:b w:val="0"/>
          <w:i/>
          <w:sz w:val="24"/>
        </w:rPr>
        <w:t>Project Timeline, April 2026 to December 2026</w:t>
      </w:r>
    </w:p>
    <w:tbl>
      <w:tblPr>
        <w:tblStyle w:val="TableGrid"/>
        <w:tblW w:type="auto" w:w="0"/>
        <w:jc w:val="center"/>
        <w:tblLook w:firstColumn="1" w:firstRow="1" w:lastColumn="0" w:lastRow="0" w:noHBand="0" w:noVBand="1" w:val="04A0"/>
      </w:tblPr>
      <w:tblGrid>
        <w:gridCol w:w="4680"/>
        <w:gridCol w:w="4680"/>
      </w:tblGrid>
      <w:tr>
        <w:tc>
          <w:tcPr>
            <w:tcW w:type="dxa" w:w="468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Period</w:t>
            </w:r>
          </w:p>
        </w:tc>
        <w:tc>
          <w:tcPr>
            <w:tcW w:type="dxa" w:w="4680"/>
            <w:tcBorders>
              <w:top w:val="single" w:sz="8"/>
              <w:bottom w:val="single" w:sz="8"/>
              <w:left w:val="nil"/>
              <w:right w:val="nil"/>
              <w:insideV w:val="nil"/>
            </w:tcBorders>
          </w:tcPr>
          <w:p>
            <w:pPr>
              <w:spacing w:line="240" w:lineRule="auto" w:before="60" w:after="60"/>
              <w:jc w:val="left"/>
            </w:pPr>
            <w:r/>
            <w:r>
              <w:rPr>
                <w:rFonts w:ascii="Times New Roman" w:hAnsi="Times New Roman"/>
                <w:b/>
                <w:sz w:val="22"/>
              </w:rPr>
              <w:t>Activity</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April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Design finalization; instrument adaptation (self-efficacy, engagement, performance rubric); IRB protocol drafting; OSF pre-registration draft</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Early May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Pilot-test instrument adaptations with two external researchers; compute preliminary inter-rater reliability for Tier 1 rubrics and performance rubric</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Mid-May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IRB submission (one institution as reviewing IRB with SMART IRB reliance); consent form review; OSF pre-registration submission</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June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IRB approval expected; pilot sessions with 1 to 2 participants to refine task design, think-aloud prompts, and survey administration</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July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Recruitment; screening; scheduling; data collection begins with 2 to 3 participants</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August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Complete data collection; Paper 2 abstract submitted to BJET Special Issue by August 1, 2026</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September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Transcription; Tier 1 rubric coding; decision-log extraction; CMAA indicator computation; begin within-case analysis</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October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Cross-case analysis; contradiction coding; reliability computation; Paper 2 manuscript drafting</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October 28,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Paper 2 full manuscript submission to BJET Special Issue</w:t>
            </w:r>
          </w:p>
        </w:tc>
      </w:tr>
      <w:tr>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November to December 2026</w:t>
            </w:r>
          </w:p>
        </w:tc>
        <w:tc>
          <w:tcPr>
            <w:tcW w:type="dxa" w:w="4680"/>
            <w:tcBorders>
              <w:top w:val="nil"/>
              <w:bottom w:val="nil"/>
              <w:left w:val="nil"/>
              <w:right w:val="nil"/>
              <w:insideV w:val="nil"/>
            </w:tcBorders>
          </w:tcPr>
          <w:p>
            <w:pPr>
              <w:spacing w:line="240" w:lineRule="auto" w:before="60" w:after="60"/>
              <w:jc w:val="left"/>
            </w:pPr>
            <w:r/>
            <w:r>
              <w:rPr>
                <w:rFonts w:ascii="Times New Roman" w:hAnsi="Times New Roman"/>
                <w:sz w:val="22"/>
              </w:rPr>
              <w:t>Paper 3 manuscript drafting; internal review; co-author revision cycles</w:t>
            </w:r>
          </w:p>
        </w:tc>
      </w:tr>
      <w:tr>
        <w:tc>
          <w:tcPr>
            <w:tcW w:type="dxa" w:w="4680"/>
            <w:tcBorders>
              <w:top w:val="nil"/>
              <w:bottom w:val="single" w:sz="8"/>
              <w:left w:val="nil"/>
              <w:right w:val="nil"/>
              <w:insideV w:val="nil"/>
            </w:tcBorders>
          </w:tcPr>
          <w:p>
            <w:pPr>
              <w:spacing w:line="240" w:lineRule="auto" w:before="60" w:after="60"/>
              <w:jc w:val="left"/>
            </w:pPr>
            <w:r/>
            <w:r>
              <w:rPr>
                <w:rFonts w:ascii="Times New Roman" w:hAnsi="Times New Roman"/>
                <w:sz w:val="22"/>
              </w:rPr>
              <w:t>December 2026</w:t>
            </w:r>
          </w:p>
        </w:tc>
        <w:tc>
          <w:tcPr>
            <w:tcW w:type="dxa" w:w="4680"/>
            <w:tcBorders>
              <w:top w:val="nil"/>
              <w:bottom w:val="single" w:sz="8"/>
              <w:left w:val="nil"/>
              <w:right w:val="nil"/>
              <w:insideV w:val="nil"/>
            </w:tcBorders>
          </w:tcPr>
          <w:p>
            <w:pPr>
              <w:spacing w:line="240" w:lineRule="auto" w:before="60" w:after="60"/>
              <w:jc w:val="left"/>
            </w:pPr>
            <w:r/>
            <w:r>
              <w:rPr>
                <w:rFonts w:ascii="Times New Roman" w:hAnsi="Times New Roman"/>
                <w:sz w:val="22"/>
              </w:rPr>
              <w:t>Paper 3 submission to Computers &amp; Education</w:t>
            </w:r>
          </w:p>
        </w:tc>
      </w:tr>
    </w:tbl>
    <w:p>
      <w:pPr>
        <w:spacing w:before="120" w:after="0"/>
      </w:pPr>
    </w:p>
    <w:p>
      <w:pPr>
        <w:jc w:val="center"/>
      </w:pPr>
      <w:r>
        <w:rPr>
          <w:rFonts w:ascii="Times New Roman" w:hAnsi="Times New Roman"/>
          <w:b/>
          <w:i w:val="0"/>
          <w:sz w:val="24"/>
        </w:rPr>
        <w:t>Outstanding Items Requiring Confirmation</w:t>
      </w:r>
    </w:p>
    <w:p>
      <w:pPr>
        <w:ind w:firstLine="720"/>
      </w:pPr>
      <w:r>
        <w:rPr>
          <w:rFonts w:ascii="Times New Roman" w:hAnsi="Times New Roman"/>
          <w:b w:val="0"/>
          <w:i w:val="0"/>
          <w:sz w:val="24"/>
        </w:rPr>
        <w:t>The following items are not yet fully resolved at the time of this draft and require confirmation before IRB submission.</w:t>
      </w:r>
    </w:p>
    <w:p>
      <w:pPr>
        <w:ind w:left="720" w:hanging="360"/>
      </w:pPr>
      <w:r>
        <w:rPr>
          <w:rFonts w:ascii="Times New Roman" w:hAnsi="Times New Roman"/>
          <w:b w:val="0"/>
          <w:i w:val="0"/>
          <w:sz w:val="24"/>
        </w:rPr>
        <w:t>1. Instrument adaptation and pilot testing. The self-efficacy scale adapted from Avey et al. (2009) and the engagement composite scale adapted from Skinner et al. (2009), Fredricks et al. (2004), and Halverson and Graham (2019) require final item wording for a single-session research design context. The four-dimension research design quality rubric for the independent performance evaluation requires development and pilot testing with at least two external methodologists to establish baseline inter-rater reliability before study artifacts are scored.</w:t>
      </w:r>
    </w:p>
    <w:p>
      <w:pPr>
        <w:ind w:left="720" w:hanging="360"/>
      </w:pPr>
      <w:r>
        <w:rPr>
          <w:rFonts w:ascii="Times New Roman" w:hAnsi="Times New Roman"/>
          <w:b w:val="0"/>
          <w:i w:val="0"/>
          <w:sz w:val="24"/>
        </w:rPr>
        <w:t>2. First authorship for Paper 3. Publication strategy recommends that the Principal Investigator serve as first author on Paper 3 to strengthen credibility given the dual-role risk. This requires explicit agreement between the investigators before pre-registration.</w:t>
      </w:r>
    </w:p>
    <w:p>
      <w:pPr>
        <w:ind w:left="720" w:hanging="360"/>
      </w:pPr>
      <w:r>
        <w:rPr>
          <w:rFonts w:ascii="Times New Roman" w:hAnsi="Times New Roman"/>
          <w:b w:val="0"/>
          <w:i w:val="0"/>
          <w:sz w:val="24"/>
        </w:rPr>
        <w:t>3. Neutral study coordinator. A specific person must be designated as the neutral coordinator before IRB submission. The coordinator must have no collaborative relationship with either investigator and must not be a current course instructor of any prospective participant.</w:t>
      </w:r>
    </w:p>
    <w:p>
      <w:pPr>
        <w:ind w:left="720" w:hanging="360"/>
      </w:pPr>
      <w:r>
        <w:rPr>
          <w:rFonts w:ascii="Times New Roman" w:hAnsi="Times New Roman"/>
          <w:b w:val="0"/>
          <w:i w:val="0"/>
          <w:sz w:val="24"/>
        </w:rPr>
        <w:t>4. SMART IRB reliance route confirmation. Direct confirmation that both institutions currently participate in SMART IRB for educational research protocols must be obtained before submission, and the reviewing institution must be designated.</w:t>
      </w:r>
    </w:p>
    <w:p>
      <w:pPr>
        <w:ind w:left="720" w:hanging="360"/>
      </w:pPr>
      <w:r>
        <w:rPr>
          <w:rFonts w:ascii="Times New Roman" w:hAnsi="Times New Roman"/>
          <w:b w:val="0"/>
          <w:i w:val="0"/>
          <w:sz w:val="24"/>
        </w:rPr>
        <w:t>5. Diverga instrumentation layer. The CMAA Tier 2 indicators require infrastructure extensions to the Diverga system (governance event logging, agent activation logging, and automatic alternatives capture at checkpoints). These extensions must be completed and tested prior to the June 2026 pilot sessions.</w:t>
      </w:r>
    </w:p>
    <w:p>
      <w:pPr>
        <w:ind w:left="720" w:hanging="360"/>
      </w:pPr>
      <w:r>
        <w:rPr>
          <w:rFonts w:ascii="Times New Roman" w:hAnsi="Times New Roman"/>
          <w:b w:val="0"/>
          <w:i w:val="0"/>
          <w:sz w:val="24"/>
        </w:rPr>
        <w:t>6. Coordination with the Yang et al. (2025) research team. Because the present study extends a framework published by the Principal Investigator's prior research team, coordination may be warranted to ensure that the adapted rubrics and scale items are used consistently with the original published operationalization.</w:t>
      </w:r>
    </w:p>
    <w:p>
      <w:r>
        <w:br w:type="page"/>
      </w:r>
    </w:p>
    <w:p>
      <w:pPr>
        <w:jc w:val="center"/>
      </w:pPr>
      <w:r>
        <w:rPr>
          <w:rFonts w:ascii="Times New Roman" w:hAnsi="Times New Roman"/>
          <w:b/>
          <w:i w:val="0"/>
          <w:sz w:val="24"/>
        </w:rPr>
        <w:t>References</w:t>
      </w:r>
    </w:p>
    <w:p>
      <w:pPr>
        <w:ind w:left="720" w:hanging="720"/>
      </w:pPr>
      <w:r>
        <w:rPr>
          <w:rFonts w:ascii="Times New Roman" w:hAnsi="Times New Roman"/>
          <w:b w:val="0"/>
          <w:i w:val="0"/>
          <w:sz w:val="24"/>
        </w:rPr>
        <w:t>Avey, J. B., Luthans, F., &amp; Jensen, S. M. (2009). Psychological capital: A positive resource for combating employee stress and turnover. Human Resource Management, 48(5), 677–693. https://doi.org/10.1002/hrm.20294</w:t>
      </w:r>
    </w:p>
    <w:p>
      <w:pPr>
        <w:ind w:left="720" w:hanging="720"/>
      </w:pPr>
      <w:r>
        <w:rPr>
          <w:rFonts w:ascii="Times New Roman" w:hAnsi="Times New Roman"/>
          <w:b w:val="0"/>
          <w:i w:val="0"/>
          <w:sz w:val="24"/>
        </w:rPr>
        <w:t>Cacioppo, J. T., &amp; Petty, R. E. (1982). The need for cognition. Journal of Personality and Social Psychology, 42(1), 116–131. https://doi.org/10.1037/0022-3514.42.1.116</w:t>
      </w:r>
    </w:p>
    <w:p>
      <w:pPr>
        <w:ind w:left="720" w:hanging="720"/>
      </w:pPr>
      <w:r>
        <w:rPr>
          <w:rFonts w:ascii="Times New Roman" w:hAnsi="Times New Roman"/>
          <w:b w:val="0"/>
          <w:i w:val="0"/>
          <w:sz w:val="24"/>
        </w:rPr>
        <w:t>Committee on Publication Ethics. (2019). COPE guidelines on good publication practice. https://publicationethics.org/</w:t>
      </w:r>
    </w:p>
    <w:p>
      <w:pPr>
        <w:ind w:left="720" w:hanging="720"/>
      </w:pPr>
      <w:r>
        <w:rPr>
          <w:rFonts w:ascii="Times New Roman" w:hAnsi="Times New Roman"/>
          <w:b w:val="0"/>
          <w:i w:val="0"/>
          <w:sz w:val="24"/>
        </w:rPr>
        <w:t>Engestrom, Y. (1987). Learning by expanding: An activity-theoretical approach to developmental research. Orienta-Konsultit.</w:t>
      </w:r>
    </w:p>
    <w:p>
      <w:pPr>
        <w:ind w:left="720" w:hanging="720"/>
      </w:pPr>
      <w:r>
        <w:rPr>
          <w:rFonts w:ascii="Times New Roman" w:hAnsi="Times New Roman"/>
          <w:b w:val="0"/>
          <w:i w:val="0"/>
          <w:sz w:val="24"/>
        </w:rPr>
        <w:t>Ericsson, K. A., &amp; Simon, H. A. (1993). Protocol analysis: Verbal reports as data (Rev. ed.). MIT Press.</w:t>
      </w:r>
    </w:p>
    <w:p>
      <w:pPr>
        <w:ind w:left="720" w:hanging="720"/>
      </w:pPr>
      <w:r>
        <w:rPr>
          <w:rFonts w:ascii="Times New Roman" w:hAnsi="Times New Roman"/>
          <w:b w:val="0"/>
          <w:i w:val="0"/>
          <w:sz w:val="24"/>
        </w:rPr>
        <w:t>Floridi, L. (2025). AI as agency without intelligence: On artificial intelligence as a new form of artificial agency and the multiple realisability of agency thesis. Philosophy &amp; Technology, 38, Article 30. https://doi.org/10.1007/s13347-025-00858-9</w:t>
      </w:r>
    </w:p>
    <w:p>
      <w:pPr>
        <w:ind w:left="720" w:hanging="720"/>
      </w:pPr>
      <w:r>
        <w:rPr>
          <w:rFonts w:ascii="Times New Roman" w:hAnsi="Times New Roman"/>
          <w:b w:val="0"/>
          <w:i w:val="0"/>
          <w:sz w:val="24"/>
        </w:rPr>
        <w:t>Fowler, M. (2025). Harness engineering. MartinFowler.com. https://martinfowler.com/articles/harness-engineering.html</w:t>
      </w:r>
    </w:p>
    <w:p>
      <w:pPr>
        <w:ind w:left="720" w:hanging="720"/>
      </w:pPr>
      <w:r>
        <w:rPr>
          <w:rFonts w:ascii="Times New Roman" w:hAnsi="Times New Roman"/>
          <w:b w:val="0"/>
          <w:i w:val="0"/>
          <w:sz w:val="24"/>
        </w:rPr>
        <w:t>Fredricks, J. A., Blumenfeld, P. C., &amp; Paris, A. H. (2004). School engagement: Potential of the concept, state of the evidence. Review of Educational Research, 74(1), 59–109. https://doi.org/10.3102/00346543074001059</w:t>
      </w:r>
    </w:p>
    <w:p>
      <w:pPr>
        <w:ind w:left="720" w:hanging="720"/>
      </w:pPr>
      <w:r>
        <w:rPr>
          <w:rFonts w:ascii="Times New Roman" w:hAnsi="Times New Roman"/>
          <w:b w:val="0"/>
          <w:i w:val="0"/>
          <w:sz w:val="24"/>
        </w:rPr>
        <w:t>Halverson, L. R., &amp; Graham, C. R. (2019). Learner engagement in blended learning environments: A conceptual framework. Online Learning, 23(2), 145–178. https://doi.org/10.24059/olj.v23i2.1481</w:t>
      </w:r>
    </w:p>
    <w:p>
      <w:pPr>
        <w:ind w:left="720" w:hanging="720"/>
      </w:pPr>
      <w:r>
        <w:rPr>
          <w:rFonts w:ascii="Times New Roman" w:hAnsi="Times New Roman"/>
          <w:b w:val="0"/>
          <w:i w:val="0"/>
          <w:sz w:val="24"/>
        </w:rPr>
        <w:t>Lee, M., Srivastava, M., Hardy, A., Thickstun, J., Durmus, E., Paranjape, A., Gerard-Ursin, I., Li, X. L., Ladhak, F., Rong, F., Wang, R. E., Kwon, M., Park, J. S., Cao, H., Lee, T., Bommasani, R., Bernstein, M. S., &amp; Liang, P. (2023). Evaluating human-language model interaction. Transactions on Machine Learning Research.</w:t>
      </w:r>
    </w:p>
    <w:p>
      <w:pPr>
        <w:ind w:left="720" w:hanging="720"/>
      </w:pPr>
      <w:r>
        <w:rPr>
          <w:rFonts w:ascii="Times New Roman" w:hAnsi="Times New Roman"/>
          <w:b w:val="0"/>
          <w:i w:val="0"/>
          <w:sz w:val="24"/>
        </w:rPr>
        <w:t>Miles, M. B., Huberman, A. M., &amp; Saldana, J. (2020). Qualitative data analysis: A methods sourcebook (4th ed.). Sage.</w:t>
      </w:r>
    </w:p>
    <w:p>
      <w:pPr>
        <w:ind w:left="720" w:hanging="720"/>
      </w:pPr>
      <w:r>
        <w:rPr>
          <w:rFonts w:ascii="Times New Roman" w:hAnsi="Times New Roman"/>
          <w:b w:val="0"/>
          <w:i w:val="0"/>
          <w:sz w:val="24"/>
        </w:rPr>
        <w:t>Morse, J. M., &amp; Niehaus, L. (2009). Mixed method design: Principles and procedures. Left Coast Press.</w:t>
      </w:r>
    </w:p>
    <w:p>
      <w:pPr>
        <w:ind w:left="720" w:hanging="720"/>
      </w:pPr>
      <w:r>
        <w:rPr>
          <w:rFonts w:ascii="Times New Roman" w:hAnsi="Times New Roman"/>
          <w:b w:val="0"/>
          <w:i w:val="0"/>
          <w:sz w:val="24"/>
        </w:rPr>
        <w:t>Patton, M. Q. (2015). Qualitative research and evaluation methods (4th ed.). Sage.</w:t>
      </w:r>
    </w:p>
    <w:p>
      <w:pPr>
        <w:ind w:left="720" w:hanging="720"/>
      </w:pPr>
      <w:r>
        <w:rPr>
          <w:rFonts w:ascii="Times New Roman" w:hAnsi="Times New Roman"/>
          <w:b w:val="0"/>
          <w:i w:val="0"/>
          <w:sz w:val="24"/>
        </w:rPr>
        <w:t>Skinner, E. A., Kindermann, T. A., &amp; Furrer, C. J. (2009). A motivational perspective on engagement and disaffection: Conceptualization and assessment of children's behavioral and emotional participation in academic activities in the classroom. Educational and Psychological Measurement, 69(3), 493–525. https://doi.org/10.1177/0013164408323233</w:t>
      </w:r>
    </w:p>
    <w:p>
      <w:pPr>
        <w:ind w:left="720" w:hanging="720"/>
      </w:pPr>
      <w:r>
        <w:rPr>
          <w:rFonts w:ascii="Times New Roman" w:hAnsi="Times New Roman"/>
          <w:b w:val="0"/>
          <w:i w:val="0"/>
          <w:sz w:val="24"/>
        </w:rPr>
        <w:t>Stake, R. E. (2006). Multiple case study analysis. Guilford Press.</w:t>
      </w:r>
    </w:p>
    <w:p>
      <w:pPr>
        <w:ind w:left="720" w:hanging="720"/>
      </w:pPr>
      <w:r>
        <w:rPr>
          <w:rFonts w:ascii="Times New Roman" w:hAnsi="Times New Roman"/>
          <w:b w:val="0"/>
          <w:i w:val="0"/>
          <w:sz w:val="24"/>
        </w:rPr>
        <w:t>van Someren, M. W., Barnard, Y. F., &amp; Sandberg, J. A. C. (1994). The think aloud method: A practical guide to modelling cognitive processes. Academic Press.</w:t>
      </w:r>
    </w:p>
    <w:p>
      <w:pPr>
        <w:ind w:left="720" w:hanging="720"/>
      </w:pPr>
      <w:r>
        <w:rPr>
          <w:rFonts w:ascii="Times New Roman" w:hAnsi="Times New Roman"/>
          <w:b w:val="0"/>
          <w:i w:val="0"/>
          <w:sz w:val="24"/>
        </w:rPr>
        <w:t>Webb, N. L. (2002). Depth-of-knowledge levels for four content areas. Wisconsin Center for Education Research.</w:t>
      </w:r>
    </w:p>
    <w:p>
      <w:pPr>
        <w:ind w:left="720" w:hanging="720"/>
      </w:pPr>
      <w:r>
        <w:rPr>
          <w:rFonts w:ascii="Times New Roman" w:hAnsi="Times New Roman"/>
          <w:b w:val="0"/>
          <w:i w:val="0"/>
          <w:sz w:val="24"/>
        </w:rPr>
        <w:t>Yang, M., Jiang, S., Li, B., Herman, K., Luo, T., Moots, S. C., &amp; Lovett, N. (2025). Analysing nontraditional students' ChatGPT interaction, engagement, self-efficacy and performance: A mixed-methods approach. British Journal of Educational Technology, 56(6), 1973–2000. https://doi.org/10.1111/bjet.13588</w:t>
      </w:r>
    </w:p>
    <w:p>
      <w:pPr>
        <w:ind w:left="720" w:hanging="720"/>
      </w:pPr>
      <w:r>
        <w:rPr>
          <w:rFonts w:ascii="Times New Roman" w:hAnsi="Times New Roman"/>
          <w:b w:val="0"/>
          <w:i w:val="0"/>
          <w:sz w:val="24"/>
        </w:rPr>
        <w:t>Yin, R. K. (2018). Case study research and applications: Design and methods (6th ed.). Sage.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