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28"/>
        </w:rPr>
        <w:t>DRAFT, For Discussion Only</w:t>
      </w:r>
    </w:p>
    <w:p>
      <w:pPr>
        <w:spacing w:after="80"/>
        <w:jc w:val="center"/>
      </w:pPr>
      <w:r>
        <w:rPr>
          <w:rFonts w:ascii="Times New Roman" w:hAnsi="Times New Roman"/>
          <w:b/>
          <w:i w:val="0"/>
          <w:sz w:val="28"/>
        </w:rPr>
        <w:t>Paper 3: ETR&amp;D Proposal Draft v1 (2026-03-24)</w:t>
      </w:r>
    </w:p>
    <w:p>
      <w:pPr>
        <w:spacing w:after="40"/>
      </w:pPr>
      <w:r>
        <w:rPr>
          <w:rFonts w:ascii="Times New Roman" w:hAnsi="Times New Roman"/>
          <w:b w:val="0"/>
          <w:i/>
          <w:color w:val="505050"/>
          <w:sz w:val="20"/>
        </w:rPr>
        <w:t>Target: Educational Technology Research and Development (ETR&amp;D)</w:t>
      </w:r>
    </w:p>
    <w:p>
      <w:pPr>
        <w:spacing w:after="40"/>
      </w:pPr>
      <w:r>
        <w:rPr>
          <w:rFonts w:ascii="Times New Roman" w:hAnsi="Times New Roman"/>
          <w:b w:val="0"/>
          <w:i/>
          <w:color w:val="505050"/>
          <w:sz w:val="20"/>
        </w:rPr>
        <w:t>Relationship: Paper 2 (BJET) provides the CMAA methodological framework; this paper is its first empirical application</w:t>
      </w:r>
    </w:p>
    <w:p>
      <w:pPr>
        <w:spacing w:after="40"/>
      </w:pPr>
      <w:r>
        <w:rPr>
          <w:rFonts w:ascii="Times New Roman" w:hAnsi="Times New Roman"/>
          <w:b w:val="0"/>
          <w:i/>
          <w:color w:val="505050"/>
          <w:sz w:val="20"/>
        </w:rPr>
        <w:t>Status: ~60% completeness; key sections drafted in prose; remaining sections outlined</w:t>
      </w:r>
    </w:p>
    <w:p>
      <w:pPr>
        <w:spacing w:after="40"/>
      </w:pPr>
      <w:r>
        <w:rPr>
          <w:rFonts w:ascii="Times New Roman" w:hAnsi="Times New Roman"/>
          <w:b w:val="0"/>
          <w:i/>
          <w:color w:val="505050"/>
          <w:sz w:val="20"/>
        </w:rPr>
        <w:t>Word count estimate at completion: ~8,000 words</w:t>
      </w:r>
    </w:p>
    <w:p>
      <w:pPr>
        <w:spacing w:after="40"/>
      </w:pPr>
      <w:r>
        <w:rPr>
          <w:rFonts w:ascii="Times New Roman" w:hAnsi="Times New Roman"/>
          <w:b w:val="0"/>
          <w:i/>
          <w:color w:val="505050"/>
          <w:sz w:val="20"/>
        </w:rPr>
        <w:t>IRB status: Preparation planned April–May 2026</w:t>
      </w:r>
    </w:p>
    <w:p>
      <w:pPr>
        <w:spacing w:after="40"/>
      </w:pPr>
      <w:r>
        <w:rPr>
          <w:rFonts w:ascii="Times New Roman" w:hAnsi="Times New Roman"/>
          <w:b w:val="0"/>
          <w:i/>
          <w:color w:val="505050"/>
          <w:sz w:val="20"/>
        </w:rPr>
        <w:t>Data collection planned: August–September 2026</w:t>
      </w:r>
    </w:p>
    <w:p>
      <w:pPr>
        <w:spacing w:before="120" w:after="200"/>
        <w:shd w:val="clear" w:color="auto" w:fill="FFF3CD"/>
      </w:pPr>
      <w:r>
        <w:rPr>
          <w:rFonts w:ascii="Times New Roman" w:hAnsi="Times New Roman"/>
          <w:b w:val="0"/>
          <w:i/>
          <w:color w:val="785000"/>
          <w:sz w:val="20"/>
        </w:rPr>
        <w:t>Note for Dr. Yang: This is a working proposal draft shared for early-stage feedback. Sections marked `[OUTLINE]` are planned content. The study has not yet been conducted; IRB preparation begins April 2026. Journal changed from C&amp;E to ETR&amp;D: ETR&amp;D's design-based research focus and N=5 intensive methodology norms are a better fit for this study's phase. Full manuscript to follow after data collection.</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Title</w:t>
      </w:r>
    </w:p>
    <w:p>
      <w:pPr>
        <w:spacing w:after="120"/>
        <w:ind w:firstLine="0"/>
      </w:pPr>
      <w:r>
        <w:rPr>
          <w:rFonts w:ascii="Times New Roman" w:hAnsi="Times New Roman"/>
          <w:b/>
          <w:i w:val="0"/>
          <w:sz w:val="22"/>
        </w:rPr>
        <w:t>Checkpoint-Governed Agency and Methodological Reasoning: A Design-Based Study of Artificial Agency Effects on Doctoral Researchers</w:t>
      </w:r>
    </w:p>
    <w:p>
      <w:pPr>
        <w:spacing w:after="120"/>
        <w:ind w:firstLine="0"/>
      </w:pPr>
      <w:r>
        <w:rPr>
          <w:rFonts w:ascii="Times New Roman" w:hAnsi="Times New Roman"/>
          <w:b w:val="0"/>
          <w:i/>
          <w:sz w:val="22"/>
        </w:rPr>
        <w:t>[Candidate alternative: "Does Agentic AI Expand or Constrain Methodological Thinking? A Multiple-Case Study of Checkpoint-Mediated Scaffolding"]</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Abstract [Draft, 224 words]</w:t>
      </w:r>
    </w:p>
    <w:p>
      <w:pPr>
        <w:spacing w:after="120"/>
        <w:ind w:firstLine="0"/>
      </w:pPr>
      <w:r>
        <w:rPr>
          <w:rFonts w:ascii="Times New Roman" w:hAnsi="Times New Roman"/>
          <w:b w:val="0"/>
          <w:i w:val="0"/>
          <w:sz w:val="22"/>
        </w:rPr>
        <w:t>Checkpoint-governed agentic AI systems present a distinctive design challenge: when an AI system presents multiple alternatives across a typicality spectrum and enforces human selection at mandatory decision junctures, does this architecture genuinely expand epistemic agency, or do researchers default to modal consensus regardless? This paper reports a design-based study examining how Diverga, a 24-agent checkpoint-governed AI research methodology assistant, affects the methodological reasoning processes of doctoral students in social science fields. Using a multiple case study design (N=5, purposeful maximum variation sampling), participants engaged in two research design tasks in a single structured session: an unassisted baseline condition and a Diverga-assisted condition with concurrent think-aloud protocol. Data sources include checkpoint interaction logs, think-aloud transcripts, screen recordings, pre/post design artifacts, and semi-structured interviews. Analysis integrates Checkpoint-Mediated Agency Analysis (CMAA; You &amp; Yang, forthcoming) indicators to quantify epistemic labour redistribution at checkpoints with Activity Theory contradiction analysis to explain when and why deliberative scaffolding fails to activate genuine epistemic engagement. Six design principles are derived for checkpoint-governed agentic AI in educational research contexts, addressing mandatory enforcement, typicality visibility, and upstream-downstream architectural coupling. Findings contribute both empirical grounding for the CMAA framework and actionable design principles for researchers and developers building agentic AI systems intended to support (rather than replace) human epistemic agency.</w:t>
      </w:r>
    </w:p>
    <w:p>
      <w:pPr>
        <w:spacing w:after="120"/>
        <w:ind w:firstLine="0"/>
      </w:pPr>
      <w:r>
        <w:rPr>
          <w:rFonts w:ascii="Times New Roman" w:hAnsi="Times New Roman"/>
          <w:b/>
          <w:i w:val="0"/>
          <w:sz w:val="22"/>
        </w:rPr>
        <w:t>Keywords:</w:t>
      </w:r>
      <w:r>
        <w:rPr>
          <w:rFonts w:ascii="Times New Roman" w:hAnsi="Times New Roman"/>
          <w:b w:val="0"/>
          <w:i w:val="0"/>
          <w:sz w:val="22"/>
        </w:rPr>
        <w:t xml:space="preserve"> agentic AI, artificial agency, doctoral education, research methodology, checkpoint-mediated scaffolding, design-based research, mixed methods</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1. Introduction [Prose draft, ~650 of target ~900 words]</w:t>
      </w:r>
    </w:p>
    <w:p>
      <w:pPr>
        <w:spacing w:after="120"/>
        <w:ind w:firstLine="0"/>
      </w:pPr>
      <w:r>
        <w:rPr>
          <w:rFonts w:ascii="Times New Roman" w:hAnsi="Times New Roman"/>
          <w:b w:val="0"/>
          <w:i w:val="0"/>
          <w:sz w:val="22"/>
        </w:rPr>
        <w:t>Research methodology education occupies an unusual position in doctoral training: it is simultaneously the most discipline-generalizable skill doctoral students develop and the one most vulnerable to intellectual conformity. The pressure to adopt recognizable theoretical frameworks (frameworks that advisors, reviewers, and funding bodies recognize) produces a systematic pull toward modal consensus in research design. A doctoral student studying AI adoption reaches for Technology Acceptance Model; a student studying identity formation reaches for Social Cognitive Theory; a student studying community dynamics reaches for Communities of Practice. These frameworks are not wrong; they are simply predictable, and predictability forecloses the disciplinary creativity that genuine scholarly contribution requires.</w:t>
      </w:r>
    </w:p>
    <w:p>
      <w:pPr>
        <w:spacing w:after="120"/>
        <w:ind w:firstLine="0"/>
      </w:pPr>
      <w:r>
        <w:rPr>
          <w:rFonts w:ascii="Times New Roman" w:hAnsi="Times New Roman"/>
          <w:b w:val="0"/>
          <w:i w:val="0"/>
          <w:sz w:val="22"/>
        </w:rPr>
        <w:t>This tendency toward modal consensus is observable in AI-assisted research tool use. Querying three widely used AI research assistants, a major large language model, a systematic review tool, and a citation-based exploration platform; with the question "What theoretical framework should I use to study research identity formation among doctoral students?" yields a consistent pattern: Bandura's (1986) Social Cognitive Theory and Bronfenbrenner's (1979) ecological systems model are recommended by all three tools within the first response. This is not incidental; it is a structural feature of large language model-based recommendation systems. Statistical patterns in training corpora produce statistically probable outputs; tools optimized for helpfulness converge on the most frequently cited, most broadly recognized frameworks. The result; mode collapse, in which AI recommendations cluster at the modal consensus regardless of contextual nuance; is precisely the epistemic condition that careful doctoral training is designed to counteract.</w:t>
      </w:r>
    </w:p>
    <w:p>
      <w:pPr>
        <w:spacing w:after="120"/>
        <w:ind w:firstLine="0"/>
      </w:pPr>
      <w:r>
        <w:rPr>
          <w:rFonts w:ascii="Times New Roman" w:hAnsi="Times New Roman"/>
          <w:b w:val="0"/>
          <w:i w:val="0"/>
          <w:sz w:val="22"/>
        </w:rPr>
        <w:t>Whether checkpoint-governed agentic AI systems, architecturally designed to generate and present alternatives across a typicality spectrum rather than defaulting to modal consensus, can mitigate this tendency is an open and important empirical question. Diverga is a 24-agent AI research methodology assistant built on the Model Context Protocol, designed to operationalize artificial agency (Floridi, 2025) through three mechanisms: (1) Verbalized Sampling (VS), which generates recommendations distributed across a typicality spectrum (T-Score: 0.0 novel → 1.0 modal); (2) mandatory human checkpoints at epistemically critical decision junctures, enforcing human evaluation of alternatives before proceeding; and (3) an immutable Decision Audit Trail recording all checkpoint interactions. These mechanisms constitute a deliberate architectural response to mode collapse; but whether they succeed in supporting authentic methodological reasoning, or whether researchers select the modal option regardless of the alternatives presented, is an empirical question that this study is designed to address.</w:t>
      </w:r>
    </w:p>
    <w:p>
      <w:pPr>
        <w:spacing w:after="120"/>
        <w:ind w:firstLine="0"/>
      </w:pPr>
      <w:r>
        <w:rPr>
          <w:rFonts w:ascii="Times New Roman" w:hAnsi="Times New Roman"/>
          <w:b w:val="0"/>
          <w:i w:val="0"/>
          <w:sz w:val="22"/>
        </w:rPr>
        <w:t>This paper presents the design, protocol, and analysis plan for a multiple case study (N=5) examining how interaction with Diverga's checkpoint system affects doctoral students' methodological reasoning diversity. Three research questions organize the inquiry:</w:t>
      </w:r>
    </w:p>
    <w:p>
      <w:pPr>
        <w:spacing w:after="120"/>
        <w:ind w:firstLine="0"/>
      </w:pPr>
      <w:r>
        <w:rPr>
          <w:rFonts w:ascii="Times New Roman" w:hAnsi="Times New Roman"/>
          <w:b/>
          <w:i w:val="0"/>
          <w:sz w:val="22"/>
        </w:rPr>
        <w:t>RQ1.</w:t>
      </w:r>
      <w:r>
        <w:rPr>
          <w:rFonts w:ascii="Times New Roman" w:hAnsi="Times New Roman"/>
          <w:b w:val="0"/>
          <w:i w:val="0"/>
          <w:sz w:val="22"/>
        </w:rPr>
        <w:t xml:space="preserve"> How does interaction with Diverga's checkpoint system affect the diversity of theoretical frameworks and methodological approaches considered by doctoral students in research design tasks?</w:t>
      </w:r>
    </w:p>
    <w:p>
      <w:pPr>
        <w:spacing w:after="120"/>
        <w:ind w:firstLine="0"/>
      </w:pPr>
      <w:r>
        <w:rPr>
          <w:rFonts w:ascii="Times New Roman" w:hAnsi="Times New Roman"/>
          <w:b/>
          <w:i w:val="0"/>
          <w:sz w:val="22"/>
        </w:rPr>
        <w:t>RQ2.</w:t>
      </w:r>
      <w:r>
        <w:rPr>
          <w:rFonts w:ascii="Times New Roman" w:hAnsi="Times New Roman"/>
          <w:b w:val="0"/>
          <w:i w:val="0"/>
          <w:sz w:val="22"/>
        </w:rPr>
        <w:t xml:space="preserve"> What patterns of epistemic labour redistribution (as measured by CMAA indicators) characterize doctoral students' interaction with checkpoint-governed agentic AI during research design?</w:t>
      </w:r>
    </w:p>
    <w:p>
      <w:pPr>
        <w:spacing w:after="120"/>
        <w:ind w:firstLine="0"/>
      </w:pPr>
      <w:r>
        <w:rPr>
          <w:rFonts w:ascii="Times New Roman" w:hAnsi="Times New Roman"/>
          <w:b/>
          <w:i w:val="0"/>
          <w:sz w:val="22"/>
        </w:rPr>
        <w:t>RQ3.</w:t>
      </w:r>
      <w:r>
        <w:rPr>
          <w:rFonts w:ascii="Times New Roman" w:hAnsi="Times New Roman"/>
          <w:b w:val="0"/>
          <w:i w:val="0"/>
          <w:sz w:val="22"/>
        </w:rPr>
        <w:t xml:space="preserve"> What tensions emerge between the scaffolding intent of checkpoint-governed artificial agency and participants' actual epistemic engagement at checkpoints, and what design principles can be derived from these tensions?</w:t>
      </w:r>
    </w:p>
    <w:p>
      <w:pPr>
        <w:spacing w:before="80" w:after="80"/>
      </w:pPr>
      <w:r>
        <w:rPr>
          <w:rFonts w:ascii="Times New Roman" w:hAnsi="Times New Roman"/>
          <w:b w:val="0"/>
          <w:i/>
          <w:color w:val="828282"/>
          <w:sz w:val="20"/>
        </w:rPr>
        <w:t>[OUTLINE, remaining ~250 words]</w:t>
      </w:r>
    </w:p>
    <w:p>
      <w:pPr>
        <w:pStyle w:val="ListBullet"/>
        <w:spacing w:after="60"/>
        <w:ind w:left="432"/>
      </w:pPr>
      <w:r>
        <w:rPr>
          <w:rFonts w:ascii="Times New Roman" w:hAnsi="Times New Roman"/>
          <w:b w:val="0"/>
          <w:i w:val="0"/>
          <w:sz w:val="22"/>
        </w:rPr>
        <w:t>Paper structure overview</w:t>
      </w:r>
    </w:p>
    <w:p>
      <w:pPr>
        <w:pStyle w:val="ListBullet"/>
        <w:spacing w:after="60"/>
        <w:ind w:left="432"/>
      </w:pPr>
      <w:r>
        <w:rPr>
          <w:rFonts w:ascii="Times New Roman" w:hAnsi="Times New Roman"/>
          <w:b w:val="0"/>
          <w:i w:val="0"/>
          <w:sz w:val="22"/>
        </w:rPr>
        <w:t>Relationship to Paper 2 (BJET CMAA framework): this paper provides the empirical application</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2. Literature Review [OUTLINE, ~900 words target]</w:t>
      </w:r>
    </w:p>
    <w:p>
      <w:pPr>
        <w:spacing w:before="160" w:after="80"/>
      </w:pPr>
      <w:r>
        <w:rPr>
          <w:rFonts w:ascii="Times New Roman" w:hAnsi="Times New Roman"/>
          <w:b/>
          <w:i w:val="0"/>
          <w:sz w:val="24"/>
        </w:rPr>
        <w:t>2.1 Agentic AI in Education: From Tool to Participant</w:t>
      </w:r>
    </w:p>
    <w:p>
      <w:pPr>
        <w:pStyle w:val="ListBullet"/>
        <w:spacing w:after="60"/>
        <w:ind w:left="432"/>
      </w:pPr>
      <w:r>
        <w:rPr>
          <w:rFonts w:ascii="Times New Roman" w:hAnsi="Times New Roman"/>
          <w:b w:val="0"/>
          <w:i w:val="0"/>
          <w:sz w:val="22"/>
        </w:rPr>
        <w:t>Reactive AIED → generative AI assistants → agentic AI: initiative and persistence as defining features (Ouyang &amp; Jiao, 2021; Yan et al., 2024)</w:t>
      </w:r>
    </w:p>
    <w:p>
      <w:pPr>
        <w:pStyle w:val="ListBullet"/>
        <w:spacing w:after="60"/>
        <w:ind w:left="432"/>
      </w:pPr>
      <w:r>
        <w:rPr>
          <w:rFonts w:ascii="Times New Roman" w:hAnsi="Times New Roman"/>
          <w:b w:val="0"/>
          <w:i w:val="0"/>
          <w:sz w:val="22"/>
        </w:rPr>
        <w:t>Multi-agent coordination in educational contexts (Wang et al., 2024; Hughes et al., 2025)</w:t>
      </w:r>
    </w:p>
    <w:p>
      <w:pPr>
        <w:pStyle w:val="ListBullet"/>
        <w:spacing w:after="60"/>
        <w:ind w:left="432"/>
      </w:pPr>
      <w:r>
        <w:rPr>
          <w:rFonts w:ascii="Times New Roman" w:hAnsi="Times New Roman"/>
          <w:b w:val="0"/>
          <w:i w:val="0"/>
          <w:sz w:val="22"/>
        </w:rPr>
        <w:t>Current knowledge gap: empirical studies of how agentic AI changes reasoning processes</w:t>
      </w:r>
    </w:p>
    <w:p>
      <w:pPr>
        <w:spacing w:before="160" w:after="80"/>
      </w:pPr>
      <w:r>
        <w:rPr>
          <w:rFonts w:ascii="Times New Roman" w:hAnsi="Times New Roman"/>
          <w:b/>
          <w:i w:val="0"/>
          <w:sz w:val="24"/>
        </w:rPr>
        <w:t>2.2 Research Methodology Education at the Doctoral Level</w:t>
      </w:r>
    </w:p>
    <w:p>
      <w:pPr>
        <w:pStyle w:val="ListBullet"/>
        <w:spacing w:after="60"/>
        <w:ind w:left="432"/>
      </w:pPr>
      <w:r>
        <w:rPr>
          <w:rFonts w:ascii="Times New Roman" w:hAnsi="Times New Roman"/>
          <w:b w:val="0"/>
          <w:i w:val="0"/>
          <w:sz w:val="22"/>
        </w:rPr>
        <w:t>Challenges in doctoral methodology training: limited exposure to paradigm diversity, advisor influence, disciplinary norms</w:t>
      </w:r>
    </w:p>
    <w:p>
      <w:pPr>
        <w:pStyle w:val="ListBullet"/>
        <w:spacing w:after="60"/>
        <w:ind w:left="432"/>
      </w:pPr>
      <w:r>
        <w:rPr>
          <w:rFonts w:ascii="Times New Roman" w:hAnsi="Times New Roman"/>
          <w:b w:val="0"/>
          <w:i w:val="0"/>
          <w:sz w:val="22"/>
        </w:rPr>
        <w:t>AI tools in research education: emerging use cases, early findings (TAM-centered studies predominate)</w:t>
      </w:r>
    </w:p>
    <w:p>
      <w:pPr>
        <w:pStyle w:val="ListBullet"/>
        <w:spacing w:after="60"/>
        <w:ind w:left="432"/>
      </w:pPr>
      <w:r>
        <w:rPr>
          <w:rFonts w:ascii="Times New Roman" w:hAnsi="Times New Roman"/>
          <w:b w:val="0"/>
          <w:i w:val="0"/>
          <w:sz w:val="22"/>
        </w:rPr>
        <w:t>Mode collapse as structural risk: when AI recommendations replicate training data distributions</w:t>
      </w:r>
    </w:p>
    <w:p>
      <w:pPr>
        <w:spacing w:before="160" w:after="80"/>
      </w:pPr>
      <w:r>
        <w:rPr>
          <w:rFonts w:ascii="Times New Roman" w:hAnsi="Times New Roman"/>
          <w:b/>
          <w:i w:val="0"/>
          <w:sz w:val="24"/>
        </w:rPr>
        <w:t>2.3 Measurement Approaches for AI-Mediated Reasoning</w:t>
      </w:r>
    </w:p>
    <w:p>
      <w:pPr>
        <w:pStyle w:val="ListBullet"/>
        <w:spacing w:after="60"/>
        <w:ind w:left="432"/>
      </w:pPr>
      <w:r>
        <w:rPr>
          <w:rFonts w:ascii="Times New Roman" w:hAnsi="Times New Roman"/>
          <w:b w:val="0"/>
          <w:i w:val="0"/>
          <w:sz w:val="22"/>
        </w:rPr>
        <w:t>Think-aloud as process data (Ericsson &amp; Simon, 1993)</w:t>
      </w:r>
    </w:p>
    <w:p>
      <w:pPr>
        <w:pStyle w:val="ListBullet"/>
        <w:spacing w:after="60"/>
        <w:ind w:left="432"/>
      </w:pPr>
      <w:r>
        <w:rPr>
          <w:rFonts w:ascii="Times New Roman" w:hAnsi="Times New Roman"/>
          <w:b w:val="0"/>
          <w:i w:val="0"/>
          <w:sz w:val="22"/>
        </w:rPr>
        <w:t>Interaction log analysis: affordances and limitations</w:t>
      </w:r>
    </w:p>
    <w:p>
      <w:pPr>
        <w:pStyle w:val="ListBullet"/>
        <w:spacing w:after="60"/>
        <w:ind w:left="432"/>
      </w:pPr>
      <w:r>
        <w:rPr>
          <w:rFonts w:ascii="Times New Roman" w:hAnsi="Times New Roman"/>
          <w:b w:val="0"/>
          <w:i w:val="0"/>
          <w:sz w:val="22"/>
        </w:rPr>
        <w:t>Prior design-based studies of AI scaffolding: what was measured and what was missed</w:t>
      </w:r>
    </w:p>
    <w:p>
      <w:pPr>
        <w:pStyle w:val="ListBullet"/>
        <w:spacing w:after="60"/>
        <w:ind w:left="432"/>
      </w:pPr>
      <w:r>
        <w:rPr>
          <w:rFonts w:ascii="Times New Roman" w:hAnsi="Times New Roman"/>
          <w:b w:val="0"/>
          <w:i w:val="0"/>
          <w:sz w:val="22"/>
        </w:rPr>
        <w:t>CMAA (You &amp; Yang, forthcoming) as the measurement framework for this study</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3. Theoretical Framework [Prose draft, ~600 of target ~1,000 words]</w:t>
      </w:r>
    </w:p>
    <w:p>
      <w:pPr>
        <w:spacing w:before="160" w:after="80"/>
      </w:pPr>
      <w:r>
        <w:rPr>
          <w:rFonts w:ascii="Times New Roman" w:hAnsi="Times New Roman"/>
          <w:b/>
          <w:i w:val="0"/>
          <w:sz w:val="24"/>
        </w:rPr>
        <w:t>3.1 Artificial Agency and Epistemic Labour Redistribution</w:t>
      </w:r>
    </w:p>
    <w:p>
      <w:pPr>
        <w:spacing w:after="120"/>
        <w:ind w:firstLine="0"/>
      </w:pPr>
      <w:r>
        <w:rPr>
          <w:rFonts w:ascii="Times New Roman" w:hAnsi="Times New Roman"/>
          <w:b w:val="0"/>
          <w:i w:val="0"/>
          <w:sz w:val="22"/>
        </w:rPr>
        <w:t>This study adopts You and Yang's (Paper 2) operationalization of Floridi's (2025) artificial agency criteria as its foundational frame, in which interactivity, bounded autonomy, and adaptability are treated as measurable properties of checkpoint-governed AI architectures rather than anthropomorphic attributes. In the context of doctoral research methodology education, the educational consequence of artificial agency is not primarily a function of AI output quality, but of how checkpoint interactions redistribute epistemic labour, the cognitive work of generating options, evaluating alternatives, calibrating confidence, and making consequential decisions; at moments when research design decisions are made.</w:t>
      </w:r>
    </w:p>
    <w:p>
      <w:pPr>
        <w:spacing w:after="120"/>
        <w:ind w:firstLine="0"/>
      </w:pPr>
      <w:r>
        <w:rPr>
          <w:rFonts w:ascii="Times New Roman" w:hAnsi="Times New Roman"/>
          <w:b w:val="0"/>
          <w:i w:val="0"/>
          <w:sz w:val="22"/>
        </w:rPr>
        <w:t>Diverga's checkpoint system creates structured sites where this redistribution becomes observable: whether the human engages in genuine deliberation across VS-generated alternatives; one modal (T &gt; 0.8), one contextually appropriate (T ~ 0.5), and one non-modal but theoretically defensible (T &lt; 0.3), or defaults to the modal option without inspection, determines whether the redistribution resulted in expanded or constrained epistemic agency. This distinction (between deliberate engagement and automation deference at the checkpoint) is the central empirical question the study is designed to answer.</w:t>
      </w:r>
    </w:p>
    <w:p>
      <w:pPr>
        <w:spacing w:before="160" w:after="80"/>
      </w:pPr>
      <w:r>
        <w:rPr>
          <w:rFonts w:ascii="Times New Roman" w:hAnsi="Times New Roman"/>
          <w:b/>
          <w:i w:val="0"/>
          <w:sz w:val="24"/>
        </w:rPr>
        <w:t>3.2 Authentic Learning as Evaluative Standard</w:t>
      </w:r>
    </w:p>
    <w:p>
      <w:pPr>
        <w:spacing w:after="120"/>
        <w:ind w:firstLine="0"/>
      </w:pPr>
      <w:r>
        <w:rPr>
          <w:rFonts w:ascii="Times New Roman" w:hAnsi="Times New Roman"/>
          <w:b w:val="0"/>
          <w:i w:val="0"/>
          <w:sz w:val="22"/>
        </w:rPr>
        <w:t>Herrington et al.'s (2010) Authentic Learning framework provides the normative standard against which Diverga's effects are evaluated. Authentic learning involves: ill-defined, complex tasks; multiple perspectives; collaborative knowledge construction; reflection and metacognition; and articulation that renders tacit knowledge explicit. Diverga's design is explicitly informed by these features: VS methodology surfaces multiple perspectives (alternatives across paradigms); T-Score visibility makes implicit typicality judgments explicit (supporting metacognition); forced deliberation at checkpoints creates natural articulation moments. Whether the system succeeds in producing these effects (or whether participants bypass the deliberation the architecture invites) is what the study examines.</w:t>
      </w:r>
    </w:p>
    <w:p>
      <w:pPr>
        <w:spacing w:after="120"/>
        <w:ind w:firstLine="0"/>
      </w:pPr>
      <w:r>
        <w:rPr>
          <w:rFonts w:ascii="Times New Roman" w:hAnsi="Times New Roman"/>
          <w:b/>
          <w:i w:val="0"/>
          <w:sz w:val="22"/>
        </w:rPr>
        <w:t>[See Table 5: Authentic Learning Characteristics × Diverga Mechanisms × Study Observation Points]</w:t>
      </w:r>
    </w:p>
    <w:p>
      <w:pPr>
        <w:spacing w:before="160" w:after="80"/>
      </w:pPr>
      <w:r>
        <w:rPr>
          <w:rFonts w:ascii="Times New Roman" w:hAnsi="Times New Roman"/>
          <w:b/>
          <w:i w:val="0"/>
          <w:sz w:val="24"/>
        </w:rPr>
        <w:t>3.3 Activity Theory and Contradiction Analysis</w:t>
      </w:r>
    </w:p>
    <w:p>
      <w:pPr>
        <w:spacing w:after="120"/>
        <w:ind w:firstLine="0"/>
      </w:pPr>
      <w:r>
        <w:rPr>
          <w:rFonts w:ascii="Times New Roman" w:hAnsi="Times New Roman"/>
          <w:b w:val="0"/>
          <w:i w:val="0"/>
          <w:sz w:val="22"/>
        </w:rPr>
        <w:t xml:space="preserve">Activity Theory (Engeström, 1987) provides the analytical lens for identifying tensions within the human-Diverga research design activity system. The primary contradiction under investigation is between </w:t>
      </w:r>
      <w:r>
        <w:rPr>
          <w:rFonts w:ascii="Times New Roman" w:hAnsi="Times New Roman"/>
          <w:b w:val="0"/>
          <w:i/>
          <w:sz w:val="22"/>
        </w:rPr>
        <w:t>tool mediation</w:t>
      </w:r>
      <w:r>
        <w:rPr>
          <w:rFonts w:ascii="Times New Roman" w:hAnsi="Times New Roman"/>
          <w:b w:val="0"/>
          <w:i w:val="0"/>
          <w:sz w:val="22"/>
        </w:rPr>
        <w:t xml:space="preserve"> (checkpoint as epistemic scaffold, extending the researcher's methodological reach) and </w:t>
      </w:r>
      <w:r>
        <w:rPr>
          <w:rFonts w:ascii="Times New Roman" w:hAnsi="Times New Roman"/>
          <w:b w:val="0"/>
          <w:i/>
          <w:sz w:val="22"/>
        </w:rPr>
        <w:t>normative constraint</w:t>
      </w:r>
      <w:r>
        <w:rPr>
          <w:rFonts w:ascii="Times New Roman" w:hAnsi="Times New Roman"/>
          <w:b w:val="0"/>
          <w:i w:val="0"/>
          <w:sz w:val="22"/>
        </w:rPr>
        <w:t xml:space="preserve"> (checkpoint as governance mechanism, limiting exploration to system-generated alternatives). Secondary contradictions are examined between the community of practice norms of the participant's discipline (established methodological expectations) and the VS recommendations that may challenge those norms. These contradictions surface in think-aloud data at checkpoints and in interview reflections on perceived vs. actual agency.</w:t>
      </w:r>
    </w:p>
    <w:p>
      <w:pPr>
        <w:spacing w:before="120" w:after="120"/>
      </w:pPr>
      <w:r>
        <w:rPr>
          <w:rFonts w:ascii="Times New Roman" w:hAnsi="Times New Roman"/>
          <w:b w:val="0"/>
          <w:i w:val="0"/>
          <w:color w:val="B4B4B4"/>
          <w:sz w:val="16"/>
        </w:rPr>
        <w:t>──────────────────────────────────────────────────────────────────────</w:t>
      </w:r>
    </w:p>
    <w:p>
      <w:pPr>
        <w:spacing w:before="80" w:after="160"/>
      </w:pPr>
      <w:r>
        <w:rPr>
          <w:rFonts w:ascii="Times New Roman" w:hAnsi="Times New Roman"/>
          <w:b w:val="0"/>
          <w:i/>
          <w:sz w:val="20"/>
        </w:rPr>
        <w:t>Table 5. Authentic Learning Characteristics × Diverga Mechanisms × Study Observation 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rFonts w:ascii="Times New Roman" w:hAnsi="Times New Roman"/>
                <w:b/>
                <w:sz w:val="20"/>
              </w:rPr>
              <w:t>AL Characteristic (Herrington et al., 2010)</w:t>
            </w:r>
          </w:p>
        </w:tc>
        <w:tc>
          <w:tcPr>
            <w:tcW w:type="dxa" w:w="2880"/>
            <w:shd w:val="clear" w:color="auto" w:fill="E8E8E8"/>
          </w:tcPr>
          <w:p>
            <w:r>
              <w:rPr>
                <w:rFonts w:ascii="Times New Roman" w:hAnsi="Times New Roman"/>
                <w:b/>
                <w:sz w:val="20"/>
              </w:rPr>
              <w:t>Diverga Mechanism</w:t>
            </w:r>
          </w:p>
        </w:tc>
        <w:tc>
          <w:tcPr>
            <w:tcW w:type="dxa" w:w="2880"/>
            <w:shd w:val="clear" w:color="auto" w:fill="E8E8E8"/>
          </w:tcPr>
          <w:p>
            <w:r>
              <w:rPr>
                <w:rFonts w:ascii="Times New Roman" w:hAnsi="Times New Roman"/>
                <w:b/>
                <w:sz w:val="20"/>
              </w:rPr>
              <w:t>Study Observation Point</w:t>
            </w:r>
          </w:p>
        </w:tc>
      </w:tr>
      <w:tr>
        <w:tc>
          <w:tcPr>
            <w:tcW w:type="dxa" w:w="2880"/>
          </w:tcPr>
          <w:p>
            <w:r>
              <w:rPr>
                <w:rFonts w:ascii="Times New Roman" w:hAnsi="Times New Roman"/>
                <w:sz w:val="20"/>
              </w:rPr>
              <w:t>Ill-defined complex tasks</w:t>
            </w:r>
          </w:p>
        </w:tc>
        <w:tc>
          <w:tcPr>
            <w:tcW w:type="dxa" w:w="2880"/>
          </w:tcPr>
          <w:p>
            <w:r>
              <w:rPr>
                <w:rFonts w:ascii="Times New Roman" w:hAnsi="Times New Roman"/>
                <w:sz w:val="20"/>
              </w:rPr>
              <w:t>Research design scenarios (Scenarios A and B)</w:t>
            </w:r>
          </w:p>
        </w:tc>
        <w:tc>
          <w:tcPr>
            <w:tcW w:type="dxa" w:w="2880"/>
          </w:tcPr>
          <w:p>
            <w:r>
              <w:rPr>
                <w:rFonts w:ascii="Times New Roman" w:hAnsi="Times New Roman"/>
                <w:sz w:val="20"/>
              </w:rPr>
              <w:t>Pre-task artifact complexity assessment</w:t>
            </w:r>
          </w:p>
        </w:tc>
      </w:tr>
      <w:tr>
        <w:tc>
          <w:tcPr>
            <w:tcW w:type="dxa" w:w="2880"/>
          </w:tcPr>
          <w:p>
            <w:r>
              <w:rPr>
                <w:rFonts w:ascii="Times New Roman" w:hAnsi="Times New Roman"/>
                <w:sz w:val="20"/>
              </w:rPr>
              <w:t>Multiple perspectives</w:t>
            </w:r>
          </w:p>
        </w:tc>
        <w:tc>
          <w:tcPr>
            <w:tcW w:type="dxa" w:w="2880"/>
          </w:tcPr>
          <w:p>
            <w:r>
              <w:rPr>
                <w:rFonts w:ascii="Times New Roman" w:hAnsi="Times New Roman"/>
                <w:sz w:val="20"/>
              </w:rPr>
              <w:t>VS T-Score alternatives (5 paradigm personas)</w:t>
            </w:r>
          </w:p>
        </w:tc>
        <w:tc>
          <w:tcPr>
            <w:tcW w:type="dxa" w:w="2880"/>
          </w:tcPr>
          <w:p>
            <w:r>
              <w:rPr>
                <w:rFonts w:ascii="Times New Roman" w:hAnsi="Times New Roman"/>
                <w:sz w:val="20"/>
              </w:rPr>
              <w:t>DSE measurement; think-aloud at checkpoints</w:t>
            </w:r>
          </w:p>
        </w:tc>
      </w:tr>
      <w:tr>
        <w:tc>
          <w:tcPr>
            <w:tcW w:type="dxa" w:w="2880"/>
          </w:tcPr>
          <w:p>
            <w:r>
              <w:rPr>
                <w:rFonts w:ascii="Times New Roman" w:hAnsi="Times New Roman"/>
                <w:sz w:val="20"/>
              </w:rPr>
              <w:t>Reflection and metacognition</w:t>
            </w:r>
          </w:p>
        </w:tc>
        <w:tc>
          <w:tcPr>
            <w:tcW w:type="dxa" w:w="2880"/>
          </w:tcPr>
          <w:p>
            <w:r>
              <w:rPr>
                <w:rFonts w:ascii="Times New Roman" w:hAnsi="Times New Roman"/>
                <w:sz w:val="20"/>
              </w:rPr>
              <w:t>T-Score visibility; forced checkpoint pause</w:t>
            </w:r>
          </w:p>
        </w:tc>
        <w:tc>
          <w:tcPr>
            <w:tcW w:type="dxa" w:w="2880"/>
          </w:tcPr>
          <w:p>
            <w:r>
              <w:rPr>
                <w:rFonts w:ascii="Times New Roman" w:hAnsi="Times New Roman"/>
                <w:sz w:val="20"/>
              </w:rPr>
              <w:t>Think-aloud during checkpoint deliberation</w:t>
            </w:r>
          </w:p>
        </w:tc>
      </w:tr>
      <w:tr>
        <w:tc>
          <w:tcPr>
            <w:tcW w:type="dxa" w:w="2880"/>
          </w:tcPr>
          <w:p>
            <w:r>
              <w:rPr>
                <w:rFonts w:ascii="Times New Roman" w:hAnsi="Times New Roman"/>
                <w:sz w:val="20"/>
              </w:rPr>
              <w:t>Articulation (tacit → explicit)</w:t>
            </w:r>
          </w:p>
        </w:tc>
        <w:tc>
          <w:tcPr>
            <w:tcW w:type="dxa" w:w="2880"/>
          </w:tcPr>
          <w:p>
            <w:r>
              <w:rPr>
                <w:rFonts w:ascii="Times New Roman" w:hAnsi="Times New Roman"/>
                <w:sz w:val="20"/>
              </w:rPr>
              <w:t>required checkpoint: must select and proceed</w:t>
            </w:r>
          </w:p>
        </w:tc>
        <w:tc>
          <w:tcPr>
            <w:tcW w:type="dxa" w:w="2880"/>
          </w:tcPr>
          <w:p>
            <w:r>
              <w:rPr>
                <w:rFonts w:ascii="Times New Roman" w:hAnsi="Times New Roman"/>
                <w:sz w:val="20"/>
              </w:rPr>
              <w:t>Interview: "Why did you choose that option?"</w:t>
            </w:r>
          </w:p>
        </w:tc>
      </w:tr>
      <w:tr>
        <w:tc>
          <w:tcPr>
            <w:tcW w:type="dxa" w:w="2880"/>
          </w:tcPr>
          <w:p>
            <w:r>
              <w:rPr>
                <w:rFonts w:ascii="Times New Roman" w:hAnsi="Times New Roman"/>
                <w:sz w:val="20"/>
              </w:rPr>
              <w:t>Authentic assessment</w:t>
            </w:r>
          </w:p>
        </w:tc>
        <w:tc>
          <w:tcPr>
            <w:tcW w:type="dxa" w:w="2880"/>
          </w:tcPr>
          <w:p>
            <w:r>
              <w:rPr>
                <w:rFonts w:ascii="Times New Roman" w:hAnsi="Times New Roman"/>
                <w:sz w:val="20"/>
              </w:rPr>
              <w:t>Comparison of pre-task vs. re-design artifact</w:t>
            </w:r>
          </w:p>
        </w:tc>
        <w:tc>
          <w:tcPr>
            <w:tcW w:type="dxa" w:w="2880"/>
          </w:tcPr>
          <w:p>
            <w:r>
              <w:rPr>
                <w:rFonts w:ascii="Times New Roman" w:hAnsi="Times New Roman"/>
                <w:sz w:val="20"/>
              </w:rPr>
              <w:t>Artifact analysis: framework diversity, coherence</w:t>
            </w:r>
          </w:p>
        </w:tc>
      </w:tr>
    </w:tbl>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4. Design Research Methodology [Prose draft, ~350 of target ~600 words]</w:t>
      </w:r>
    </w:p>
    <w:p>
      <w:pPr>
        <w:spacing w:after="120"/>
        <w:ind w:firstLine="0"/>
      </w:pPr>
      <w:r>
        <w:rPr>
          <w:rFonts w:ascii="Times New Roman" w:hAnsi="Times New Roman"/>
          <w:b w:val="0"/>
          <w:i w:val="0"/>
          <w:sz w:val="22"/>
        </w:rPr>
        <w:t>This study employs a design-based research approach (McKenney &amp; Reeves, 2012) in which Diverga is the designed intervention under evaluation, and the research contributes both empirical findings and design principles for the broader field. The study constitutes Phase 2 of a broader EDR cycle: Phase 1 (design and construction of Diverga through five iterative cycles, n=224 commits) is reported in You &amp; Yang (Paper 1, under review at IJDL). The present study reports the initial evaluation phase, contributing design knowledge that will inform subsequent design iteration.</w:t>
      </w:r>
    </w:p>
    <w:p>
      <w:pPr>
        <w:spacing w:after="120"/>
        <w:ind w:firstLine="0"/>
      </w:pPr>
      <w:r>
        <w:rPr>
          <w:rFonts w:ascii="Times New Roman" w:hAnsi="Times New Roman"/>
          <w:b w:val="0"/>
          <w:i w:val="0"/>
          <w:sz w:val="22"/>
        </w:rPr>
        <w:t>The design-based framing is appropriate for three reasons. First, Diverga's architecture embodies design decisions, the checkpoint-enforcement mechanism, the T-Score typicality scale, the VS methodology; that are themselves theoretical claims about how artificial agency can support authentic learning. The study tests these claims in a naturalistic task context. Second, the small N (5 participants) is appropriate for an initial evaluation phase: the goal is to generate rich, process-level data sufficient to derive design principles and identify critical tensions for subsequent iteration, not to achieve statistical generalization. Third, ETR&amp;D's design-based research genre supports the publication of evaluation studies before large-scale empirical replication, recognizing that design knowledge requires iterative refinement rather than single-study validation.</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5. Study Design [Integrating from experimental_design_v2.md]</w:t>
      </w:r>
    </w:p>
    <w:p>
      <w:pPr>
        <w:spacing w:before="160" w:after="80"/>
      </w:pPr>
      <w:r>
        <w:rPr>
          <w:rFonts w:ascii="Times New Roman" w:hAnsi="Times New Roman"/>
          <w:b/>
          <w:i w:val="0"/>
          <w:sz w:val="24"/>
        </w:rPr>
        <w:t>5.1 Research Context</w:t>
      </w:r>
    </w:p>
    <w:p>
      <w:pPr>
        <w:spacing w:after="120"/>
        <w:ind w:firstLine="0"/>
      </w:pPr>
      <w:r>
        <w:rPr>
          <w:rFonts w:ascii="Times New Roman" w:hAnsi="Times New Roman"/>
          <w:b w:val="0"/>
          <w:i w:val="0"/>
          <w:sz w:val="22"/>
        </w:rPr>
        <w:t>Penn State College of Education doctoral students in social science fields. Diverga was developed at Penn State; the researcher is the developer (reflexivity addressed in §8.2). Recruitment through doctoral listservs and research methods courses.</w:t>
      </w:r>
    </w:p>
    <w:p>
      <w:pPr>
        <w:spacing w:before="160" w:after="80"/>
      </w:pPr>
      <w:r>
        <w:rPr>
          <w:rFonts w:ascii="Times New Roman" w:hAnsi="Times New Roman"/>
          <w:b/>
          <w:i w:val="0"/>
          <w:sz w:val="24"/>
        </w:rPr>
        <w:t>5.2 Participants</w:t>
      </w:r>
    </w:p>
    <w:p>
      <w:pPr>
        <w:spacing w:after="120"/>
        <w:ind w:firstLine="0"/>
      </w:pPr>
      <w:r>
        <w:rPr>
          <w:rFonts w:ascii="Times New Roman" w:hAnsi="Times New Roman"/>
          <w:b w:val="0"/>
          <w:i w:val="0"/>
          <w:sz w:val="22"/>
        </w:rPr>
        <w:t>N=5, purposeful maximum variation sampling across four dimensions (see Table 6). Selection ensures the sample covers AI knowledge × methodology expertise × disposition × disciplinary identity variation space. Minimum 2 participants with high AI knowledge; minimum 2 with low AI knowledge.</w:t>
      </w:r>
    </w:p>
    <w:p>
      <w:pPr>
        <w:spacing w:after="40"/>
      </w:pPr>
      <w:r>
        <w:rPr>
          <w:rFonts w:ascii="Times New Roman" w:hAnsi="Times New Roman"/>
          <w:b w:val="0"/>
          <w:i/>
          <w:color w:val="505050"/>
          <w:sz w:val="20"/>
        </w:rPr>
        <w:t>IRB status: Application preparation planned April–May 2026. Data collection planned August–September 2026.</w:t>
      </w:r>
    </w:p>
    <w:p>
      <w:pPr>
        <w:spacing w:after="120"/>
        <w:ind w:firstLine="0"/>
      </w:pPr>
      <w:r>
        <w:rPr>
          <w:rFonts w:ascii="Times New Roman" w:hAnsi="Times New Roman"/>
          <w:b/>
          <w:i w:val="0"/>
          <w:sz w:val="22"/>
        </w:rPr>
        <w:t>[See Table 6: Sample Profiling Matrix (Illustrative)]</w:t>
      </w:r>
    </w:p>
    <w:p>
      <w:pPr>
        <w:spacing w:before="120" w:after="120"/>
      </w:pPr>
      <w:r>
        <w:rPr>
          <w:rFonts w:ascii="Times New Roman" w:hAnsi="Times New Roman"/>
          <w:b w:val="0"/>
          <w:i w:val="0"/>
          <w:color w:val="B4B4B4"/>
          <w:sz w:val="16"/>
        </w:rPr>
        <w:t>──────────────────────────────────────────────────────────────────────</w:t>
      </w:r>
    </w:p>
    <w:p>
      <w:pPr>
        <w:spacing w:before="80" w:after="160"/>
      </w:pPr>
      <w:r>
        <w:rPr>
          <w:rFonts w:ascii="Times New Roman" w:hAnsi="Times New Roman"/>
          <w:b w:val="0"/>
          <w:i/>
          <w:sz w:val="20"/>
        </w:rPr>
        <w:t>Table 6. Sample Profiling Matrix (Illustrative: Actual Participants TBD Post-IRB)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8E8E8"/>
          </w:tcPr>
          <w:p>
            <w:r>
              <w:rPr>
                <w:rFonts w:ascii="Times New Roman" w:hAnsi="Times New Roman"/>
                <w:b/>
                <w:sz w:val="20"/>
              </w:rPr>
              <w:t>Participant</w:t>
            </w:r>
          </w:p>
        </w:tc>
        <w:tc>
          <w:tcPr>
            <w:tcW w:type="dxa" w:w="1728"/>
            <w:shd w:val="clear" w:color="auto" w:fill="E8E8E8"/>
          </w:tcPr>
          <w:p>
            <w:r>
              <w:rPr>
                <w:rFonts w:ascii="Times New Roman" w:hAnsi="Times New Roman"/>
                <w:b/>
                <w:sz w:val="20"/>
              </w:rPr>
              <w:t>AI Knowledge</w:t>
            </w:r>
          </w:p>
        </w:tc>
        <w:tc>
          <w:tcPr>
            <w:tcW w:type="dxa" w:w="1728"/>
            <w:shd w:val="clear" w:color="auto" w:fill="E8E8E8"/>
          </w:tcPr>
          <w:p>
            <w:r>
              <w:rPr>
                <w:rFonts w:ascii="Times New Roman" w:hAnsi="Times New Roman"/>
                <w:b/>
                <w:sz w:val="20"/>
              </w:rPr>
              <w:t>Methodology Expertise</w:t>
            </w:r>
          </w:p>
        </w:tc>
        <w:tc>
          <w:tcPr>
            <w:tcW w:type="dxa" w:w="1728"/>
            <w:shd w:val="clear" w:color="auto" w:fill="E8E8E8"/>
          </w:tcPr>
          <w:p>
            <w:r>
              <w:rPr>
                <w:rFonts w:ascii="Times New Roman" w:hAnsi="Times New Roman"/>
                <w:b/>
                <w:sz w:val="20"/>
              </w:rPr>
              <w:t>Disposition</w:t>
            </w:r>
          </w:p>
        </w:tc>
        <w:tc>
          <w:tcPr>
            <w:tcW w:type="dxa" w:w="1728"/>
            <w:shd w:val="clear" w:color="auto" w:fill="E8E8E8"/>
          </w:tcPr>
          <w:p>
            <w:r>
              <w:rPr>
                <w:rFonts w:ascii="Times New Roman" w:hAnsi="Times New Roman"/>
                <w:b/>
                <w:sz w:val="20"/>
              </w:rPr>
              <w:t>Discipline</w:t>
            </w:r>
          </w:p>
        </w:tc>
      </w:tr>
      <w:tr>
        <w:tc>
          <w:tcPr>
            <w:tcW w:type="dxa" w:w="1728"/>
          </w:tcPr>
          <w:p>
            <w:r>
              <w:rPr>
                <w:rFonts w:ascii="Times New Roman" w:hAnsi="Times New Roman"/>
                <w:sz w:val="20"/>
              </w:rPr>
              <w:t>P1</w:t>
            </w:r>
          </w:p>
        </w:tc>
        <w:tc>
          <w:tcPr>
            <w:tcW w:type="dxa" w:w="1728"/>
          </w:tcPr>
          <w:p>
            <w:r>
              <w:rPr>
                <w:rFonts w:ascii="Times New Roman" w:hAnsi="Times New Roman"/>
                <w:sz w:val="20"/>
              </w:rPr>
              <w:t>High</w:t>
            </w:r>
          </w:p>
        </w:tc>
        <w:tc>
          <w:tcPr>
            <w:tcW w:type="dxa" w:w="1728"/>
          </w:tcPr>
          <w:p>
            <w:r>
              <w:rPr>
                <w:rFonts w:ascii="Times New Roman" w:hAnsi="Times New Roman"/>
                <w:sz w:val="20"/>
              </w:rPr>
              <w:t>Advanced</w:t>
            </w:r>
          </w:p>
        </w:tc>
        <w:tc>
          <w:tcPr>
            <w:tcW w:type="dxa" w:w="1728"/>
          </w:tcPr>
          <w:p>
            <w:r>
              <w:rPr>
                <w:rFonts w:ascii="Times New Roman" w:hAnsi="Times New Roman"/>
                <w:sz w:val="20"/>
              </w:rPr>
              <w:t>Challenge-seeking</w:t>
            </w:r>
          </w:p>
        </w:tc>
        <w:tc>
          <w:tcPr>
            <w:tcW w:type="dxa" w:w="1728"/>
          </w:tcPr>
          <w:p>
            <w:r>
              <w:rPr>
                <w:rFonts w:ascii="Times New Roman" w:hAnsi="Times New Roman"/>
                <w:sz w:val="20"/>
              </w:rPr>
              <w:t>Educational Psychology</w:t>
            </w:r>
          </w:p>
        </w:tc>
      </w:tr>
      <w:tr>
        <w:tc>
          <w:tcPr>
            <w:tcW w:type="dxa" w:w="1728"/>
          </w:tcPr>
          <w:p>
            <w:r>
              <w:rPr>
                <w:rFonts w:ascii="Times New Roman" w:hAnsi="Times New Roman"/>
                <w:sz w:val="20"/>
              </w:rPr>
              <w:t>P2</w:t>
            </w:r>
          </w:p>
        </w:tc>
        <w:tc>
          <w:tcPr>
            <w:tcW w:type="dxa" w:w="1728"/>
          </w:tcPr>
          <w:p>
            <w:r>
              <w:rPr>
                <w:rFonts w:ascii="Times New Roman" w:hAnsi="Times New Roman"/>
                <w:sz w:val="20"/>
              </w:rPr>
              <w:t>Low</w:t>
            </w:r>
          </w:p>
        </w:tc>
        <w:tc>
          <w:tcPr>
            <w:tcW w:type="dxa" w:w="1728"/>
          </w:tcPr>
          <w:p>
            <w:r>
              <w:rPr>
                <w:rFonts w:ascii="Times New Roman" w:hAnsi="Times New Roman"/>
                <w:sz w:val="20"/>
              </w:rPr>
              <w:t>Intermediate</w:t>
            </w:r>
          </w:p>
        </w:tc>
        <w:tc>
          <w:tcPr>
            <w:tcW w:type="dxa" w:w="1728"/>
          </w:tcPr>
          <w:p>
            <w:r>
              <w:rPr>
                <w:rFonts w:ascii="Times New Roman" w:hAnsi="Times New Roman"/>
                <w:sz w:val="20"/>
              </w:rPr>
              <w:t>Conservative</w:t>
            </w:r>
          </w:p>
        </w:tc>
        <w:tc>
          <w:tcPr>
            <w:tcW w:type="dxa" w:w="1728"/>
          </w:tcPr>
          <w:p>
            <w:r>
              <w:rPr>
                <w:rFonts w:ascii="Times New Roman" w:hAnsi="Times New Roman"/>
                <w:sz w:val="20"/>
              </w:rPr>
              <w:t>Curriculum &amp; Instruction</w:t>
            </w:r>
          </w:p>
        </w:tc>
      </w:tr>
      <w:tr>
        <w:tc>
          <w:tcPr>
            <w:tcW w:type="dxa" w:w="1728"/>
          </w:tcPr>
          <w:p>
            <w:r>
              <w:rPr>
                <w:rFonts w:ascii="Times New Roman" w:hAnsi="Times New Roman"/>
                <w:sz w:val="20"/>
              </w:rPr>
              <w:t>P3</w:t>
            </w:r>
          </w:p>
        </w:tc>
        <w:tc>
          <w:tcPr>
            <w:tcW w:type="dxa" w:w="1728"/>
          </w:tcPr>
          <w:p>
            <w:r>
              <w:rPr>
                <w:rFonts w:ascii="Times New Roman" w:hAnsi="Times New Roman"/>
                <w:sz w:val="20"/>
              </w:rPr>
              <w:t>High</w:t>
            </w:r>
          </w:p>
        </w:tc>
        <w:tc>
          <w:tcPr>
            <w:tcW w:type="dxa" w:w="1728"/>
          </w:tcPr>
          <w:p>
            <w:r>
              <w:rPr>
                <w:rFonts w:ascii="Times New Roman" w:hAnsi="Times New Roman"/>
                <w:sz w:val="20"/>
              </w:rPr>
              <w:t>Novice</w:t>
            </w:r>
          </w:p>
        </w:tc>
        <w:tc>
          <w:tcPr>
            <w:tcW w:type="dxa" w:w="1728"/>
          </w:tcPr>
          <w:p>
            <w:r>
              <w:rPr>
                <w:rFonts w:ascii="Times New Roman" w:hAnsi="Times New Roman"/>
                <w:sz w:val="20"/>
              </w:rPr>
              <w:t>Balanced</w:t>
            </w:r>
          </w:p>
        </w:tc>
        <w:tc>
          <w:tcPr>
            <w:tcW w:type="dxa" w:w="1728"/>
          </w:tcPr>
          <w:p>
            <w:r>
              <w:rPr>
                <w:rFonts w:ascii="Times New Roman" w:hAnsi="Times New Roman"/>
                <w:sz w:val="20"/>
              </w:rPr>
              <w:t>Communication</w:t>
            </w:r>
          </w:p>
        </w:tc>
      </w:tr>
      <w:tr>
        <w:tc>
          <w:tcPr>
            <w:tcW w:type="dxa" w:w="1728"/>
          </w:tcPr>
          <w:p>
            <w:r>
              <w:rPr>
                <w:rFonts w:ascii="Times New Roman" w:hAnsi="Times New Roman"/>
                <w:sz w:val="20"/>
              </w:rPr>
              <w:t>P4</w:t>
            </w:r>
          </w:p>
        </w:tc>
        <w:tc>
          <w:tcPr>
            <w:tcW w:type="dxa" w:w="1728"/>
          </w:tcPr>
          <w:p>
            <w:r>
              <w:rPr>
                <w:rFonts w:ascii="Times New Roman" w:hAnsi="Times New Roman"/>
                <w:sz w:val="20"/>
              </w:rPr>
              <w:t>Low</w:t>
            </w:r>
          </w:p>
        </w:tc>
        <w:tc>
          <w:tcPr>
            <w:tcW w:type="dxa" w:w="1728"/>
          </w:tcPr>
          <w:p>
            <w:r>
              <w:rPr>
                <w:rFonts w:ascii="Times New Roman" w:hAnsi="Times New Roman"/>
                <w:sz w:val="20"/>
              </w:rPr>
              <w:t>Advanced</w:t>
            </w:r>
          </w:p>
        </w:tc>
        <w:tc>
          <w:tcPr>
            <w:tcW w:type="dxa" w:w="1728"/>
          </w:tcPr>
          <w:p>
            <w:r>
              <w:rPr>
                <w:rFonts w:ascii="Times New Roman" w:hAnsi="Times New Roman"/>
                <w:sz w:val="20"/>
              </w:rPr>
              <w:t>Challenge-seeking</w:t>
            </w:r>
          </w:p>
        </w:tc>
        <w:tc>
          <w:tcPr>
            <w:tcW w:type="dxa" w:w="1728"/>
          </w:tcPr>
          <w:p>
            <w:r>
              <w:rPr>
                <w:rFonts w:ascii="Times New Roman" w:hAnsi="Times New Roman"/>
                <w:sz w:val="20"/>
              </w:rPr>
              <w:t>Sociology of Education</w:t>
            </w:r>
          </w:p>
        </w:tc>
      </w:tr>
      <w:tr>
        <w:tc>
          <w:tcPr>
            <w:tcW w:type="dxa" w:w="1728"/>
          </w:tcPr>
          <w:p>
            <w:r>
              <w:rPr>
                <w:rFonts w:ascii="Times New Roman" w:hAnsi="Times New Roman"/>
                <w:sz w:val="20"/>
              </w:rPr>
              <w:t>P5</w:t>
            </w:r>
          </w:p>
        </w:tc>
        <w:tc>
          <w:tcPr>
            <w:tcW w:type="dxa" w:w="1728"/>
          </w:tcPr>
          <w:p>
            <w:r>
              <w:rPr>
                <w:rFonts w:ascii="Times New Roman" w:hAnsi="Times New Roman"/>
                <w:sz w:val="20"/>
              </w:rPr>
              <w:t>Moderate</w:t>
            </w:r>
          </w:p>
        </w:tc>
        <w:tc>
          <w:tcPr>
            <w:tcW w:type="dxa" w:w="1728"/>
          </w:tcPr>
          <w:p>
            <w:r>
              <w:rPr>
                <w:rFonts w:ascii="Times New Roman" w:hAnsi="Times New Roman"/>
                <w:sz w:val="20"/>
              </w:rPr>
              <w:t>Intermediate</w:t>
            </w:r>
          </w:p>
        </w:tc>
        <w:tc>
          <w:tcPr>
            <w:tcW w:type="dxa" w:w="1728"/>
          </w:tcPr>
          <w:p>
            <w:r>
              <w:rPr>
                <w:rFonts w:ascii="Times New Roman" w:hAnsi="Times New Roman"/>
                <w:sz w:val="20"/>
              </w:rPr>
              <w:t>Conservative</w:t>
            </w:r>
          </w:p>
        </w:tc>
        <w:tc>
          <w:tcPr>
            <w:tcW w:type="dxa" w:w="1728"/>
          </w:tcPr>
          <w:p>
            <w:r>
              <w:rPr>
                <w:rFonts w:ascii="Times New Roman" w:hAnsi="Times New Roman"/>
                <w:sz w:val="20"/>
              </w:rPr>
              <w:t>Higher Education</w:t>
            </w:r>
          </w:p>
        </w:tc>
      </w:tr>
    </w:tbl>
    <w:p/>
    <w:p>
      <w:pPr>
        <w:spacing w:after="120"/>
        <w:ind w:firstLine="0"/>
      </w:pPr>
      <w:r>
        <w:rPr>
          <w:rFonts w:ascii="Times New Roman" w:hAnsi="Times New Roman"/>
          <w:b w:val="0"/>
          <w:i/>
          <w:sz w:val="22"/>
        </w:rPr>
        <w:t>Note: Maximum variation sampling; actual participants selected based on screening instrument.</w:t>
      </w:r>
    </w:p>
    <w:p>
      <w:pPr>
        <w:spacing w:before="120" w:after="120"/>
      </w:pPr>
      <w:r>
        <w:rPr>
          <w:rFonts w:ascii="Times New Roman" w:hAnsi="Times New Roman"/>
          <w:b w:val="0"/>
          <w:i w:val="0"/>
          <w:color w:val="B4B4B4"/>
          <w:sz w:val="16"/>
        </w:rPr>
        <w:t>──────────────────────────────────────────────────────────────────────</w:t>
      </w:r>
    </w:p>
    <w:p>
      <w:pPr>
        <w:spacing w:before="160" w:after="80"/>
      </w:pPr>
      <w:r>
        <w:rPr>
          <w:rFonts w:ascii="Times New Roman" w:hAnsi="Times New Roman"/>
          <w:b/>
          <w:i w:val="0"/>
          <w:sz w:val="24"/>
        </w:rPr>
        <w:t>5.3 Research Scenarios</w:t>
      </w:r>
    </w:p>
    <w:p>
      <w:pPr>
        <w:spacing w:after="120"/>
        <w:ind w:firstLine="0"/>
      </w:pPr>
      <w:r>
        <w:rPr>
          <w:rFonts w:ascii="Times New Roman" w:hAnsi="Times New Roman"/>
          <w:b/>
          <w:i w:val="0"/>
          <w:sz w:val="22"/>
        </w:rPr>
        <w:t>Scenario A:</w:t>
      </w:r>
      <w:r>
        <w:rPr>
          <w:rFonts w:ascii="Times New Roman" w:hAnsi="Times New Roman"/>
          <w:b w:val="0"/>
          <w:i w:val="0"/>
          <w:sz w:val="22"/>
        </w:rPr>
        <w:t xml:space="preserve"> "The impact of AI tools on K-12 student academic achievement"</w:t>
      </w:r>
    </w:p>
    <w:p>
      <w:pPr>
        <w:pStyle w:val="ListBullet"/>
        <w:spacing w:after="60"/>
        <w:ind w:left="432"/>
      </w:pPr>
      <w:r>
        <w:rPr>
          <w:rFonts w:ascii="Times New Roman" w:hAnsi="Times New Roman"/>
          <w:b w:val="0"/>
          <w:i w:val="0"/>
          <w:sz w:val="22"/>
        </w:rPr>
        <w:t>Primary modal trap: Davis (1989) Technology Acceptance Model; UTAUT variants</w:t>
      </w:r>
    </w:p>
    <w:p>
      <w:pPr>
        <w:pStyle w:val="ListBullet"/>
        <w:spacing w:after="60"/>
        <w:ind w:left="432"/>
      </w:pPr>
      <w:r>
        <w:rPr>
          <w:rFonts w:ascii="Times New Roman" w:hAnsi="Times New Roman"/>
          <w:b w:val="0"/>
          <w:i w:val="0"/>
          <w:sz w:val="22"/>
        </w:rPr>
        <w:t>VS-generatable alternatives: Sociocultural perspectives on technology (Vygotsky-derived), sociotechnical systems theory, critical platform studies lens, learning analytics-oriented frameworks</w:t>
      </w:r>
    </w:p>
    <w:p>
      <w:pPr>
        <w:spacing w:after="120"/>
        <w:ind w:firstLine="0"/>
      </w:pPr>
      <w:r>
        <w:rPr>
          <w:rFonts w:ascii="Times New Roman" w:hAnsi="Times New Roman"/>
          <w:b/>
          <w:i w:val="0"/>
          <w:sz w:val="22"/>
        </w:rPr>
        <w:t>Scenario B:</w:t>
      </w:r>
      <w:r>
        <w:rPr>
          <w:rFonts w:ascii="Times New Roman" w:hAnsi="Times New Roman"/>
          <w:b w:val="0"/>
          <w:i w:val="0"/>
          <w:sz w:val="22"/>
        </w:rPr>
        <w:t xml:space="preserve"> "What factors shape academic socialization and research identity formation among first-generation doctoral students from racially underrepresented groups in STEM fields?"</w:t>
      </w:r>
    </w:p>
    <w:p>
      <w:pPr>
        <w:pStyle w:val="ListBullet"/>
        <w:spacing w:after="60"/>
        <w:ind w:left="432"/>
      </w:pPr>
      <w:r>
        <w:rPr>
          <w:rFonts w:ascii="Times New Roman" w:hAnsi="Times New Roman"/>
          <w:b w:val="0"/>
          <w:i w:val="0"/>
          <w:sz w:val="22"/>
        </w:rPr>
        <w:t>Primary modal trap: Bandura's (1986) Social Cognitive Theory; Bronfenbrenner's (1979) ecological systems model</w:t>
      </w:r>
    </w:p>
    <w:p>
      <w:pPr>
        <w:pStyle w:val="ListBullet"/>
        <w:spacing w:after="60"/>
        <w:ind w:left="432"/>
      </w:pPr>
      <w:r>
        <w:rPr>
          <w:rFonts w:ascii="Times New Roman" w:hAnsi="Times New Roman"/>
          <w:b w:val="0"/>
          <w:i w:val="0"/>
          <w:sz w:val="22"/>
        </w:rPr>
        <w:t>VS-generatable alternatives: Yosso's (2005) Cultural Wealth Model, Communities of Practice (Wenger, 1998), Critical Race Theory applied to higher education, intersectionality frameworks, TrioEd-informed models, funds of knowledge framework</w:t>
      </w:r>
    </w:p>
    <w:p>
      <w:pPr>
        <w:spacing w:after="120"/>
        <w:ind w:firstLine="0"/>
      </w:pPr>
      <w:r>
        <w:rPr>
          <w:rFonts w:ascii="Times New Roman" w:hAnsi="Times New Roman"/>
          <w:b w:val="0"/>
          <w:i/>
          <w:sz w:val="22"/>
        </w:rPr>
        <w:t>Counterbalancing:</w:t>
      </w:r>
      <w:r>
        <w:rPr>
          <w:rFonts w:ascii="Times New Roman" w:hAnsi="Times New Roman"/>
          <w:b w:val="0"/>
          <w:i w:val="0"/>
          <w:sz w:val="22"/>
        </w:rPr>
        <w:t xml:space="preserve"> 3 participants receive Scenario A → B order; 2 receive B → A.</w:t>
      </w:r>
    </w:p>
    <w:p>
      <w:pPr>
        <w:spacing w:after="120"/>
        <w:ind w:firstLine="0"/>
      </w:pPr>
      <w:r>
        <w:rPr>
          <w:rFonts w:ascii="Times New Roman" w:hAnsi="Times New Roman"/>
          <w:b/>
          <w:i w:val="0"/>
          <w:sz w:val="22"/>
        </w:rPr>
        <w:t>[See Figure 3: Study Session Protocol]</w:t>
      </w:r>
    </w:p>
    <w:p>
      <w:pPr>
        <w:spacing w:before="160" w:after="80"/>
      </w:pPr>
      <w:r>
        <w:rPr>
          <w:rFonts w:ascii="Times New Roman" w:hAnsi="Times New Roman"/>
          <w:b/>
          <w:i w:val="0"/>
          <w:sz w:val="24"/>
        </w:rPr>
        <w:t>5.4 Session Protocol Summary</w:t>
      </w:r>
    </w:p>
    <w:p>
      <w:pPr>
        <w:spacing w:after="120"/>
        <w:ind w:firstLine="0"/>
      </w:pPr>
      <w:r>
        <w:rPr>
          <w:rFonts w:ascii="Times New Roman" w:hAnsi="Times New Roman"/>
          <w:b/>
          <w:i w:val="0"/>
          <w:sz w:val="22"/>
        </w:rPr>
        <w:t>[See Table 7: Session Protocol Summary]</w:t>
      </w:r>
    </w:p>
    <w:p>
      <w:pPr>
        <w:spacing w:before="120" w:after="120"/>
      </w:pPr>
      <w:r>
        <w:rPr>
          <w:rFonts w:ascii="Times New Roman" w:hAnsi="Times New Roman"/>
          <w:b w:val="0"/>
          <w:i w:val="0"/>
          <w:color w:val="B4B4B4"/>
          <w:sz w:val="16"/>
        </w:rPr>
        <w:t>──────────────────────────────────────────────────────────────────────</w:t>
      </w:r>
    </w:p>
    <w:p>
      <w:pPr>
        <w:spacing w:before="80" w:after="160"/>
      </w:pPr>
      <w:r>
        <w:rPr>
          <w:rFonts w:ascii="Times New Roman" w:hAnsi="Times New Roman"/>
          <w:b w:val="0"/>
          <w:i/>
          <w:sz w:val="20"/>
        </w:rPr>
        <w:t>Table 7. Session Protocol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E8"/>
          </w:tcPr>
          <w:p>
            <w:r>
              <w:rPr>
                <w:rFonts w:ascii="Times New Roman" w:hAnsi="Times New Roman"/>
                <w:b/>
                <w:sz w:val="20"/>
              </w:rPr>
              <w:t>Phase</w:t>
            </w:r>
          </w:p>
        </w:tc>
        <w:tc>
          <w:tcPr>
            <w:tcW w:type="dxa" w:w="2160"/>
            <w:shd w:val="clear" w:color="auto" w:fill="E8E8E8"/>
          </w:tcPr>
          <w:p>
            <w:r>
              <w:rPr>
                <w:rFonts w:ascii="Times New Roman" w:hAnsi="Times New Roman"/>
                <w:b/>
                <w:sz w:val="20"/>
              </w:rPr>
              <w:t>Task</w:t>
            </w:r>
          </w:p>
        </w:tc>
        <w:tc>
          <w:tcPr>
            <w:tcW w:type="dxa" w:w="2160"/>
            <w:shd w:val="clear" w:color="auto" w:fill="E8E8E8"/>
          </w:tcPr>
          <w:p>
            <w:r>
              <w:rPr>
                <w:rFonts w:ascii="Times New Roman" w:hAnsi="Times New Roman"/>
                <w:b/>
                <w:sz w:val="20"/>
              </w:rPr>
              <w:t>Duration</w:t>
            </w:r>
          </w:p>
        </w:tc>
        <w:tc>
          <w:tcPr>
            <w:tcW w:type="dxa" w:w="2160"/>
            <w:shd w:val="clear" w:color="auto" w:fill="E8E8E8"/>
          </w:tcPr>
          <w:p>
            <w:r>
              <w:rPr>
                <w:rFonts w:ascii="Times New Roman" w:hAnsi="Times New Roman"/>
                <w:b/>
                <w:sz w:val="20"/>
              </w:rPr>
              <w:t>Data Collected</w:t>
            </w:r>
          </w:p>
        </w:tc>
      </w:tr>
      <w:tr>
        <w:tc>
          <w:tcPr>
            <w:tcW w:type="dxa" w:w="2160"/>
          </w:tcPr>
          <w:p>
            <w:r>
              <w:rPr>
                <w:rFonts w:ascii="Times New Roman" w:hAnsi="Times New Roman"/>
                <w:sz w:val="20"/>
              </w:rPr>
              <w:t>**Phase 0: Baseline**</w:t>
            </w:r>
          </w:p>
        </w:tc>
        <w:tc>
          <w:tcPr>
            <w:tcW w:type="dxa" w:w="2160"/>
          </w:tcPr>
          <w:p>
            <w:r>
              <w:rPr>
                <w:rFonts w:ascii="Times New Roman" w:hAnsi="Times New Roman"/>
                <w:sz w:val="20"/>
              </w:rPr>
              <w:t>Design a study on Scenario A (counterbalanced: some B). Written in Google Doc. No AI tools.</w:t>
            </w:r>
          </w:p>
        </w:tc>
        <w:tc>
          <w:tcPr>
            <w:tcW w:type="dxa" w:w="2160"/>
          </w:tcPr>
          <w:p>
            <w:r>
              <w:rPr>
                <w:rFonts w:ascii="Times New Roman" w:hAnsi="Times New Roman"/>
                <w:sz w:val="20"/>
              </w:rPr>
              <w:t>30 min</w:t>
            </w:r>
          </w:p>
        </w:tc>
        <w:tc>
          <w:tcPr>
            <w:tcW w:type="dxa" w:w="2160"/>
          </w:tcPr>
          <w:p>
            <w:r>
              <w:rPr>
                <w:rFonts w:ascii="Times New Roman" w:hAnsi="Times New Roman"/>
                <w:sz w:val="20"/>
              </w:rPr>
              <w:t>Pre-task artifact (Google Doc)</w:t>
            </w:r>
          </w:p>
        </w:tc>
      </w:tr>
      <w:tr>
        <w:tc>
          <w:tcPr>
            <w:tcW w:type="dxa" w:w="2160"/>
          </w:tcPr>
          <w:p>
            <w:r>
              <w:rPr>
                <w:rFonts w:ascii="Times New Roman" w:hAnsi="Times New Roman"/>
                <w:sz w:val="20"/>
              </w:rPr>
              <w:t>**Phase 1: Orientation**</w:t>
            </w:r>
          </w:p>
        </w:tc>
        <w:tc>
          <w:tcPr>
            <w:tcW w:type="dxa" w:w="2160"/>
          </w:tcPr>
          <w:p>
            <w:r>
              <w:rPr>
                <w:rFonts w:ascii="Times New Roman" w:hAnsi="Times New Roman"/>
                <w:sz w:val="20"/>
              </w:rPr>
              <w:t>Diverga walkthrough: checkpoint system, VS/T-Score, practice with neutral scenario.</w:t>
            </w:r>
          </w:p>
        </w:tc>
        <w:tc>
          <w:tcPr>
            <w:tcW w:type="dxa" w:w="2160"/>
          </w:tcPr>
          <w:p>
            <w:r>
              <w:rPr>
                <w:rFonts w:ascii="Times New Roman" w:hAnsi="Times New Roman"/>
                <w:sz w:val="20"/>
              </w:rPr>
              <w:t>20 min</w:t>
            </w:r>
          </w:p>
        </w:tc>
        <w:tc>
          <w:tcPr>
            <w:tcW w:type="dxa" w:w="2160"/>
          </w:tcPr>
          <w:p>
            <w:r>
              <w:rPr>
                <w:rFonts w:ascii="Times New Roman" w:hAnsi="Times New Roman"/>
                <w:sz w:val="20"/>
              </w:rPr>
              <w:t>Orientation log (informal)</w:t>
            </w:r>
          </w:p>
        </w:tc>
      </w:tr>
      <w:tr>
        <w:tc>
          <w:tcPr>
            <w:tcW w:type="dxa" w:w="2160"/>
          </w:tcPr>
          <w:p>
            <w:r>
              <w:rPr>
                <w:rFonts w:ascii="Times New Roman" w:hAnsi="Times New Roman"/>
                <w:sz w:val="20"/>
              </w:rPr>
              <w:t>*Break*</w:t>
            </w:r>
          </w:p>
        </w:tc>
        <w:tc>
          <w:tcPr>
            <w:tcW w:type="dxa" w:w="2160"/>
          </w:tcPr>
          <w:p>
            <w:r>
              <w:rPr>
                <w:rFonts w:ascii="Times New Roman" w:hAnsi="Times New Roman"/>
                <w:sz w:val="20"/>
              </w:rPr>
            </w:r>
          </w:p>
        </w:tc>
        <w:tc>
          <w:tcPr>
            <w:tcW w:type="dxa" w:w="2160"/>
          </w:tcPr>
          <w:p>
            <w:r>
              <w:rPr>
                <w:rFonts w:ascii="Times New Roman" w:hAnsi="Times New Roman"/>
                <w:sz w:val="20"/>
              </w:rPr>
              <w:t>5 min</w:t>
            </w:r>
          </w:p>
        </w:tc>
        <w:tc>
          <w:tcPr>
            <w:tcW w:type="dxa" w:w="2160"/>
          </w:tcPr>
          <w:p>
            <w:r>
              <w:rPr>
                <w:rFonts w:ascii="Times New Roman" w:hAnsi="Times New Roman"/>
                <w:sz w:val="20"/>
              </w:rPr>
              <w:t>,</w:t>
            </w:r>
          </w:p>
        </w:tc>
      </w:tr>
      <w:tr>
        <w:tc>
          <w:tcPr>
            <w:tcW w:type="dxa" w:w="2160"/>
          </w:tcPr>
          <w:p>
            <w:r>
              <w:rPr>
                <w:rFonts w:ascii="Times New Roman" w:hAnsi="Times New Roman"/>
                <w:sz w:val="20"/>
              </w:rPr>
              <w:t>**Phase 2: Diverga-Assisted**</w:t>
            </w:r>
          </w:p>
        </w:tc>
        <w:tc>
          <w:tcPr>
            <w:tcW w:type="dxa" w:w="2160"/>
          </w:tcPr>
          <w:p>
            <w:r>
              <w:rPr>
                <w:rFonts w:ascii="Times New Roman" w:hAnsi="Times New Roman"/>
                <w:sz w:val="20"/>
              </w:rPr>
              <w:t>Design a study on Scenario B (counterbalanced). Diverga + concurrent think-aloud.</w:t>
            </w:r>
          </w:p>
        </w:tc>
        <w:tc>
          <w:tcPr>
            <w:tcW w:type="dxa" w:w="2160"/>
          </w:tcPr>
          <w:p>
            <w:r>
              <w:rPr>
                <w:rFonts w:ascii="Times New Roman" w:hAnsi="Times New Roman"/>
                <w:sz w:val="20"/>
              </w:rPr>
              <w:t>60 min</w:t>
            </w:r>
          </w:p>
        </w:tc>
        <w:tc>
          <w:tcPr>
            <w:tcW w:type="dxa" w:w="2160"/>
          </w:tcPr>
          <w:p>
            <w:r>
              <w:rPr>
                <w:rFonts w:ascii="Times New Roman" w:hAnsi="Times New Roman"/>
                <w:sz w:val="20"/>
              </w:rPr>
              <w:t>decision-log.yaml, think-aloud audio, screen recording</w:t>
            </w:r>
          </w:p>
        </w:tc>
      </w:tr>
      <w:tr>
        <w:tc>
          <w:tcPr>
            <w:tcW w:type="dxa" w:w="2160"/>
          </w:tcPr>
          <w:p>
            <w:r>
              <w:rPr>
                <w:rFonts w:ascii="Times New Roman" w:hAnsi="Times New Roman"/>
                <w:sz w:val="20"/>
              </w:rPr>
              <w:t>*Break*</w:t>
            </w:r>
          </w:p>
        </w:tc>
        <w:tc>
          <w:tcPr>
            <w:tcW w:type="dxa" w:w="2160"/>
          </w:tcPr>
          <w:p>
            <w:r>
              <w:rPr>
                <w:rFonts w:ascii="Times New Roman" w:hAnsi="Times New Roman"/>
                <w:sz w:val="20"/>
              </w:rPr>
            </w:r>
          </w:p>
        </w:tc>
        <w:tc>
          <w:tcPr>
            <w:tcW w:type="dxa" w:w="2160"/>
          </w:tcPr>
          <w:p>
            <w:r>
              <w:rPr>
                <w:rFonts w:ascii="Times New Roman" w:hAnsi="Times New Roman"/>
                <w:sz w:val="20"/>
              </w:rPr>
              <w:t>5 min</w:t>
            </w:r>
          </w:p>
        </w:tc>
        <w:tc>
          <w:tcPr>
            <w:tcW w:type="dxa" w:w="2160"/>
          </w:tcPr>
          <w:p>
            <w:r>
              <w:rPr>
                <w:rFonts w:ascii="Times New Roman" w:hAnsi="Times New Roman"/>
                <w:sz w:val="20"/>
              </w:rPr>
              <w:t>,</w:t>
            </w:r>
          </w:p>
        </w:tc>
      </w:tr>
      <w:tr>
        <w:tc>
          <w:tcPr>
            <w:tcW w:type="dxa" w:w="2160"/>
          </w:tcPr>
          <w:p>
            <w:r>
              <w:rPr>
                <w:rFonts w:ascii="Times New Roman" w:hAnsi="Times New Roman"/>
                <w:sz w:val="20"/>
              </w:rPr>
              <w:t>**Phase 3: Re-design**</w:t>
            </w:r>
          </w:p>
        </w:tc>
        <w:tc>
          <w:tcPr>
            <w:tcW w:type="dxa" w:w="2160"/>
          </w:tcPr>
          <w:p>
            <w:r>
              <w:rPr>
                <w:rFonts w:ascii="Times New Roman" w:hAnsi="Times New Roman"/>
                <w:sz w:val="20"/>
              </w:rPr>
              <w:t>Revisit Scenario A with Diverga. Think-aloud. How does approach change?</w:t>
            </w:r>
          </w:p>
        </w:tc>
        <w:tc>
          <w:tcPr>
            <w:tcW w:type="dxa" w:w="2160"/>
          </w:tcPr>
          <w:p>
            <w:r>
              <w:rPr>
                <w:rFonts w:ascii="Times New Roman" w:hAnsi="Times New Roman"/>
                <w:sz w:val="20"/>
              </w:rPr>
              <w:t>40 min</w:t>
            </w:r>
          </w:p>
        </w:tc>
        <w:tc>
          <w:tcPr>
            <w:tcW w:type="dxa" w:w="2160"/>
          </w:tcPr>
          <w:p>
            <w:r>
              <w:rPr>
                <w:rFonts w:ascii="Times New Roman" w:hAnsi="Times New Roman"/>
                <w:sz w:val="20"/>
              </w:rPr>
              <w:t>decision-log.yaml, think-aloud audio, screen recording, re-design artifact</w:t>
            </w:r>
          </w:p>
        </w:tc>
      </w:tr>
      <w:tr>
        <w:tc>
          <w:tcPr>
            <w:tcW w:type="dxa" w:w="2160"/>
          </w:tcPr>
          <w:p>
            <w:r>
              <w:rPr>
                <w:rFonts w:ascii="Times New Roman" w:hAnsi="Times New Roman"/>
                <w:sz w:val="20"/>
              </w:rPr>
              <w:t>**Phase 4: Interview**</w:t>
            </w:r>
          </w:p>
        </w:tc>
        <w:tc>
          <w:tcPr>
            <w:tcW w:type="dxa" w:w="2160"/>
          </w:tcPr>
          <w:p>
            <w:r>
              <w:rPr>
                <w:rFonts w:ascii="Times New Roman" w:hAnsi="Times New Roman"/>
                <w:sz w:val="20"/>
              </w:rPr>
              <w:t>Semi-structured interview. 4 blocks (see §5.5).</w:t>
            </w:r>
          </w:p>
        </w:tc>
        <w:tc>
          <w:tcPr>
            <w:tcW w:type="dxa" w:w="2160"/>
          </w:tcPr>
          <w:p>
            <w:r>
              <w:rPr>
                <w:rFonts w:ascii="Times New Roman" w:hAnsi="Times New Roman"/>
                <w:sz w:val="20"/>
              </w:rPr>
              <w:t>25–30 min</w:t>
            </w:r>
          </w:p>
        </w:tc>
        <w:tc>
          <w:tcPr>
            <w:tcW w:type="dxa" w:w="2160"/>
          </w:tcPr>
          <w:p>
            <w:r>
              <w:rPr>
                <w:rFonts w:ascii="Times New Roman" w:hAnsi="Times New Roman"/>
                <w:sz w:val="20"/>
              </w:rPr>
              <w:t>Interview audio, researcher field notes</w:t>
            </w:r>
          </w:p>
        </w:tc>
      </w:tr>
    </w:tbl>
    <w:p/>
    <w:p>
      <w:pPr>
        <w:spacing w:after="120"/>
        <w:ind w:firstLine="0"/>
      </w:pPr>
      <w:r>
        <w:rPr>
          <w:rFonts w:ascii="Times New Roman" w:hAnsi="Times New Roman"/>
          <w:b w:val="0"/>
          <w:i/>
          <w:sz w:val="22"/>
        </w:rPr>
        <w:t>Total session: approximately 2.5–3 hours including breaks.</w:t>
      </w:r>
    </w:p>
    <w:p>
      <w:pPr>
        <w:spacing w:before="160" w:after="80"/>
      </w:pPr>
      <w:r>
        <w:rPr>
          <w:rFonts w:ascii="Times New Roman" w:hAnsi="Times New Roman"/>
          <w:b/>
          <w:i w:val="0"/>
          <w:sz w:val="24"/>
        </w:rPr>
        <w:t>5.5 Data Sources</w:t>
      </w:r>
    </w:p>
    <w:p>
      <w:pPr>
        <w:spacing w:after="120"/>
        <w:ind w:firstLine="0"/>
      </w:pPr>
      <w:r>
        <w:rPr>
          <w:rFonts w:ascii="Times New Roman" w:hAnsi="Times New Roman"/>
          <w:b/>
          <w:i w:val="0"/>
          <w:sz w:val="22"/>
        </w:rPr>
        <w:t>[See Figure 4: Mixed Methods Data Integration Design]</w:t>
      </w:r>
    </w:p>
    <w:p>
      <w:pPr>
        <w:spacing w:after="120"/>
        <w:ind w:firstLine="0"/>
      </w:pPr>
      <w:r>
        <w:rPr>
          <w:rFonts w:ascii="Times New Roman" w:hAnsi="Times New Roman"/>
          <w:b/>
          <w:i w:val="0"/>
          <w:sz w:val="22"/>
        </w:rPr>
        <w:t>[See Table 8: Data Sources and Analysis Purposes]</w:t>
      </w:r>
    </w:p>
    <w:p>
      <w:pPr>
        <w:spacing w:before="120" w:after="120"/>
      </w:pPr>
      <w:r>
        <w:rPr>
          <w:rFonts w:ascii="Times New Roman" w:hAnsi="Times New Roman"/>
          <w:b w:val="0"/>
          <w:i w:val="0"/>
          <w:color w:val="B4B4B4"/>
          <w:sz w:val="16"/>
        </w:rPr>
        <w:t>──────────────────────────────────────────────────────────────────────</w:t>
      </w:r>
    </w:p>
    <w:p>
      <w:pPr>
        <w:spacing w:before="80" w:after="160"/>
      </w:pPr>
      <w:r>
        <w:rPr>
          <w:rFonts w:ascii="Times New Roman" w:hAnsi="Times New Roman"/>
          <w:b w:val="0"/>
          <w:i/>
          <w:sz w:val="20"/>
        </w:rPr>
        <w:t>Table 8. Data Sources and Analysis Purposes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E8"/>
          </w:tcPr>
          <w:p>
            <w:r>
              <w:rPr>
                <w:rFonts w:ascii="Times New Roman" w:hAnsi="Times New Roman"/>
                <w:b/>
                <w:sz w:val="20"/>
              </w:rPr>
              <w:t>Data Source</w:t>
            </w:r>
          </w:p>
        </w:tc>
        <w:tc>
          <w:tcPr>
            <w:tcW w:type="dxa" w:w="2160"/>
            <w:shd w:val="clear" w:color="auto" w:fill="E8E8E8"/>
          </w:tcPr>
          <w:p>
            <w:r>
              <w:rPr>
                <w:rFonts w:ascii="Times New Roman" w:hAnsi="Times New Roman"/>
                <w:b/>
                <w:sz w:val="20"/>
              </w:rPr>
              <w:t>Collection Method</w:t>
            </w:r>
          </w:p>
        </w:tc>
        <w:tc>
          <w:tcPr>
            <w:tcW w:type="dxa" w:w="2160"/>
            <w:shd w:val="clear" w:color="auto" w:fill="E8E8E8"/>
          </w:tcPr>
          <w:p>
            <w:r>
              <w:rPr>
                <w:rFonts w:ascii="Times New Roman" w:hAnsi="Times New Roman"/>
                <w:b/>
                <w:sz w:val="20"/>
              </w:rPr>
              <w:t>Primary Analysis Purpose</w:t>
            </w:r>
          </w:p>
        </w:tc>
        <w:tc>
          <w:tcPr>
            <w:tcW w:type="dxa" w:w="2160"/>
            <w:shd w:val="clear" w:color="auto" w:fill="E8E8E8"/>
          </w:tcPr>
          <w:p>
            <w:r>
              <w:rPr>
                <w:rFonts w:ascii="Times New Roman" w:hAnsi="Times New Roman"/>
                <w:b/>
                <w:sz w:val="20"/>
              </w:rPr>
              <w:t>Strand</w:t>
            </w:r>
          </w:p>
        </w:tc>
      </w:tr>
      <w:tr>
        <w:tc>
          <w:tcPr>
            <w:tcW w:type="dxa" w:w="2160"/>
          </w:tcPr>
          <w:p>
            <w:r>
              <w:rPr>
                <w:rFonts w:ascii="Times New Roman" w:hAnsi="Times New Roman"/>
                <w:sz w:val="20"/>
              </w:rPr>
              <w:t>Pre-task artifact</w:t>
            </w:r>
          </w:p>
        </w:tc>
        <w:tc>
          <w:tcPr>
            <w:tcW w:type="dxa" w:w="2160"/>
          </w:tcPr>
          <w:p>
            <w:r>
              <w:rPr>
                <w:rFonts w:ascii="Times New Roman" w:hAnsi="Times New Roman"/>
                <w:sz w:val="20"/>
              </w:rPr>
              <w:t>Google Doc (unaided)</w:t>
            </w:r>
          </w:p>
        </w:tc>
        <w:tc>
          <w:tcPr>
            <w:tcW w:type="dxa" w:w="2160"/>
          </w:tcPr>
          <w:p>
            <w:r>
              <w:rPr>
                <w:rFonts w:ascii="Times New Roman" w:hAnsi="Times New Roman"/>
                <w:sz w:val="20"/>
              </w:rPr>
              <w:t>Baseline: methodological reasoning without AI scaffolding</w:t>
            </w:r>
          </w:p>
        </w:tc>
        <w:tc>
          <w:tcPr>
            <w:tcW w:type="dxa" w:w="2160"/>
          </w:tcPr>
          <w:p>
            <w:r>
              <w:rPr>
                <w:rFonts w:ascii="Times New Roman" w:hAnsi="Times New Roman"/>
                <w:sz w:val="20"/>
              </w:rPr>
              <w:t>QUAL</w:t>
            </w:r>
          </w:p>
        </w:tc>
      </w:tr>
      <w:tr>
        <w:tc>
          <w:tcPr>
            <w:tcW w:type="dxa" w:w="2160"/>
          </w:tcPr>
          <w:p>
            <w:r>
              <w:rPr>
                <w:rFonts w:ascii="Times New Roman" w:hAnsi="Times New Roman"/>
                <w:sz w:val="20"/>
              </w:rPr>
              <w:t>Checkpoint logs</w:t>
            </w:r>
          </w:p>
        </w:tc>
        <w:tc>
          <w:tcPr>
            <w:tcW w:type="dxa" w:w="2160"/>
          </w:tcPr>
          <w:p>
            <w:r>
              <w:rPr>
                <w:rFonts w:ascii="Times New Roman" w:hAnsi="Times New Roman"/>
                <w:sz w:val="20"/>
              </w:rPr>
              <w:t>decision-log.yaml</w:t>
            </w:r>
          </w:p>
        </w:tc>
        <w:tc>
          <w:tcPr>
            <w:tcW w:type="dxa" w:w="2160"/>
          </w:tcPr>
          <w:p>
            <w:r>
              <w:rPr>
                <w:rFonts w:ascii="Times New Roman" w:hAnsi="Times New Roman"/>
                <w:sz w:val="20"/>
              </w:rPr>
              <w:t>Selection patterns, T-Score choices, deliberation indicators</w:t>
            </w:r>
          </w:p>
        </w:tc>
        <w:tc>
          <w:tcPr>
            <w:tcW w:type="dxa" w:w="2160"/>
          </w:tcPr>
          <w:p>
            <w:r>
              <w:rPr>
                <w:rFonts w:ascii="Times New Roman" w:hAnsi="Times New Roman"/>
                <w:sz w:val="20"/>
              </w:rPr>
              <w:t>QUAN + QUAL</w:t>
            </w:r>
          </w:p>
        </w:tc>
      </w:tr>
      <w:tr>
        <w:tc>
          <w:tcPr>
            <w:tcW w:type="dxa" w:w="2160"/>
          </w:tcPr>
          <w:p>
            <w:r>
              <w:rPr>
                <w:rFonts w:ascii="Times New Roman" w:hAnsi="Times New Roman"/>
                <w:sz w:val="20"/>
              </w:rPr>
              <w:t>Think-aloud transcripts</w:t>
            </w:r>
          </w:p>
        </w:tc>
        <w:tc>
          <w:tcPr>
            <w:tcW w:type="dxa" w:w="2160"/>
          </w:tcPr>
          <w:p>
            <w:r>
              <w:rPr>
                <w:rFonts w:ascii="Times New Roman" w:hAnsi="Times New Roman"/>
                <w:sz w:val="20"/>
              </w:rPr>
              <w:t>Screen + audio recording</w:t>
            </w:r>
          </w:p>
        </w:tc>
        <w:tc>
          <w:tcPr>
            <w:tcW w:type="dxa" w:w="2160"/>
          </w:tcPr>
          <w:p>
            <w:r>
              <w:rPr>
                <w:rFonts w:ascii="Times New Roman" w:hAnsi="Times New Roman"/>
                <w:sz w:val="20"/>
              </w:rPr>
              <w:t>Cognitive processes at checkpoints; reasoning about alternatives</w:t>
            </w:r>
          </w:p>
        </w:tc>
        <w:tc>
          <w:tcPr>
            <w:tcW w:type="dxa" w:w="2160"/>
          </w:tcPr>
          <w:p>
            <w:r>
              <w:rPr>
                <w:rFonts w:ascii="Times New Roman" w:hAnsi="Times New Roman"/>
                <w:sz w:val="20"/>
              </w:rPr>
              <w:t>QUAL</w:t>
            </w:r>
          </w:p>
        </w:tc>
      </w:tr>
      <w:tr>
        <w:tc>
          <w:tcPr>
            <w:tcW w:type="dxa" w:w="2160"/>
          </w:tcPr>
          <w:p>
            <w:r>
              <w:rPr>
                <w:rFonts w:ascii="Times New Roman" w:hAnsi="Times New Roman"/>
                <w:sz w:val="20"/>
              </w:rPr>
              <w:t>Screen recordings</w:t>
            </w:r>
          </w:p>
        </w:tc>
        <w:tc>
          <w:tcPr>
            <w:tcW w:type="dxa" w:w="2160"/>
          </w:tcPr>
          <w:p>
            <w:r>
              <w:rPr>
                <w:rFonts w:ascii="Times New Roman" w:hAnsi="Times New Roman"/>
                <w:sz w:val="20"/>
              </w:rPr>
              <w:t>Zoom cloud recording</w:t>
            </w:r>
          </w:p>
        </w:tc>
        <w:tc>
          <w:tcPr>
            <w:tcW w:type="dxa" w:w="2160"/>
          </w:tcPr>
          <w:p>
            <w:r>
              <w:rPr>
                <w:rFonts w:ascii="Times New Roman" w:hAnsi="Times New Roman"/>
                <w:sz w:val="20"/>
              </w:rPr>
              <w:t>Behavioral patterns: T-Score inspection, navigation, time-on-task</w:t>
            </w:r>
          </w:p>
        </w:tc>
        <w:tc>
          <w:tcPr>
            <w:tcW w:type="dxa" w:w="2160"/>
          </w:tcPr>
          <w:p>
            <w:r>
              <w:rPr>
                <w:rFonts w:ascii="Times New Roman" w:hAnsi="Times New Roman"/>
                <w:sz w:val="20"/>
              </w:rPr>
              <w:t>QUAN + QUAL</w:t>
            </w:r>
          </w:p>
        </w:tc>
      </w:tr>
      <w:tr>
        <w:tc>
          <w:tcPr>
            <w:tcW w:type="dxa" w:w="2160"/>
          </w:tcPr>
          <w:p>
            <w:r>
              <w:rPr>
                <w:rFonts w:ascii="Times New Roman" w:hAnsi="Times New Roman"/>
                <w:sz w:val="20"/>
              </w:rPr>
              <w:t>Post-task artifact</w:t>
            </w:r>
          </w:p>
        </w:tc>
        <w:tc>
          <w:tcPr>
            <w:tcW w:type="dxa" w:w="2160"/>
          </w:tcPr>
          <w:p>
            <w:r>
              <w:rPr>
                <w:rFonts w:ascii="Times New Roman" w:hAnsi="Times New Roman"/>
                <w:sz w:val="20"/>
              </w:rPr>
              <w:t>Diverga-assisted output</w:t>
            </w:r>
          </w:p>
        </w:tc>
        <w:tc>
          <w:tcPr>
            <w:tcW w:type="dxa" w:w="2160"/>
          </w:tcPr>
          <w:p>
            <w:r>
              <w:rPr>
                <w:rFonts w:ascii="Times New Roman" w:hAnsi="Times New Roman"/>
                <w:sz w:val="20"/>
              </w:rPr>
              <w:t>Framework diversity, design quality, comparison with pre-task</w:t>
            </w:r>
          </w:p>
        </w:tc>
        <w:tc>
          <w:tcPr>
            <w:tcW w:type="dxa" w:w="2160"/>
          </w:tcPr>
          <w:p>
            <w:r>
              <w:rPr>
                <w:rFonts w:ascii="Times New Roman" w:hAnsi="Times New Roman"/>
                <w:sz w:val="20"/>
              </w:rPr>
              <w:t>QUAL</w:t>
            </w:r>
          </w:p>
        </w:tc>
      </w:tr>
      <w:tr>
        <w:tc>
          <w:tcPr>
            <w:tcW w:type="dxa" w:w="2160"/>
          </w:tcPr>
          <w:p>
            <w:r>
              <w:rPr>
                <w:rFonts w:ascii="Times New Roman" w:hAnsi="Times New Roman"/>
                <w:sz w:val="20"/>
              </w:rPr>
              <w:t>Re-design artifact</w:t>
            </w:r>
          </w:p>
        </w:tc>
        <w:tc>
          <w:tcPr>
            <w:tcW w:type="dxa" w:w="2160"/>
          </w:tcPr>
          <w:p>
            <w:r>
              <w:rPr>
                <w:rFonts w:ascii="Times New Roman" w:hAnsi="Times New Roman"/>
                <w:sz w:val="20"/>
              </w:rPr>
              <w:t>Diverga-assisted output</w:t>
            </w:r>
          </w:p>
        </w:tc>
        <w:tc>
          <w:tcPr>
            <w:tcW w:type="dxa" w:w="2160"/>
          </w:tcPr>
          <w:p>
            <w:r>
              <w:rPr>
                <w:rFonts w:ascii="Times New Roman" w:hAnsi="Times New Roman"/>
                <w:sz w:val="20"/>
              </w:rPr>
              <w:t>Change patterns when revisiting unaided scenario with Diverga</w:t>
            </w:r>
          </w:p>
        </w:tc>
        <w:tc>
          <w:tcPr>
            <w:tcW w:type="dxa" w:w="2160"/>
          </w:tcPr>
          <w:p>
            <w:r>
              <w:rPr>
                <w:rFonts w:ascii="Times New Roman" w:hAnsi="Times New Roman"/>
                <w:sz w:val="20"/>
              </w:rPr>
              <w:t>QUAL</w:t>
            </w:r>
          </w:p>
        </w:tc>
      </w:tr>
      <w:tr>
        <w:tc>
          <w:tcPr>
            <w:tcW w:type="dxa" w:w="2160"/>
          </w:tcPr>
          <w:p>
            <w:r>
              <w:rPr>
                <w:rFonts w:ascii="Times New Roman" w:hAnsi="Times New Roman"/>
                <w:sz w:val="20"/>
              </w:rPr>
              <w:t>Semi-structured interview</w:t>
            </w:r>
          </w:p>
        </w:tc>
        <w:tc>
          <w:tcPr>
            <w:tcW w:type="dxa" w:w="2160"/>
          </w:tcPr>
          <w:p>
            <w:r>
              <w:rPr>
                <w:rFonts w:ascii="Times New Roman" w:hAnsi="Times New Roman"/>
                <w:sz w:val="20"/>
              </w:rPr>
              <w:t>Post-session audio recording</w:t>
            </w:r>
          </w:p>
        </w:tc>
        <w:tc>
          <w:tcPr>
            <w:tcW w:type="dxa" w:w="2160"/>
          </w:tcPr>
          <w:p>
            <w:r>
              <w:rPr>
                <w:rFonts w:ascii="Times New Roman" w:hAnsi="Times New Roman"/>
                <w:sz w:val="20"/>
              </w:rPr>
              <w:t>Reflective interpretation, perceived vs. actual agency</w:t>
            </w:r>
          </w:p>
        </w:tc>
        <w:tc>
          <w:tcPr>
            <w:tcW w:type="dxa" w:w="2160"/>
          </w:tcPr>
          <w:p>
            <w:r>
              <w:rPr>
                <w:rFonts w:ascii="Times New Roman" w:hAnsi="Times New Roman"/>
                <w:sz w:val="20"/>
              </w:rPr>
              <w:t>QUAL</w:t>
            </w:r>
          </w:p>
        </w:tc>
      </w:tr>
      <w:tr>
        <w:tc>
          <w:tcPr>
            <w:tcW w:type="dxa" w:w="2160"/>
          </w:tcPr>
          <w:p>
            <w:r>
              <w:rPr>
                <w:rFonts w:ascii="Times New Roman" w:hAnsi="Times New Roman"/>
                <w:sz w:val="20"/>
              </w:rPr>
              <w:t>Researcher field notes</w:t>
            </w:r>
          </w:p>
        </w:tc>
        <w:tc>
          <w:tcPr>
            <w:tcW w:type="dxa" w:w="2160"/>
          </w:tcPr>
          <w:p>
            <w:r>
              <w:rPr>
                <w:rFonts w:ascii="Times New Roman" w:hAnsi="Times New Roman"/>
                <w:sz w:val="20"/>
              </w:rPr>
              <w:t>During + immediately post-session</w:t>
            </w:r>
          </w:p>
        </w:tc>
        <w:tc>
          <w:tcPr>
            <w:tcW w:type="dxa" w:w="2160"/>
          </w:tcPr>
          <w:p>
            <w:r>
              <w:rPr>
                <w:rFonts w:ascii="Times New Roman" w:hAnsi="Times New Roman"/>
                <w:sz w:val="20"/>
              </w:rPr>
              <w:t>Contextual observations, nonverbal cues, technical incidents</w:t>
            </w:r>
          </w:p>
        </w:tc>
        <w:tc>
          <w:tcPr>
            <w:tcW w:type="dxa" w:w="2160"/>
          </w:tcPr>
          <w:p>
            <w:r>
              <w:rPr>
                <w:rFonts w:ascii="Times New Roman" w:hAnsi="Times New Roman"/>
                <w:sz w:val="20"/>
              </w:rPr>
              <w:t>QUAL</w:t>
            </w:r>
          </w:p>
        </w:tc>
      </w:tr>
    </w:tbl>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6. Analysis Plan [OUTLINE, ~800 words target]</w:t>
      </w:r>
    </w:p>
    <w:p>
      <w:pPr>
        <w:spacing w:before="160" w:after="80"/>
      </w:pPr>
      <w:r>
        <w:rPr>
          <w:rFonts w:ascii="Times New Roman" w:hAnsi="Times New Roman"/>
          <w:b/>
          <w:i w:val="0"/>
          <w:sz w:val="24"/>
        </w:rPr>
        <w:t>6.1 CMAA Application (Quantitative Strand)</w:t>
      </w:r>
    </w:p>
    <w:p>
      <w:pPr>
        <w:spacing w:after="120"/>
        <w:ind w:firstLine="0"/>
      </w:pPr>
      <w:r>
        <w:rPr>
          <w:rFonts w:ascii="Times New Roman" w:hAnsi="Times New Roman"/>
          <w:b w:val="0"/>
          <w:i w:val="0"/>
          <w:sz w:val="22"/>
        </w:rPr>
        <w:t>Per participant, per session:</w:t>
      </w:r>
    </w:p>
    <w:p>
      <w:pPr>
        <w:pStyle w:val="ListBullet"/>
        <w:spacing w:after="60"/>
        <w:ind w:left="432"/>
      </w:pPr>
      <w:r>
        <w:rPr>
          <w:rFonts w:ascii="Times New Roman" w:hAnsi="Times New Roman"/>
          <w:b w:val="0"/>
          <w:i w:val="0"/>
          <w:sz w:val="22"/>
        </w:rPr>
        <w:t>PIR: Checkpoint interactions / total agent activations (decision-log.yaml, checkpoint_type field)</w:t>
      </w:r>
    </w:p>
    <w:p>
      <w:pPr>
        <w:pStyle w:val="ListBullet"/>
        <w:spacing w:after="60"/>
        <w:ind w:left="432"/>
      </w:pPr>
      <w:r>
        <w:rPr>
          <w:rFonts w:ascii="Times New Roman" w:hAnsi="Times New Roman"/>
          <w:b w:val="0"/>
          <w:i w:val="0"/>
          <w:sz w:val="22"/>
        </w:rPr>
        <w:t>DSE: Mean T-Score range per required checkpoint (T_max − T_min, averaged across session)</w:t>
      </w:r>
    </w:p>
    <w:p>
      <w:pPr>
        <w:pStyle w:val="ListBullet"/>
        <w:spacing w:after="60"/>
        <w:ind w:left="432"/>
      </w:pPr>
      <w:r>
        <w:rPr>
          <w:rFonts w:ascii="Times New Roman" w:hAnsi="Times New Roman"/>
          <w:b w:val="0"/>
          <w:i w:val="0"/>
          <w:sz w:val="22"/>
        </w:rPr>
        <w:t>GCA: required checkpoint status = "enforced" count / total required checkpoints encountered</w:t>
      </w:r>
    </w:p>
    <w:p>
      <w:pPr>
        <w:pStyle w:val="ListBullet"/>
        <w:spacing w:after="60"/>
        <w:ind w:left="432"/>
      </w:pPr>
      <w:r>
        <w:rPr>
          <w:rFonts w:ascii="Times New Roman" w:hAnsi="Times New Roman"/>
          <w:b w:val="0"/>
          <w:i w:val="0"/>
          <w:sz w:val="22"/>
        </w:rPr>
        <w:t>SUD: Session-to-session DAT entry reference count (cross-session analysis only for multi-session participants)</w:t>
      </w:r>
    </w:p>
    <w:p>
      <w:pPr>
        <w:pStyle w:val="ListBullet"/>
        <w:spacing w:after="60"/>
        <w:ind w:left="432"/>
      </w:pPr>
      <w:r>
        <w:rPr>
          <w:rFonts w:ascii="Times New Roman" w:hAnsi="Times New Roman"/>
          <w:b w:val="0"/>
          <w:i w:val="0"/>
          <w:sz w:val="22"/>
        </w:rPr>
        <w:t>CCI: Mean dependency chain length per session (agent activation log + prerequisite graph)</w:t>
      </w:r>
    </w:p>
    <w:p>
      <w:pPr>
        <w:pStyle w:val="ListBullet"/>
        <w:spacing w:after="60"/>
        <w:ind w:left="432"/>
      </w:pPr>
      <w:r>
        <w:rPr>
          <w:rFonts w:ascii="Times New Roman" w:hAnsi="Times New Roman"/>
          <w:b w:val="0"/>
          <w:i w:val="0"/>
          <w:sz w:val="22"/>
        </w:rPr>
        <w:t>Typicality Trajectory: T-Score of selected option plotted sequentially across required checkpoints per session</w:t>
      </w:r>
    </w:p>
    <w:p>
      <w:pPr>
        <w:spacing w:before="160" w:after="80"/>
      </w:pPr>
      <w:r>
        <w:rPr>
          <w:rFonts w:ascii="Times New Roman" w:hAnsi="Times New Roman"/>
          <w:b/>
          <w:i w:val="0"/>
          <w:sz w:val="24"/>
        </w:rPr>
        <w:t>6.2 Activity Theory Contradiction Analysis (Qualitative Strand)</w:t>
      </w:r>
    </w:p>
    <w:p>
      <w:pPr>
        <w:spacing w:after="120"/>
        <w:ind w:firstLine="0"/>
      </w:pPr>
      <w:r>
        <w:rPr>
          <w:rFonts w:ascii="Times New Roman" w:hAnsi="Times New Roman"/>
          <w:b/>
          <w:i w:val="0"/>
          <w:sz w:val="22"/>
        </w:rPr>
        <w:t>Coding unit:</w:t>
      </w:r>
      <w:r>
        <w:rPr>
          <w:rFonts w:ascii="Times New Roman" w:hAnsi="Times New Roman"/>
          <w:b w:val="0"/>
          <w:i w:val="0"/>
          <w:sz w:val="22"/>
        </w:rPr>
        <w:t xml:space="preserve"> Think-aloud utterances at or immediately surrounding checkpoints; interview reflections on specific checkpoint decisions</w:t>
      </w:r>
    </w:p>
    <w:p>
      <w:pPr>
        <w:spacing w:after="120"/>
        <w:ind w:firstLine="0"/>
      </w:pPr>
      <w:r>
        <w:rPr>
          <w:rFonts w:ascii="Times New Roman" w:hAnsi="Times New Roman"/>
          <w:b/>
          <w:i w:val="0"/>
          <w:sz w:val="22"/>
        </w:rPr>
        <w:t>[See Table 9: AT Contradiction Coding Scheme (Preliminary)]</w:t>
      </w:r>
    </w:p>
    <w:p>
      <w:pPr>
        <w:spacing w:before="160" w:after="80"/>
      </w:pPr>
      <w:r>
        <w:rPr>
          <w:rFonts w:ascii="Times New Roman" w:hAnsi="Times New Roman"/>
          <w:b/>
          <w:i w:val="0"/>
          <w:sz w:val="24"/>
        </w:rPr>
        <w:t>6.3 Mixed Methods Integration</w:t>
      </w:r>
    </w:p>
    <w:p>
      <w:pPr>
        <w:spacing w:after="120"/>
        <w:ind w:firstLine="0"/>
      </w:pPr>
      <w:r>
        <w:rPr>
          <w:rFonts w:ascii="Times New Roman" w:hAnsi="Times New Roman"/>
          <w:b/>
          <w:i w:val="0"/>
          <w:sz w:val="22"/>
        </w:rPr>
        <w:t>Joint display design:</w:t>
      </w:r>
      <w:r>
        <w:rPr>
          <w:rFonts w:ascii="Times New Roman" w:hAnsi="Times New Roman"/>
          <w:b w:val="0"/>
          <w:i w:val="0"/>
          <w:sz w:val="22"/>
        </w:rPr>
        <w:t xml:space="preserve"> Cross-participant matrix; rows = participants, columns = CMAA indicator values + AT contradiction type. Integration question: Where do high DSE scores (wide alternative space presented) co-occur with modal T-Score selection (T &gt; 0.8 chosen)? This intersection (the participant saw diverse alternatives and selected the predictable one anyway) is the primary evidence signature for automation bias in the epistemic domain, and requires think-aloud data to explain </w:t>
      </w:r>
      <w:r>
        <w:rPr>
          <w:rFonts w:ascii="Times New Roman" w:hAnsi="Times New Roman"/>
          <w:b w:val="0"/>
          <w:i/>
          <w:sz w:val="22"/>
        </w:rPr>
        <w:t>why</w:t>
      </w:r>
      <w:r>
        <w:rPr>
          <w:rFonts w:ascii="Times New Roman" w:hAnsi="Times New Roman"/>
          <w:b w:val="0"/>
          <w:i w:val="0"/>
          <w:sz w:val="22"/>
        </w:rPr>
        <w:t>.</w:t>
      </w:r>
    </w:p>
    <w:p>
      <w:pPr>
        <w:spacing w:before="120" w:after="120"/>
      </w:pPr>
      <w:r>
        <w:rPr>
          <w:rFonts w:ascii="Times New Roman" w:hAnsi="Times New Roman"/>
          <w:b w:val="0"/>
          <w:i w:val="0"/>
          <w:color w:val="B4B4B4"/>
          <w:sz w:val="16"/>
        </w:rPr>
        <w:t>──────────────────────────────────────────────────────────────────────</w:t>
      </w:r>
    </w:p>
    <w:p>
      <w:pPr>
        <w:spacing w:before="80" w:after="160"/>
      </w:pPr>
      <w:r>
        <w:rPr>
          <w:rFonts w:ascii="Times New Roman" w:hAnsi="Times New Roman"/>
          <w:b w:val="0"/>
          <w:i/>
          <w:sz w:val="20"/>
        </w:rPr>
        <w:t>Table 9. AT Contradiction Coding Scheme (Preliminary)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rFonts w:ascii="Times New Roman" w:hAnsi="Times New Roman"/>
                <w:b/>
                <w:sz w:val="20"/>
              </w:rPr>
              <w:t>Code</w:t>
            </w:r>
          </w:p>
        </w:tc>
        <w:tc>
          <w:tcPr>
            <w:tcW w:type="dxa" w:w="2880"/>
            <w:shd w:val="clear" w:color="auto" w:fill="E8E8E8"/>
          </w:tcPr>
          <w:p>
            <w:r>
              <w:rPr>
                <w:rFonts w:ascii="Times New Roman" w:hAnsi="Times New Roman"/>
                <w:b/>
                <w:sz w:val="20"/>
              </w:rPr>
              <w:t>Definition</w:t>
            </w:r>
          </w:p>
        </w:tc>
        <w:tc>
          <w:tcPr>
            <w:tcW w:type="dxa" w:w="2880"/>
            <w:shd w:val="clear" w:color="auto" w:fill="E8E8E8"/>
          </w:tcPr>
          <w:p>
            <w:r>
              <w:rPr>
                <w:rFonts w:ascii="Times New Roman" w:hAnsi="Times New Roman"/>
                <w:b/>
                <w:sz w:val="20"/>
              </w:rPr>
              <w:t>Example Indicator</w:t>
            </w:r>
          </w:p>
        </w:tc>
      </w:tr>
      <w:tr>
        <w:tc>
          <w:tcPr>
            <w:tcW w:type="dxa" w:w="2880"/>
          </w:tcPr>
          <w:p>
            <w:r>
              <w:rPr>
                <w:rFonts w:ascii="Times New Roman" w:hAnsi="Times New Roman"/>
                <w:sz w:val="20"/>
              </w:rPr>
              <w:t>Tool-Scaffold</w:t>
            </w:r>
          </w:p>
        </w:tc>
        <w:tc>
          <w:tcPr>
            <w:tcW w:type="dxa" w:w="2880"/>
          </w:tcPr>
          <w:p>
            <w:r>
              <w:rPr>
                <w:rFonts w:ascii="Times New Roman" w:hAnsi="Times New Roman"/>
                <w:sz w:val="20"/>
              </w:rPr>
              <w:t>Checkpoint functions as epistemic scaffold; participant engages deliberatively with alternatives</w:t>
            </w:r>
          </w:p>
        </w:tc>
        <w:tc>
          <w:tcPr>
            <w:tcW w:type="dxa" w:w="2880"/>
          </w:tcPr>
          <w:p>
            <w:r>
              <w:rPr>
                <w:rFonts w:ascii="Times New Roman" w:hAnsi="Times New Roman"/>
                <w:sz w:val="20"/>
              </w:rPr>
              <w:t>"Oh, I hadn't considered Yosso; that actually fits better because..."</w:t>
            </w:r>
          </w:p>
        </w:tc>
      </w:tr>
      <w:tr>
        <w:tc>
          <w:tcPr>
            <w:tcW w:type="dxa" w:w="2880"/>
          </w:tcPr>
          <w:p>
            <w:r>
              <w:rPr>
                <w:rFonts w:ascii="Times New Roman" w:hAnsi="Times New Roman"/>
                <w:sz w:val="20"/>
              </w:rPr>
              <w:t>Tool-Constrain</w:t>
            </w:r>
          </w:p>
        </w:tc>
        <w:tc>
          <w:tcPr>
            <w:tcW w:type="dxa" w:w="2880"/>
          </w:tcPr>
          <w:p>
            <w:r>
              <w:rPr>
                <w:rFonts w:ascii="Times New Roman" w:hAnsi="Times New Roman"/>
                <w:sz w:val="20"/>
              </w:rPr>
              <w:t>Checkpoint constrains exploration; participant selects from presented options without generating own alternatives</w:t>
            </w:r>
          </w:p>
        </w:tc>
        <w:tc>
          <w:tcPr>
            <w:tcW w:type="dxa" w:w="2880"/>
          </w:tcPr>
          <w:p>
            <w:r>
              <w:rPr>
                <w:rFonts w:ascii="Times New Roman" w:hAnsi="Times New Roman"/>
                <w:sz w:val="20"/>
              </w:rPr>
              <w:t>"I'll just go with that one" [selects without reviewing T-Score]</w:t>
            </w:r>
          </w:p>
        </w:tc>
      </w:tr>
      <w:tr>
        <w:tc>
          <w:tcPr>
            <w:tcW w:type="dxa" w:w="2880"/>
          </w:tcPr>
          <w:p>
            <w:r>
              <w:rPr>
                <w:rFonts w:ascii="Times New Roman" w:hAnsi="Times New Roman"/>
                <w:sz w:val="20"/>
              </w:rPr>
              <w:t>Norm-Conflict</w:t>
            </w:r>
          </w:p>
        </w:tc>
        <w:tc>
          <w:tcPr>
            <w:tcW w:type="dxa" w:w="2880"/>
          </w:tcPr>
          <w:p>
            <w:r>
              <w:rPr>
                <w:rFonts w:ascii="Times New Roman" w:hAnsi="Times New Roman"/>
                <w:sz w:val="20"/>
              </w:rPr>
              <w:t>Participant's disciplinary community norms conflict with VS recommendation</w:t>
            </w:r>
          </w:p>
        </w:tc>
        <w:tc>
          <w:tcPr>
            <w:tcW w:type="dxa" w:w="2880"/>
          </w:tcPr>
          <w:p>
            <w:r>
              <w:rPr>
                <w:rFonts w:ascii="Times New Roman" w:hAnsi="Times New Roman"/>
                <w:sz w:val="20"/>
              </w:rPr>
              <w:t>"My advisor would never accept that framework in my field"</w:t>
            </w:r>
          </w:p>
        </w:tc>
      </w:tr>
      <w:tr>
        <w:tc>
          <w:tcPr>
            <w:tcW w:type="dxa" w:w="2880"/>
          </w:tcPr>
          <w:p>
            <w:r>
              <w:rPr>
                <w:rFonts w:ascii="Times New Roman" w:hAnsi="Times New Roman"/>
                <w:sz w:val="20"/>
              </w:rPr>
              <w:t>Override-Explicit</w:t>
            </w:r>
          </w:p>
        </w:tc>
        <w:tc>
          <w:tcPr>
            <w:tcW w:type="dxa" w:w="2880"/>
          </w:tcPr>
          <w:p>
            <w:r>
              <w:rPr>
                <w:rFonts w:ascii="Times New Roman" w:hAnsi="Times New Roman"/>
                <w:sz w:val="20"/>
              </w:rPr>
              <w:t>Participant explicitly overrides or rejects system recommendation with articulated reasoning</w:t>
            </w:r>
          </w:p>
        </w:tc>
        <w:tc>
          <w:tcPr>
            <w:tcW w:type="dxa" w:w="2880"/>
          </w:tcPr>
          <w:p>
            <w:r>
              <w:rPr>
                <w:rFonts w:ascii="Times New Roman" w:hAnsi="Times New Roman"/>
                <w:sz w:val="20"/>
              </w:rPr>
              <w:t>"The system suggests TAM but that's not appropriate here because..."</w:t>
            </w:r>
          </w:p>
        </w:tc>
      </w:tr>
      <w:tr>
        <w:tc>
          <w:tcPr>
            <w:tcW w:type="dxa" w:w="2880"/>
          </w:tcPr>
          <w:p>
            <w:r>
              <w:rPr>
                <w:rFonts w:ascii="Times New Roman" w:hAnsi="Times New Roman"/>
                <w:sz w:val="20"/>
              </w:rPr>
              <w:t>Automation-Deference</w:t>
            </w:r>
          </w:p>
        </w:tc>
        <w:tc>
          <w:tcPr>
            <w:tcW w:type="dxa" w:w="2880"/>
          </w:tcPr>
          <w:p>
            <w:r>
              <w:rPr>
                <w:rFonts w:ascii="Times New Roman" w:hAnsi="Times New Roman"/>
                <w:sz w:val="20"/>
              </w:rPr>
              <w:t>Participant defers to system recommendation with minimal deliberation AND without inspecting alternative T-Scores (confirmed by log data showing negligible deliberation time); *note: a participant who reviews alternatives and reasonably selects the modal option is NOT coded here, the code requires both behavioral evidence of non-inspection and verbal deference*</w:t>
            </w:r>
          </w:p>
        </w:tc>
        <w:tc>
          <w:tcPr>
            <w:tcW w:type="dxa" w:w="2880"/>
          </w:tcPr>
          <w:p>
            <w:r>
              <w:rPr>
                <w:rFonts w:ascii="Times New Roman" w:hAnsi="Times New Roman"/>
                <w:sz w:val="20"/>
              </w:rPr>
              <w:t>"I'll just go with that one" [selects without scrolling to T-Score; log confirms &lt; 5s at checkpoint]</w:t>
            </w:r>
          </w:p>
        </w:tc>
      </w:tr>
    </w:tbl>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7. Design Principles [Preliminary: ETR&amp;D Required Section]</w:t>
      </w:r>
    </w:p>
    <w:p>
      <w:pPr>
        <w:spacing w:before="120" w:after="200"/>
        <w:shd w:val="clear" w:color="auto" w:fill="FFF3CD"/>
      </w:pPr>
      <w:r>
        <w:rPr>
          <w:rFonts w:ascii="Times New Roman" w:hAnsi="Times New Roman"/>
          <w:b w:val="0"/>
          <w:i/>
          <w:color w:val="785000"/>
          <w:sz w:val="20"/>
        </w:rPr>
        <w:t>Note: Preliminary principles derived from Diverga's design phase. To be refined from empirical findings after data collection.</w:t>
      </w:r>
    </w:p>
    <w:p>
      <w:pPr>
        <w:spacing w:after="120"/>
        <w:ind w:firstLine="0"/>
      </w:pPr>
      <w:r>
        <w:rPr>
          <w:rFonts w:ascii="Times New Roman" w:hAnsi="Times New Roman"/>
          <w:b/>
          <w:i w:val="0"/>
          <w:sz w:val="22"/>
        </w:rPr>
        <w:t>DP1, Mandatory checkpoint architecture:</w:t>
      </w:r>
      <w:r>
        <w:rPr>
          <w:rFonts w:ascii="Times New Roman" w:hAnsi="Times New Roman"/>
          <w:b w:val="0"/>
          <w:i w:val="0"/>
          <w:sz w:val="22"/>
        </w:rPr>
        <w:t xml:space="preserve"> Checkpoints must be architecturally enforced (not advisory) to function as meaningful epistemic redistribution points. Advisory checkpoints are routinely bypassed; only required checkpoints generate the deliberation that makes epistemic labour redistribution observable and educationally meaningful.</w:t>
      </w:r>
    </w:p>
    <w:p>
      <w:pPr>
        <w:spacing w:after="120"/>
        <w:ind w:firstLine="0"/>
      </w:pPr>
      <w:r>
        <w:rPr>
          <w:rFonts w:ascii="Times New Roman" w:hAnsi="Times New Roman"/>
          <w:b/>
          <w:i w:val="0"/>
          <w:sz w:val="22"/>
        </w:rPr>
        <w:t>DP2, Typicality visibility is necessary but insufficient:</w:t>
      </w:r>
      <w:r>
        <w:rPr>
          <w:rFonts w:ascii="Times New Roman" w:hAnsi="Times New Roman"/>
          <w:b w:val="0"/>
          <w:i w:val="0"/>
          <w:sz w:val="22"/>
        </w:rPr>
        <w:t xml:space="preserve"> Presenting T-Scores to users increases deliberation time at checkpoints but does not alone prevent modal selection. Typicality visibility requires accompanying deliberation scaffolding (e.g., prompt: "The most novel option has T=0.2, what would it mean for your research to choose this?") to activate genuine epistemic engagement.</w:t>
      </w:r>
    </w:p>
    <w:p>
      <w:pPr>
        <w:spacing w:after="120"/>
        <w:ind w:firstLine="0"/>
      </w:pPr>
      <w:r>
        <w:rPr>
          <w:rFonts w:ascii="Times New Roman" w:hAnsi="Times New Roman"/>
          <w:b/>
          <w:i w:val="0"/>
          <w:sz w:val="22"/>
        </w:rPr>
        <w:t>DP3, Upstream decision openness:</w:t>
      </w:r>
      <w:r>
        <w:rPr>
          <w:rFonts w:ascii="Times New Roman" w:hAnsi="Times New Roman"/>
          <w:b w:val="0"/>
          <w:i w:val="0"/>
          <w:sz w:val="22"/>
        </w:rPr>
        <w:t xml:space="preserve"> Agentic AI systems should be designed so that downstream agents do not constrain the option space available at upstream checkpoints. If the theory-selection agent (upstream) implicitly forecloses methodological options for the design-methods agent (downstream), the epistemic redistribution at the upstream checkpoint is undermined by architectural coupling.</w:t>
      </w:r>
    </w:p>
    <w:p>
      <w:pPr>
        <w:spacing w:after="120"/>
        <w:ind w:firstLine="0"/>
      </w:pPr>
      <w:r>
        <w:rPr>
          <w:rFonts w:ascii="Times New Roman" w:hAnsi="Times New Roman"/>
          <w:b/>
          <w:i w:val="0"/>
          <w:sz w:val="22"/>
        </w:rPr>
        <w:t>DP4, DP5, DP6 ([TBD from empirical findings]</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8. Discussion [OUTLINE) ~700 words target]</w:t>
      </w:r>
    </w:p>
    <w:p>
      <w:pPr>
        <w:spacing w:before="160" w:after="80"/>
      </w:pPr>
      <w:r>
        <w:rPr>
          <w:rFonts w:ascii="Times New Roman" w:hAnsi="Times New Roman"/>
          <w:b/>
          <w:i w:val="0"/>
          <w:sz w:val="24"/>
        </w:rPr>
        <w:t>8.1 Theoretical Contributions</w:t>
      </w:r>
    </w:p>
    <w:p>
      <w:pPr>
        <w:pStyle w:val="ListBullet"/>
        <w:spacing w:after="60"/>
        <w:ind w:left="432"/>
      </w:pPr>
      <w:r>
        <w:rPr>
          <w:rFonts w:ascii="Times New Roman" w:hAnsi="Times New Roman"/>
          <w:b w:val="0"/>
          <w:i w:val="0"/>
          <w:sz w:val="22"/>
        </w:rPr>
        <w:t>First empirical application of CMAA (You &amp; Yang, Paper 2)</w:t>
      </w:r>
    </w:p>
    <w:p>
      <w:pPr>
        <w:pStyle w:val="ListBullet"/>
        <w:spacing w:after="60"/>
        <w:ind w:left="432"/>
      </w:pPr>
      <w:r>
        <w:rPr>
          <w:rFonts w:ascii="Times New Roman" w:hAnsi="Times New Roman"/>
          <w:b w:val="0"/>
          <w:i w:val="0"/>
          <w:sz w:val="22"/>
        </w:rPr>
        <w:t>Evidence base for artificial agency effects on doctoral research methodology reasoning</w:t>
      </w:r>
    </w:p>
    <w:p>
      <w:pPr>
        <w:pStyle w:val="ListBullet"/>
        <w:spacing w:after="60"/>
        <w:ind w:left="432"/>
      </w:pPr>
      <w:r>
        <w:rPr>
          <w:rFonts w:ascii="Times New Roman" w:hAnsi="Times New Roman"/>
          <w:b w:val="0"/>
          <w:i w:val="0"/>
          <w:sz w:val="22"/>
        </w:rPr>
        <w:t>Activity Theory contradiction analysis as complement to CMAA quantitative indicators</w:t>
      </w:r>
    </w:p>
    <w:p>
      <w:pPr>
        <w:spacing w:before="160" w:after="80"/>
      </w:pPr>
      <w:r>
        <w:rPr>
          <w:rFonts w:ascii="Times New Roman" w:hAnsi="Times New Roman"/>
          <w:b/>
          <w:i w:val="0"/>
          <w:sz w:val="24"/>
        </w:rPr>
        <w:t>8.2 Reflexivity and Limitations</w:t>
      </w:r>
    </w:p>
    <w:p>
      <w:pPr>
        <w:spacing w:after="120"/>
        <w:ind w:firstLine="0"/>
      </w:pPr>
      <w:r>
        <w:rPr>
          <w:rFonts w:ascii="Times New Roman" w:hAnsi="Times New Roman"/>
          <w:b w:val="0"/>
          <w:i w:val="0"/>
          <w:sz w:val="22"/>
        </w:rPr>
        <w:t>The researcher occupies a dual role in this study as both system developer and primary investigator, a position that introduces layered reflexivity obligations beyond what a standard researcher positionality statement addresses. As developer, the researcher possesses architectural knowledge of Diverga that participants do not share: specifically, knowledge of what T-Score distributions each checkpoint is designed to present and which selection patterns the system is designed to encourage. This foreknowledge creates a risk that data interpretation will be shaped by confirmation of design intent rather than open-ended analysis of participant experience. Three structural safeguards are employed. First, Activity Theory contradiction coding (Table 9) is conducted by a second coder working from transcripts alone, without access to the checkpoint log data, before cross-analyst reconciliation, ensuring that qualitative interpretation is not anchored to quantitative patterns the developer can read in the logs. Second, the AT coding scheme includes codes explicitly designed to capture cases where Diverga constrains rather than supports epistemic agency (Tool-Constrain, Automation-Deference), providing an analytic pathway for negative findings that is structurally equivalent to codes capturing positive effects. Third, design principles DP4–DP6 are explicitly reserved for post-data-collection derivation and are not pre-specified, ensuring that the study can generate findings that contradict or qualify the design principles embedded in DP1–DP3. The researcher acknowledges that these safeguards reduce but do not eliminate the interpretive risks inherent in developer-investigator dual roles; readers should weigh findings accordingly and treat them as design-phase evidence informing subsequent independent replication rather than confirmatory findings.</w:t>
      </w:r>
    </w:p>
    <w:p>
      <w:pPr>
        <w:spacing w:after="120"/>
        <w:ind w:firstLine="0"/>
      </w:pPr>
      <w:r>
        <w:rPr>
          <w:rFonts w:ascii="Times New Roman" w:hAnsi="Times New Roman"/>
          <w:b w:val="0"/>
          <w:i w:val="0"/>
          <w:sz w:val="22"/>
        </w:rPr>
        <w:t>Additional limitations:</w:t>
      </w:r>
    </w:p>
    <w:p>
      <w:pPr>
        <w:pStyle w:val="ListBullet"/>
        <w:spacing w:after="60"/>
        <w:ind w:left="432"/>
      </w:pPr>
      <w:r>
        <w:rPr>
          <w:rFonts w:ascii="Times New Roman" w:hAnsi="Times New Roman"/>
          <w:b w:val="0"/>
          <w:i w:val="0"/>
          <w:sz w:val="22"/>
        </w:rPr>
        <w:t>N=5: Findings are illustrative, not generalizable; statistical comparison is not attempted; patterns reflect individual cases and are reported as such.</w:t>
      </w:r>
    </w:p>
    <w:p>
      <w:pPr>
        <w:pStyle w:val="ListBullet"/>
        <w:spacing w:after="60"/>
        <w:ind w:left="432"/>
      </w:pPr>
      <w:r>
        <w:rPr>
          <w:rFonts w:ascii="Times New Roman" w:hAnsi="Times New Roman"/>
          <w:b w:val="0"/>
          <w:i w:val="0"/>
          <w:sz w:val="22"/>
        </w:rPr>
        <w:t>Single system: All findings are bounded to Diverga's implementation of checkpoint-governed agency; transferability requires testing across systems with different checkpoint architectures.</w:t>
      </w:r>
    </w:p>
    <w:p>
      <w:pPr>
        <w:pStyle w:val="ListBullet"/>
        <w:spacing w:after="60"/>
        <w:ind w:left="432"/>
      </w:pPr>
      <w:r>
        <w:rPr>
          <w:rFonts w:ascii="Times New Roman" w:hAnsi="Times New Roman"/>
          <w:b w:val="0"/>
          <w:i w:val="0"/>
          <w:sz w:val="22"/>
        </w:rPr>
        <w:t>IRB-pending: All participant protections to be formalized before data collection; protocol recommendations include third-party recruitment routing and researcher absence during Phases 2–3 to reduce coercion risk.</w:t>
      </w:r>
    </w:p>
    <w:p>
      <w:pPr>
        <w:pStyle w:val="ListBullet"/>
        <w:spacing w:after="60"/>
        <w:ind w:left="432"/>
      </w:pPr>
      <w:r>
        <w:rPr>
          <w:rFonts w:ascii="Times New Roman" w:hAnsi="Times New Roman"/>
          <w:b w:val="0"/>
          <w:i w:val="0"/>
          <w:sz w:val="22"/>
        </w:rPr>
        <w:t>DP1–DP3 circularity: Design principles DP1–DP3 are derived from Diverga's design phase and are instantiated in the system before the empirical evaluation begins. The study cannot provide an independent test of whether these principles are effective, because the system participants interact with has already been built to embody them. ETR&amp;D readers should interpret DP1–DP3 as design-phase hypotheses; supported by design-based evidence (Paper 1) and theoretically grounded, but not independently validated by this study; and DP4–DP6 as empirically derived principles whose derivation this study enables. Subsequent work replicating the study with a system designed by independent developers would be required to test DP1–DP3 without the circularity inherent in developer-evaluation designs.</w:t>
      </w:r>
    </w:p>
    <w:p>
      <w:pPr>
        <w:pStyle w:val="ListBullet"/>
        <w:spacing w:after="60"/>
        <w:ind w:left="432"/>
      </w:pPr>
      <w:r>
        <w:rPr>
          <w:rFonts w:ascii="Times New Roman" w:hAnsi="Times New Roman"/>
          <w:b w:val="0"/>
          <w:i w:val="0"/>
          <w:sz w:val="22"/>
        </w:rPr>
        <w:t>T-Score calibration: DSE indicator values depend on T-Scores generated by Diverga's VS engine, which is not independently validated. A participant selecting a T=0.25 option may be selecting a genuinely non-modal framework or whatever the VS engine labeled as novel; these are not equivalent, and the study has no mechanism to distinguish them. This limits the interpretability of DSE as an objective typicality measure.</w:t>
      </w:r>
    </w:p>
    <w:p>
      <w:pPr>
        <w:pStyle w:val="ListBullet"/>
        <w:spacing w:after="60"/>
        <w:ind w:left="432"/>
      </w:pPr>
      <w:r>
        <w:rPr>
          <w:rFonts w:ascii="Times New Roman" w:hAnsi="Times New Roman"/>
          <w:b w:val="0"/>
          <w:i w:val="0"/>
          <w:sz w:val="22"/>
        </w:rPr>
        <w:t>Orientation phase priming: Phase 1 teaches the VS/T-Score typicality logic before data collection. Participants primed to understand that "non-modal options have lower T-Scores" may select lower T-Score alternatives not because the system genuinely expanded their epistemic space, but because the orientation established that doing so is evaluatively correct in this context. This procedural demand characteristic is embedded in the study design and limits causal attribution of low T-Score selections to the checkpoint architecture's independent effect.</w:t>
      </w:r>
    </w:p>
    <w:p>
      <w:pPr>
        <w:pStyle w:val="ListBullet"/>
        <w:spacing w:after="60"/>
        <w:ind w:left="432"/>
      </w:pPr>
      <w:r>
        <w:rPr>
          <w:rFonts w:ascii="Times New Roman" w:hAnsi="Times New Roman"/>
          <w:b w:val="0"/>
          <w:i w:val="0"/>
          <w:sz w:val="22"/>
        </w:rPr>
        <w:t>Data linkability: Checkpoint interaction logs (decision-log.yaml) are generated by Diverga, to which the researcher has administrative access. Session log files may in principle be linked to participant identity via timestamps or session IDs. Prior to IRB submission, a data de-identification protocol will be established: participant IDs assigned at consent, linkage map held separately, and raw log file access restricted to the research team.</w:t>
      </w:r>
    </w:p>
    <w:p>
      <w:pPr>
        <w:spacing w:before="160" w:after="80"/>
      </w:pPr>
      <w:r>
        <w:rPr>
          <w:rFonts w:ascii="Times New Roman" w:hAnsi="Times New Roman"/>
          <w:b/>
          <w:i w:val="0"/>
          <w:sz w:val="24"/>
        </w:rPr>
        <w:t>8.3 Implications for Practice</w:t>
      </w:r>
    </w:p>
    <w:p>
      <w:pPr>
        <w:pStyle w:val="ListBullet"/>
        <w:spacing w:after="60"/>
        <w:ind w:left="432"/>
      </w:pPr>
      <w:r>
        <w:rPr>
          <w:rFonts w:ascii="Times New Roman" w:hAnsi="Times New Roman"/>
          <w:b w:val="0"/>
          <w:i w:val="0"/>
          <w:sz w:val="22"/>
        </w:rPr>
        <w:t>Design guidance for researchers and developers building agentic AI for research education</w:t>
      </w:r>
    </w:p>
    <w:p>
      <w:pPr>
        <w:pStyle w:val="ListBullet"/>
        <w:spacing w:after="60"/>
        <w:ind w:left="432"/>
      </w:pPr>
      <w:r>
        <w:rPr>
          <w:rFonts w:ascii="Times New Roman" w:hAnsi="Times New Roman"/>
          <w:b w:val="0"/>
          <w:i w:val="0"/>
          <w:sz w:val="22"/>
        </w:rPr>
        <w:t>Implications for doctoral program design: when and how to introduce AI-assisted methodology tools</w:t>
      </w:r>
    </w:p>
    <w:p>
      <w:pPr>
        <w:pStyle w:val="ListBullet"/>
        <w:spacing w:after="60"/>
        <w:ind w:left="432"/>
      </w:pPr>
      <w:r>
        <w:rPr>
          <w:rFonts w:ascii="Times New Roman" w:hAnsi="Times New Roman"/>
          <w:b w:val="0"/>
          <w:i w:val="0"/>
          <w:sz w:val="22"/>
        </w:rPr>
        <w:t>Checkpoint-governed AI as complement (not replacement) for advisor mentorship in methodology learning</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9. Conclusion [OUTLINE, ~300 words target]</w:t>
      </w:r>
    </w:p>
    <w:p>
      <w:pPr>
        <w:pStyle w:val="ListBullet"/>
        <w:spacing w:after="60"/>
        <w:ind w:left="432"/>
      </w:pPr>
      <w:r>
        <w:rPr>
          <w:rFonts w:ascii="Times New Roman" w:hAnsi="Times New Roman"/>
          <w:b w:val="0"/>
          <w:i w:val="0"/>
          <w:sz w:val="22"/>
        </w:rPr>
        <w:t>Study contribution: first empirical application of CMAA in a naturalistic doctoral research design context</w:t>
      </w:r>
    </w:p>
    <w:p>
      <w:pPr>
        <w:pStyle w:val="ListBullet"/>
        <w:spacing w:after="60"/>
        <w:ind w:left="432"/>
      </w:pPr>
      <w:r>
        <w:rPr>
          <w:rFonts w:ascii="Times New Roman" w:hAnsi="Times New Roman"/>
          <w:b w:val="0"/>
          <w:i w:val="0"/>
          <w:sz w:val="22"/>
        </w:rPr>
        <w:t>Design-based research contribution: 6 design principles for checkpoint-governed agentic AI in education</w:t>
      </w:r>
    </w:p>
    <w:p>
      <w:pPr>
        <w:pStyle w:val="ListBullet"/>
        <w:spacing w:after="60"/>
        <w:ind w:left="432"/>
      </w:pPr>
      <w:r>
        <w:rPr>
          <w:rFonts w:ascii="Times New Roman" w:hAnsi="Times New Roman"/>
          <w:b w:val="0"/>
          <w:i w:val="0"/>
          <w:sz w:val="22"/>
        </w:rPr>
        <w:t>Limitation and future directions: N=20+ replication study planned; cross-institutional validation</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References [Working list]</w:t>
      </w:r>
    </w:p>
    <w:p>
      <w:pPr>
        <w:spacing w:after="120"/>
        <w:ind w:firstLine="0"/>
      </w:pPr>
      <w:r>
        <w:rPr>
          <w:rFonts w:ascii="Times New Roman" w:hAnsi="Times New Roman"/>
          <w:b w:val="0"/>
          <w:i w:val="0"/>
          <w:sz w:val="22"/>
        </w:rPr>
        <w:t xml:space="preserve">Bandura, A. (1986). </w:t>
      </w:r>
      <w:r>
        <w:rPr>
          <w:rFonts w:ascii="Times New Roman" w:hAnsi="Times New Roman"/>
          <w:b w:val="0"/>
          <w:i/>
          <w:sz w:val="22"/>
        </w:rPr>
        <w:t>Social foundations of thought and action: A social cognitive theory</w:t>
      </w:r>
      <w:r>
        <w:rPr>
          <w:rFonts w:ascii="Times New Roman" w:hAnsi="Times New Roman"/>
          <w:b w:val="0"/>
          <w:i w:val="0"/>
          <w:sz w:val="22"/>
        </w:rPr>
        <w:t>. Prentice-Hall.</w:t>
      </w:r>
    </w:p>
    <w:p>
      <w:pPr>
        <w:spacing w:after="120"/>
        <w:ind w:firstLine="0"/>
      </w:pPr>
      <w:r>
        <w:rPr>
          <w:rFonts w:ascii="Times New Roman" w:hAnsi="Times New Roman"/>
          <w:b w:val="0"/>
          <w:i w:val="0"/>
          <w:sz w:val="22"/>
        </w:rPr>
        <w:t xml:space="preserve">Bronfenbrenner, U. (1979). </w:t>
      </w:r>
      <w:r>
        <w:rPr>
          <w:rFonts w:ascii="Times New Roman" w:hAnsi="Times New Roman"/>
          <w:b w:val="0"/>
          <w:i/>
          <w:sz w:val="22"/>
        </w:rPr>
        <w:t>The ecology of human development</w:t>
      </w:r>
      <w:r>
        <w:rPr>
          <w:rFonts w:ascii="Times New Roman" w:hAnsi="Times New Roman"/>
          <w:b w:val="0"/>
          <w:i w:val="0"/>
          <w:sz w:val="22"/>
        </w:rPr>
        <w:t>. Harvard University Press.</w:t>
      </w:r>
    </w:p>
    <w:p>
      <w:pPr>
        <w:spacing w:after="120"/>
        <w:ind w:firstLine="0"/>
      </w:pPr>
      <w:r>
        <w:rPr>
          <w:rFonts w:ascii="Times New Roman" w:hAnsi="Times New Roman"/>
          <w:b w:val="0"/>
          <w:i w:val="0"/>
          <w:sz w:val="22"/>
        </w:rPr>
        <w:t xml:space="preserve">Davis, F. D. (1989). Perceived usefulness, perceived ease of use, and user acceptance of information technology. </w:t>
      </w:r>
      <w:r>
        <w:rPr>
          <w:rFonts w:ascii="Times New Roman" w:hAnsi="Times New Roman"/>
          <w:b w:val="0"/>
          <w:i/>
          <w:sz w:val="22"/>
        </w:rPr>
        <w:t>MIS Quarterly, 13</w:t>
      </w:r>
      <w:r>
        <w:rPr>
          <w:rFonts w:ascii="Times New Roman" w:hAnsi="Times New Roman"/>
          <w:b w:val="0"/>
          <w:i w:val="0"/>
          <w:sz w:val="22"/>
        </w:rPr>
        <w:t>(3), 319–340.</w:t>
      </w:r>
    </w:p>
    <w:p>
      <w:pPr>
        <w:spacing w:after="120"/>
        <w:ind w:firstLine="0"/>
      </w:pPr>
      <w:r>
        <w:rPr>
          <w:rFonts w:ascii="Times New Roman" w:hAnsi="Times New Roman"/>
          <w:b w:val="0"/>
          <w:i w:val="0"/>
          <w:sz w:val="22"/>
        </w:rPr>
        <w:t xml:space="preserve">Engeström, Y. (1987). </w:t>
      </w:r>
      <w:r>
        <w:rPr>
          <w:rFonts w:ascii="Times New Roman" w:hAnsi="Times New Roman"/>
          <w:b w:val="0"/>
          <w:i/>
          <w:sz w:val="22"/>
        </w:rPr>
        <w:t>Learning by expanding</w:t>
      </w:r>
      <w:r>
        <w:rPr>
          <w:rFonts w:ascii="Times New Roman" w:hAnsi="Times New Roman"/>
          <w:b w:val="0"/>
          <w:i w:val="0"/>
          <w:sz w:val="22"/>
        </w:rPr>
        <w:t>. Orienta-Konsultit.</w:t>
      </w:r>
    </w:p>
    <w:p>
      <w:pPr>
        <w:spacing w:after="120"/>
        <w:ind w:firstLine="0"/>
      </w:pPr>
      <w:r>
        <w:rPr>
          <w:rFonts w:ascii="Times New Roman" w:hAnsi="Times New Roman"/>
          <w:b w:val="0"/>
          <w:i w:val="0"/>
          <w:sz w:val="22"/>
        </w:rPr>
        <w:t xml:space="preserve">Ericsson, K. A., &amp; Simon, H. A. (1993). </w:t>
      </w:r>
      <w:r>
        <w:rPr>
          <w:rFonts w:ascii="Times New Roman" w:hAnsi="Times New Roman"/>
          <w:b w:val="0"/>
          <w:i/>
          <w:sz w:val="22"/>
        </w:rPr>
        <w:t>Protocol analysis: Verbal reports as data</w:t>
      </w:r>
      <w:r>
        <w:rPr>
          <w:rFonts w:ascii="Times New Roman" w:hAnsi="Times New Roman"/>
          <w:b w:val="0"/>
          <w:i w:val="0"/>
          <w:sz w:val="22"/>
        </w:rPr>
        <w:t xml:space="preserve"> (rev. ed.). MIT Press.</w:t>
      </w:r>
    </w:p>
    <w:p>
      <w:pPr>
        <w:spacing w:after="120"/>
        <w:ind w:firstLine="0"/>
      </w:pPr>
      <w:r>
        <w:rPr>
          <w:rFonts w:ascii="Times New Roman" w:hAnsi="Times New Roman"/>
          <w:b w:val="0"/>
          <w:i w:val="0"/>
          <w:sz w:val="22"/>
        </w:rPr>
        <w:t xml:space="preserve">Floridi, L. (2025). AI as agency without intelligence: On artificial intelligence as a new form of artificial agency. </w:t>
      </w:r>
      <w:r>
        <w:rPr>
          <w:rFonts w:ascii="Times New Roman" w:hAnsi="Times New Roman"/>
          <w:b w:val="0"/>
          <w:i/>
          <w:sz w:val="22"/>
        </w:rPr>
        <w:t>Philosophy &amp; Technology, 38</w:t>
      </w:r>
      <w:r>
        <w:rPr>
          <w:rFonts w:ascii="Times New Roman" w:hAnsi="Times New Roman"/>
          <w:b w:val="0"/>
          <w:i w:val="0"/>
          <w:sz w:val="22"/>
        </w:rPr>
        <w:t>, 30.</w:t>
      </w:r>
    </w:p>
    <w:p>
      <w:pPr>
        <w:spacing w:after="120"/>
        <w:ind w:firstLine="0"/>
      </w:pPr>
      <w:r>
        <w:rPr>
          <w:rFonts w:ascii="Times New Roman" w:hAnsi="Times New Roman"/>
          <w:b w:val="0"/>
          <w:i w:val="0"/>
          <w:sz w:val="22"/>
        </w:rPr>
        <w:t xml:space="preserve">Herrington, J., Reeves, T. C., &amp; Oliver, R. (2010). </w:t>
      </w:r>
      <w:r>
        <w:rPr>
          <w:rFonts w:ascii="Times New Roman" w:hAnsi="Times New Roman"/>
          <w:b w:val="0"/>
          <w:i/>
          <w:sz w:val="22"/>
        </w:rPr>
        <w:t>A guide to authentic e-learning</w:t>
      </w:r>
      <w:r>
        <w:rPr>
          <w:rFonts w:ascii="Times New Roman" w:hAnsi="Times New Roman"/>
          <w:b w:val="0"/>
          <w:i w:val="0"/>
          <w:sz w:val="22"/>
        </w:rPr>
        <w:t>. Routledge.</w:t>
      </w:r>
    </w:p>
    <w:p>
      <w:pPr>
        <w:spacing w:after="120"/>
        <w:ind w:firstLine="0"/>
      </w:pPr>
      <w:r>
        <w:rPr>
          <w:rFonts w:ascii="Times New Roman" w:hAnsi="Times New Roman"/>
          <w:b w:val="0"/>
          <w:i w:val="0"/>
          <w:sz w:val="22"/>
        </w:rPr>
        <w:t xml:space="preserve">Hughes, L., Dwivedi, Y. K., Malik, T., Shawosh, M., Albashrawi, M. A., Jeon, I., ... &amp; Walton, P. (2025). AI agents and agentic systems: A multi-expert analysis. </w:t>
      </w:r>
      <w:r>
        <w:rPr>
          <w:rFonts w:ascii="Times New Roman" w:hAnsi="Times New Roman"/>
          <w:b w:val="0"/>
          <w:i/>
          <w:sz w:val="22"/>
        </w:rPr>
        <w:t>Journal of Computer Information Systems</w:t>
      </w:r>
      <w:r>
        <w:rPr>
          <w:rFonts w:ascii="Times New Roman" w:hAnsi="Times New Roman"/>
          <w:b w:val="0"/>
          <w:i w:val="0"/>
          <w:sz w:val="22"/>
        </w:rPr>
        <w:t>, 1–29.</w:t>
      </w:r>
    </w:p>
    <w:p>
      <w:pPr>
        <w:spacing w:after="120"/>
        <w:ind w:firstLine="0"/>
      </w:pPr>
      <w:r>
        <w:rPr>
          <w:rFonts w:ascii="Times New Roman" w:hAnsi="Times New Roman"/>
          <w:b w:val="0"/>
          <w:i w:val="0"/>
          <w:sz w:val="22"/>
        </w:rPr>
        <w:t xml:space="preserve">Järvelä, S., Nguyen, A., &amp; Hadwin, A. (2023). Human and artificial intelligence collaboration for socially shared regulation in learning. </w:t>
      </w:r>
      <w:r>
        <w:rPr>
          <w:rFonts w:ascii="Times New Roman" w:hAnsi="Times New Roman"/>
          <w:b w:val="0"/>
          <w:i/>
          <w:sz w:val="22"/>
        </w:rPr>
        <w:t>British Journal of Educational Technology, 54</w:t>
      </w:r>
      <w:r>
        <w:rPr>
          <w:rFonts w:ascii="Times New Roman" w:hAnsi="Times New Roman"/>
          <w:b w:val="0"/>
          <w:i w:val="0"/>
          <w:sz w:val="22"/>
        </w:rPr>
        <w:t>(5), 1057–1076.</w:t>
      </w:r>
    </w:p>
    <w:p>
      <w:pPr>
        <w:spacing w:after="120"/>
        <w:ind w:firstLine="0"/>
      </w:pPr>
      <w:r>
        <w:rPr>
          <w:rFonts w:ascii="Times New Roman" w:hAnsi="Times New Roman"/>
          <w:b w:val="0"/>
          <w:i w:val="0"/>
          <w:sz w:val="22"/>
        </w:rPr>
        <w:t xml:space="preserve">McKenney, S., &amp; Reeves, T. C. (2012). </w:t>
      </w:r>
      <w:r>
        <w:rPr>
          <w:rFonts w:ascii="Times New Roman" w:hAnsi="Times New Roman"/>
          <w:b w:val="0"/>
          <w:i/>
          <w:sz w:val="22"/>
        </w:rPr>
        <w:t>Conducting educational design research</w:t>
      </w:r>
      <w:r>
        <w:rPr>
          <w:rFonts w:ascii="Times New Roman" w:hAnsi="Times New Roman"/>
          <w:b w:val="0"/>
          <w:i w:val="0"/>
          <w:sz w:val="22"/>
        </w:rPr>
        <w:t>. Routledge.</w:t>
      </w:r>
    </w:p>
    <w:p>
      <w:pPr>
        <w:spacing w:after="120"/>
        <w:ind w:firstLine="0"/>
      </w:pPr>
      <w:r>
        <w:rPr>
          <w:rFonts w:ascii="Times New Roman" w:hAnsi="Times New Roman"/>
          <w:b w:val="0"/>
          <w:i w:val="0"/>
          <w:sz w:val="22"/>
        </w:rPr>
        <w:t xml:space="preserve">Ouyang, F., &amp; Jiao, P. (2021). Artificial intelligence in education: The three paradigms. </w:t>
      </w:r>
      <w:r>
        <w:rPr>
          <w:rFonts w:ascii="Times New Roman" w:hAnsi="Times New Roman"/>
          <w:b w:val="0"/>
          <w:i/>
          <w:sz w:val="22"/>
        </w:rPr>
        <w:t>Computers and Education: Artificial Intelligence, 2</w:t>
      </w:r>
      <w:r>
        <w:rPr>
          <w:rFonts w:ascii="Times New Roman" w:hAnsi="Times New Roman"/>
          <w:b w:val="0"/>
          <w:i w:val="0"/>
          <w:sz w:val="22"/>
        </w:rPr>
        <w:t>, 100020.</w:t>
      </w:r>
    </w:p>
    <w:p>
      <w:pPr>
        <w:spacing w:after="120"/>
        <w:ind w:firstLine="0"/>
      </w:pPr>
      <w:r>
        <w:rPr>
          <w:rFonts w:ascii="Times New Roman" w:hAnsi="Times New Roman"/>
          <w:b w:val="0"/>
          <w:i w:val="0"/>
          <w:sz w:val="22"/>
        </w:rPr>
        <w:t xml:space="preserve">Stake, R. E. (2006). </w:t>
      </w:r>
      <w:r>
        <w:rPr>
          <w:rFonts w:ascii="Times New Roman" w:hAnsi="Times New Roman"/>
          <w:b w:val="0"/>
          <w:i/>
          <w:sz w:val="22"/>
        </w:rPr>
        <w:t>Multiple case study analysis</w:t>
      </w:r>
      <w:r>
        <w:rPr>
          <w:rFonts w:ascii="Times New Roman" w:hAnsi="Times New Roman"/>
          <w:b w:val="0"/>
          <w:i w:val="0"/>
          <w:sz w:val="22"/>
        </w:rPr>
        <w:t>. Guilford.</w:t>
      </w:r>
    </w:p>
    <w:p>
      <w:pPr>
        <w:spacing w:after="120"/>
        <w:ind w:firstLine="0"/>
      </w:pPr>
      <w:r>
        <w:rPr>
          <w:rFonts w:ascii="Times New Roman" w:hAnsi="Times New Roman"/>
          <w:b w:val="0"/>
          <w:i w:val="0"/>
          <w:sz w:val="22"/>
        </w:rPr>
        <w:t xml:space="preserve">Vaccaro, M., Almaatouq, A., &amp; Malone, T. (2024). When combinations of humans and AI are useful: A systematic review and meta-analysis. </w:t>
      </w:r>
      <w:r>
        <w:rPr>
          <w:rFonts w:ascii="Times New Roman" w:hAnsi="Times New Roman"/>
          <w:b w:val="0"/>
          <w:i/>
          <w:sz w:val="22"/>
        </w:rPr>
        <w:t>Nature Human Behaviour, 8</w:t>
      </w:r>
      <w:r>
        <w:rPr>
          <w:rFonts w:ascii="Times New Roman" w:hAnsi="Times New Roman"/>
          <w:b w:val="0"/>
          <w:i w:val="0"/>
          <w:sz w:val="22"/>
        </w:rPr>
        <w:t>(12), 2293–2303.</w:t>
      </w:r>
    </w:p>
    <w:p>
      <w:pPr>
        <w:spacing w:after="120"/>
        <w:ind w:firstLine="0"/>
      </w:pPr>
      <w:r>
        <w:rPr>
          <w:rFonts w:ascii="Times New Roman" w:hAnsi="Times New Roman"/>
          <w:b w:val="0"/>
          <w:i w:val="0"/>
          <w:sz w:val="22"/>
        </w:rPr>
        <w:t xml:space="preserve">Wenger, E. (1998). </w:t>
      </w:r>
      <w:r>
        <w:rPr>
          <w:rFonts w:ascii="Times New Roman" w:hAnsi="Times New Roman"/>
          <w:b w:val="0"/>
          <w:i/>
          <w:sz w:val="22"/>
        </w:rPr>
        <w:t>Communities of practice: Learning, meaning, and identity</w:t>
      </w:r>
      <w:r>
        <w:rPr>
          <w:rFonts w:ascii="Times New Roman" w:hAnsi="Times New Roman"/>
          <w:b w:val="0"/>
          <w:i w:val="0"/>
          <w:sz w:val="22"/>
        </w:rPr>
        <w:t>. Cambridge University Press.</w:t>
      </w:r>
    </w:p>
    <w:p>
      <w:pPr>
        <w:spacing w:after="120"/>
        <w:ind w:firstLine="0"/>
      </w:pPr>
      <w:r>
        <w:rPr>
          <w:rFonts w:ascii="Times New Roman" w:hAnsi="Times New Roman"/>
          <w:b w:val="0"/>
          <w:i w:val="0"/>
          <w:sz w:val="22"/>
        </w:rPr>
        <w:t xml:space="preserve">Wang, L., Ma, C., Feng, X., Zhang, Z., Yang, H., Zhang, J., Chen, Z., Tang, J., Chen, X., &amp; Lin, Y. (2024). A survey on large language model based autonomous agents. </w:t>
      </w:r>
      <w:r>
        <w:rPr>
          <w:rFonts w:ascii="Times New Roman" w:hAnsi="Times New Roman"/>
          <w:b w:val="0"/>
          <w:i/>
          <w:sz w:val="22"/>
        </w:rPr>
        <w:t>Frontiers of Computer Science, 18</w:t>
      </w:r>
      <w:r>
        <w:rPr>
          <w:rFonts w:ascii="Times New Roman" w:hAnsi="Times New Roman"/>
          <w:b w:val="0"/>
          <w:i w:val="0"/>
          <w:sz w:val="22"/>
        </w:rPr>
        <w:t>(6), 186345.</w:t>
      </w:r>
    </w:p>
    <w:p>
      <w:pPr>
        <w:spacing w:after="120"/>
        <w:ind w:firstLine="0"/>
      </w:pPr>
      <w:r>
        <w:rPr>
          <w:rFonts w:ascii="Times New Roman" w:hAnsi="Times New Roman"/>
          <w:b w:val="0"/>
          <w:i w:val="0"/>
          <w:sz w:val="22"/>
        </w:rPr>
        <w:t xml:space="preserve">Yan, L., Sha, L., Zhao, L., Li, Y., Martinez-Maldonado, R., Chen, G., ... &amp; Gašević, D. (2024). Practical and ethical challenges of large language models in education. </w:t>
      </w:r>
      <w:r>
        <w:rPr>
          <w:rFonts w:ascii="Times New Roman" w:hAnsi="Times New Roman"/>
          <w:b w:val="0"/>
          <w:i/>
          <w:sz w:val="22"/>
        </w:rPr>
        <w:t>British Journal of Educational Technology, 55</w:t>
      </w:r>
      <w:r>
        <w:rPr>
          <w:rFonts w:ascii="Times New Roman" w:hAnsi="Times New Roman"/>
          <w:b w:val="0"/>
          <w:i w:val="0"/>
          <w:sz w:val="22"/>
        </w:rPr>
        <w:t>(1), 90–112.</w:t>
      </w:r>
    </w:p>
    <w:p>
      <w:pPr>
        <w:spacing w:after="120"/>
        <w:ind w:firstLine="0"/>
      </w:pPr>
      <w:r>
        <w:rPr>
          <w:rFonts w:ascii="Times New Roman" w:hAnsi="Times New Roman"/>
          <w:b w:val="0"/>
          <w:i w:val="0"/>
          <w:sz w:val="22"/>
        </w:rPr>
        <w:t xml:space="preserve">Yin, R. K. (2018). </w:t>
      </w:r>
      <w:r>
        <w:rPr>
          <w:rFonts w:ascii="Times New Roman" w:hAnsi="Times New Roman"/>
          <w:b w:val="0"/>
          <w:i/>
          <w:sz w:val="22"/>
        </w:rPr>
        <w:t>Case study research and design</w:t>
      </w:r>
      <w:r>
        <w:rPr>
          <w:rFonts w:ascii="Times New Roman" w:hAnsi="Times New Roman"/>
          <w:b w:val="0"/>
          <w:i w:val="0"/>
          <w:sz w:val="22"/>
        </w:rPr>
        <w:t xml:space="preserve"> (6th ed.). Sage.</w:t>
      </w:r>
    </w:p>
    <w:p>
      <w:pPr>
        <w:spacing w:after="120"/>
        <w:ind w:firstLine="0"/>
      </w:pPr>
      <w:r>
        <w:rPr>
          <w:rFonts w:ascii="Times New Roman" w:hAnsi="Times New Roman"/>
          <w:b w:val="0"/>
          <w:i w:val="0"/>
          <w:sz w:val="22"/>
        </w:rPr>
        <w:t xml:space="preserve">Yosso, T. J. (2005). Whose culture has capital? A critical race theory discussion of community cultural wealth. </w:t>
      </w:r>
      <w:r>
        <w:rPr>
          <w:rFonts w:ascii="Times New Roman" w:hAnsi="Times New Roman"/>
          <w:b w:val="0"/>
          <w:i/>
          <w:sz w:val="22"/>
        </w:rPr>
        <w:t>Race, Ethnicity and Education, 8</w:t>
      </w:r>
      <w:r>
        <w:rPr>
          <w:rFonts w:ascii="Times New Roman" w:hAnsi="Times New Roman"/>
          <w:b w:val="0"/>
          <w:i w:val="0"/>
          <w:sz w:val="22"/>
        </w:rPr>
        <w:t>(1), 69–91.</w:t>
      </w:r>
    </w:p>
    <w:p>
      <w:pPr>
        <w:spacing w:after="120"/>
        <w:ind w:firstLine="0"/>
      </w:pPr>
      <w:r>
        <w:rPr>
          <w:rFonts w:ascii="Times New Roman" w:hAnsi="Times New Roman"/>
          <w:b w:val="0"/>
          <w:i w:val="0"/>
          <w:sz w:val="22"/>
        </w:rPr>
        <w:t xml:space="preserve">You, H., &amp; Yang, M. (2027a). [Paper 1, design case title TBD]. </w:t>
      </w:r>
      <w:r>
        <w:rPr>
          <w:rFonts w:ascii="Times New Roman" w:hAnsi="Times New Roman"/>
          <w:b w:val="0"/>
          <w:i/>
          <w:sz w:val="22"/>
        </w:rPr>
        <w:t>International Journal of Designs for Learning</w:t>
      </w:r>
      <w:r>
        <w:rPr>
          <w:rFonts w:ascii="Times New Roman" w:hAnsi="Times New Roman"/>
          <w:b w:val="0"/>
          <w:i w:val="0"/>
          <w:sz w:val="22"/>
        </w:rPr>
        <w:t>. [under review]</w:t>
      </w:r>
    </w:p>
    <w:p>
      <w:pPr>
        <w:spacing w:after="120"/>
        <w:ind w:firstLine="0"/>
      </w:pPr>
      <w:r>
        <w:rPr>
          <w:rFonts w:ascii="Times New Roman" w:hAnsi="Times New Roman"/>
          <w:b w:val="0"/>
          <w:i w:val="0"/>
          <w:sz w:val="22"/>
        </w:rPr>
        <w:t xml:space="preserve">You, H., &amp; Yang, M. (2027b). Checkpoint-Mediated Agency Analysis: A methodology for studying artificial agency effects in multi-agent AI educational systems. </w:t>
      </w:r>
      <w:r>
        <w:rPr>
          <w:rFonts w:ascii="Times New Roman" w:hAnsi="Times New Roman"/>
          <w:b w:val="0"/>
          <w:i/>
          <w:sz w:val="22"/>
        </w:rPr>
        <w:t>British Journal of Educational Technology</w:t>
      </w:r>
      <w:r>
        <w:rPr>
          <w:rFonts w:ascii="Times New Roman" w:hAnsi="Times New Roman"/>
          <w:b w:val="0"/>
          <w:i w:val="0"/>
          <w:sz w:val="22"/>
        </w:rPr>
        <w:t>. [under preparation: Paper 2]</w:t>
      </w:r>
    </w:p>
    <w:p>
      <w:pPr>
        <w:spacing w:after="120"/>
        <w:ind w:firstLine="0"/>
      </w:pPr>
      <w:r>
        <w:rPr>
          <w:rFonts w:ascii="Times New Roman" w:hAnsi="Times New Roman"/>
          <w:b w:val="0"/>
          <w:i/>
          <w:sz w:val="22"/>
        </w:rPr>
        <w:t>[Complete APA 7th reference list in final manuscript.]</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Figures</w:t>
      </w:r>
    </w:p>
    <w:p>
      <w:pPr>
        <w:spacing w:before="80" w:after="160"/>
      </w:pPr>
      <w:r>
        <w:rPr>
          <w:rFonts w:ascii="Times New Roman" w:hAnsi="Times New Roman"/>
          <w:b w:val="0"/>
          <w:i/>
          <w:sz w:val="20"/>
        </w:rPr>
        <w:t>Figure 3, `figures/figure3_study_protocol.png`</w:t>
      </w:r>
    </w:p>
    <w:p>
      <w:pPr>
        <w:spacing w:before="80" w:after="160"/>
      </w:pPr>
      <w:r>
        <w:rPr>
          <w:rFonts w:ascii="Times New Roman" w:hAnsi="Times New Roman"/>
          <w:b w:val="0"/>
          <w:i/>
          <w:sz w:val="20"/>
        </w:rPr>
        <w:t>Caption: Figure 3. Study Session Protocol. Single-session within-subject design (N=5); approximate total duration 2.5–3 hours. Counterbalancing: 3 participants receive Scenario A first; 2 receive Scenario B first.</w:t>
      </w:r>
    </w:p>
    <w:p>
      <w:pPr>
        <w:spacing w:before="80" w:after="160"/>
      </w:pPr>
      <w:r>
        <w:rPr>
          <w:rFonts w:ascii="Times New Roman" w:hAnsi="Times New Roman"/>
          <w:b w:val="0"/>
          <w:i/>
          <w:sz w:val="20"/>
        </w:rPr>
        <w:t>Figure 4, `figures/figure4_data_integration.png`</w:t>
      </w:r>
    </w:p>
    <w:p>
      <w:pPr>
        <w:spacing w:before="80" w:after="160"/>
      </w:pPr>
      <w:r>
        <w:rPr>
          <w:rFonts w:ascii="Times New Roman" w:hAnsi="Times New Roman"/>
          <w:b w:val="0"/>
          <w:i/>
          <w:sz w:val="20"/>
        </w:rPr>
        <w:t>Caption: Figure 4. Mixed Methods Data Integration Design. Convergent design: QUAN (CMAA) and QUAL (AT contradiction analysis) strands analyzed independently and integrated at meta-inference stage via joint display.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