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24"/>
        </w:rPr>
        <w:t>Designing Authentic AI Scaffolding for Research Methodology Learning:</w:t>
        <w:br/>
        <w:t>An LXD-Informed Design Case of a Multi-Agent Checkpoint System</w:t>
      </w:r>
    </w:p>
    <w:p/>
    <w:p>
      <w:pPr>
        <w:jc w:val="center"/>
      </w:pPr>
      <w:r>
        <w:rPr>
          <w:rFonts w:ascii="Times New Roman" w:hAnsi="Times New Roman"/>
          <w:b w:val="0"/>
          <w:i w:val="0"/>
          <w:sz w:val="24"/>
        </w:rPr>
        <w:t>Hosung You</w:t>
      </w:r>
    </w:p>
    <w:p>
      <w:pPr>
        <w:jc w:val="center"/>
      </w:pPr>
      <w:r>
        <w:rPr>
          <w:rFonts w:ascii="Times New Roman" w:hAnsi="Times New Roman"/>
          <w:b w:val="0"/>
          <w:i w:val="0"/>
          <w:sz w:val="24"/>
        </w:rPr>
        <w:t>College of Education, Pennsylvania State University</w:t>
      </w:r>
    </w:p>
    <w:p/>
    <w:p>
      <w:pPr>
        <w:jc w:val="center"/>
      </w:pPr>
      <w:r>
        <w:rPr>
          <w:rFonts w:ascii="Times New Roman" w:hAnsi="Times New Roman"/>
          <w:b w:val="0"/>
          <w:i w:val="0"/>
          <w:sz w:val="24"/>
        </w:rPr>
        <w:t>Mohan Yang</w:t>
      </w:r>
    </w:p>
    <w:p>
      <w:pPr>
        <w:jc w:val="center"/>
      </w:pPr>
      <w:r>
        <w:rPr>
          <w:rFonts w:ascii="Times New Roman" w:hAnsi="Times New Roman"/>
          <w:b w:val="0"/>
          <w:i w:val="0"/>
          <w:sz w:val="24"/>
        </w:rPr>
        <w:t>Texas A&amp;M University</w:t>
      </w:r>
    </w:p>
    <w:p/>
    <w:p>
      <w:pPr>
        <w:jc w:val="center"/>
      </w:pPr>
      <w:r>
        <w:rPr>
          <w:rFonts w:ascii="Times New Roman" w:hAnsi="Times New Roman"/>
          <w:b/>
          <w:i w:val="0"/>
          <w:sz w:val="24"/>
        </w:rPr>
        <w:t>Author Note</w:t>
      </w:r>
    </w:p>
    <w:p>
      <w:pPr>
        <w:ind w:firstLine="720"/>
      </w:pPr>
      <w:r>
        <w:rPr>
          <w:rFonts w:ascii="Times New Roman" w:hAnsi="Times New Roman"/>
          <w:b w:val="0"/>
          <w:i w:val="0"/>
          <w:sz w:val="24"/>
        </w:rPr>
        <w:t>Correspondence concerning this article should be addressed to Hosung You, College of Education, Pennsylvania State University.</w:t>
      </w:r>
    </w:p>
    <w:p>
      <w:r>
        <w:br w:type="page"/>
      </w:r>
    </w:p>
    <w:p>
      <w:pPr>
        <w:spacing w:before="240"/>
        <w:jc w:val="center"/>
      </w:pPr>
      <w:r>
        <w:rPr>
          <w:rFonts w:ascii="Times New Roman" w:hAnsi="Times New Roman"/>
          <w:b/>
          <w:i w:val="0"/>
          <w:sz w:val="24"/>
        </w:rPr>
        <w:t>Abstract</w:t>
      </w:r>
    </w:p>
    <w:p>
      <w:r>
        <w:rPr>
          <w:rFonts w:ascii="Times New Roman" w:hAnsi="Times New Roman"/>
          <w:b w:val="0"/>
          <w:i w:val="0"/>
          <w:sz w:val="24"/>
        </w:rPr>
        <w:t>AI-powered research tools are rapidly adopted by graduate students, yet mode collapse and automation bias threaten to homogenize researchers’ methodological reasoning. This study proposes a two-phase design examining whether multi-agent AI tools can scaffold—rather than replace—such reasoning. Integrating authentic learning theory (Herrington et al., 2010), Verbalized Sampling methodology, and Model Context Protocol architecture, we investigate Diverga, a 44-agent AI research assistant with structured human checkpoints. Drawing on lessons from authentic learning design failures (Yang &amp; Harbor, 2023), Phase 1 employs an LXD-informed design case with systematic learner and contextual analysis. Phase 2 uses a counterbalanced mixed-methods evaluation with doctoral students (N = 12–16) at two institutions. We anticipate that system-enforced authentic learning elements (forced reflection, multiple perspectives) will manifest strongly, while elements requiring voluntary engagement (collaboration, articulation) will be weaker—revealing conditions under which AI scaffolding succeeds or fails.</w:t>
      </w:r>
    </w:p>
    <w:p>
      <w:pPr>
        <w:ind w:firstLine="720"/>
      </w:pPr>
      <w:r>
        <w:rPr>
          <w:rFonts w:ascii="Times New Roman" w:hAnsi="Times New Roman"/>
          <w:b w:val="0"/>
          <w:i/>
          <w:sz w:val="24"/>
        </w:rPr>
        <w:t xml:space="preserve">Keywords: </w:t>
      </w:r>
      <w:r>
        <w:rPr>
          <w:rFonts w:ascii="Times New Roman" w:hAnsi="Times New Roman"/>
          <w:b w:val="0"/>
          <w:i w:val="0"/>
          <w:sz w:val="24"/>
        </w:rPr>
        <w:t>authentic learning, AI scaffolding, human checkpoint, mode collapse, verbalized sampling, learner analysis, research methodology education</w:t>
      </w:r>
    </w:p>
    <w:p>
      <w:r>
        <w:br w:type="page"/>
      </w:r>
    </w:p>
    <w:p>
      <w:pPr>
        <w:spacing w:before="240"/>
        <w:jc w:val="center"/>
      </w:pPr>
      <w:r>
        <w:rPr>
          <w:rFonts w:ascii="Times New Roman" w:hAnsi="Times New Roman"/>
          <w:b/>
          <w:i w:val="0"/>
          <w:sz w:val="24"/>
        </w:rPr>
        <w:t>Designing Authentic AI Scaffolding for Research Methodology Learning: An LXD-Informed Design Case of a Multi-Agent Checkpoint System</w:t>
      </w:r>
    </w:p>
    <w:p>
      <w:pPr>
        <w:ind w:firstLine="720"/>
      </w:pPr>
      <w:r>
        <w:rPr>
          <w:rFonts w:ascii="Times New Roman" w:hAnsi="Times New Roman"/>
          <w:b w:val="0"/>
          <w:i w:val="0"/>
          <w:sz w:val="24"/>
        </w:rPr>
        <w:t>It is spring 2026. Jiwon, a third-year doctoral student in educational psychology, prompts ChatGPT for a theoretical framework to study AI tutoring and K-12 motivation. The Technology Acceptance Model appears. She tries different phrasings; TAM returns each time. She switches to Claude: Self-Determination Theory—closer, but still the most frequently cited option. Across three AI tools, Jiwon encounters variations of the same two or three recommendations. She begins to wonder: Am I choosing a framework because it fits my research, or because the AI keeps suggesting it?</w:t>
      </w:r>
    </w:p>
    <w:p>
      <w:pPr>
        <w:ind w:firstLine="720"/>
      </w:pPr>
      <w:r>
        <w:rPr>
          <w:rFonts w:ascii="Times New Roman" w:hAnsi="Times New Roman"/>
          <w:b w:val="0"/>
          <w:i w:val="0"/>
          <w:sz w:val="24"/>
        </w:rPr>
        <w:t>Down the hall, a fellow student runs a similar query through Diverga, a multi-agent AI research assistant. Instead of a single answer, Diverga presents five theoretical alternatives with typicality scores indicating how “modal” each recommendation is. At a required checkpoint, the system pauses: “Before proceeding, consider how this framework aligns with your epistemological position.” The student stops, reflects, and makes a deliberate choice.</w:t>
      </w:r>
    </w:p>
    <w:p>
      <w:pPr>
        <w:ind w:firstLine="720"/>
      </w:pPr>
      <w:r>
        <w:rPr>
          <w:rFonts w:ascii="Times New Roman" w:hAnsi="Times New Roman"/>
          <w:b w:val="0"/>
          <w:i w:val="0"/>
          <w:sz w:val="24"/>
        </w:rPr>
        <w:t>These scenarios represent the central tension this study investigates. As AI research tools become ubiquitous in graduate education, can they be designed to scaffold researchers’ methodological reasoning rather than replace it?</w:t>
      </w:r>
    </w:p>
    <w:p>
      <w:pPr>
        <w:spacing w:before="240"/>
      </w:pPr>
      <w:r>
        <w:rPr>
          <w:rFonts w:ascii="Times New Roman" w:hAnsi="Times New Roman"/>
          <w:b/>
          <w:i w:val="0"/>
          <w:sz w:val="24"/>
        </w:rPr>
        <w:t>The Problem: Mode Collapse and Automation Bias</w:t>
      </w:r>
    </w:p>
    <w:p>
      <w:pPr>
        <w:ind w:firstLine="720"/>
      </w:pPr>
      <w:r>
        <w:rPr>
          <w:rFonts w:ascii="Times New Roman" w:hAnsi="Times New Roman"/>
          <w:b w:val="0"/>
          <w:i w:val="0"/>
          <w:sz w:val="24"/>
        </w:rPr>
        <w:t>Two structural problems characterize current AI research tools. Mode collapse occurs when AI converges on predictable, modal recommendations reflecting typicality bias in training data (Zhang et al., 2025). Automation bias—the tendency to accept AI suggestions without critical evaluation—compounds this problem. AI tool usage has been found to correlate negatively with critical thinking, mediated by cognitive offloading (Lee et al., 2025). Together, these problems risk homogenizing the methodological landscape of social science research at precisely the moment when AI tools are being most rapidly adopted.</w:t>
      </w:r>
    </w:p>
    <w:p>
      <w:pPr>
        <w:spacing w:before="240"/>
      </w:pPr>
      <w:r>
        <w:rPr>
          <w:rFonts w:ascii="Times New Roman" w:hAnsi="Times New Roman"/>
          <w:b/>
          <w:i w:val="0"/>
          <w:sz w:val="24"/>
        </w:rPr>
        <w:t>Lessons from Authentic Learning Design Failures</w:t>
      </w:r>
    </w:p>
    <w:p>
      <w:pPr>
        <w:ind w:firstLine="720"/>
      </w:pPr>
      <w:r>
        <w:rPr>
          <w:rFonts w:ascii="Times New Roman" w:hAnsi="Times New Roman"/>
          <w:b w:val="0"/>
          <w:i w:val="0"/>
          <w:sz w:val="24"/>
        </w:rPr>
        <w:t>A critical insight motivating this study comes from Yang and Harbor’s (2023) design case of failures in an authentic learning program. Their analysis documented seven categories of failure—from engagement difficulties to varied transfer—and traced them to a common root: the absence of systematic upfront learner and contextual analysis. When the program expanded to diverse participants without understanding their backgrounds, motivations, and contexts, the authentic learning principles no longer aligned with actual needs.</w:t>
      </w:r>
    </w:p>
    <w:p>
      <w:pPr>
        <w:ind w:firstLine="720"/>
      </w:pPr>
      <w:r>
        <w:rPr>
          <w:rFonts w:ascii="Times New Roman" w:hAnsi="Times New Roman"/>
          <w:b w:val="0"/>
          <w:i w:val="0"/>
          <w:sz w:val="24"/>
        </w:rPr>
        <w:t>This finding carries direct implications for AI tool design. If authentic learning fails without understanding the learner and context, designing an AI scaffolding system without analyzing who uses it and under what conditions will likely produce similar failures. The present study therefore integrates learner and contextual analysis as a foundational phase.</w:t>
      </w:r>
    </w:p>
    <w:p>
      <w:pPr>
        <w:spacing w:before="240"/>
      </w:pPr>
      <w:r>
        <w:rPr>
          <w:rFonts w:ascii="Times New Roman" w:hAnsi="Times New Roman"/>
          <w:b/>
          <w:i w:val="0"/>
          <w:sz w:val="24"/>
        </w:rPr>
        <w:t>The Present Study</w:t>
      </w:r>
    </w:p>
    <w:p>
      <w:pPr>
        <w:ind w:firstLine="720"/>
      </w:pPr>
      <w:r>
        <w:rPr>
          <w:rFonts w:ascii="Times New Roman" w:hAnsi="Times New Roman"/>
          <w:b w:val="0"/>
          <w:i w:val="0"/>
          <w:sz w:val="24"/>
        </w:rPr>
        <w:t>This study brings together authentic learning theory and instructional design expertise (Yang) with Verbalized Sampling methodology and multi-agent AI architecture (You). Both investigators share a technical foundation in the Model Context Protocol—Yang from a pedagogical perspective (dynamic learner state; Yang et al., 2025), You from a tool design perspective (Diverga’s 44-agent architecture). This convergence enables examining AI research tool design through a theoretically grounded, learner-centered lens while addressing the developer-researcher dual role limitation acknowledged in the existing Diverga evaluation proposal.</w:t>
      </w:r>
    </w:p>
    <w:p>
      <w:pPr>
        <w:spacing w:before="240"/>
        <w:jc w:val="center"/>
      </w:pPr>
      <w:r>
        <w:rPr>
          <w:rFonts w:ascii="Times New Roman" w:hAnsi="Times New Roman"/>
          <w:b/>
          <w:i w:val="0"/>
          <w:sz w:val="24"/>
        </w:rPr>
        <w:t>Theoretical Framework</w:t>
      </w:r>
    </w:p>
    <w:p>
      <w:pPr>
        <w:ind w:firstLine="720"/>
      </w:pPr>
      <w:r>
        <w:rPr>
          <w:rFonts w:ascii="Times New Roman" w:hAnsi="Times New Roman"/>
          <w:b w:val="0"/>
          <w:i w:val="0"/>
          <w:sz w:val="24"/>
        </w:rPr>
        <w:t>The framework integrates three components connected by a directional inference chain (see Figure 1). Authentic learning theory specifies what design elements promote deep engagement and transfer. Verbalized Sampling provides the mechanism predicted by authentic learning’s “multiple perspectives” element to counter mode collapse. The Model Context Protocol provides the technical architecture that enables multi-agent orchestration of both mechanisms. This chain—from pedagogical design principles, through diversity-generation mechanism, to technical implementation—forms a design rationale rather than a unified theory, each layer informing the next.</w:t>
      </w:r>
    </w:p>
    <w:p>
      <w:pPr>
        <w:jc w:val="center"/>
      </w:pPr>
      <w:r>
        <w:drawing>
          <wp:inline xmlns:a="http://schemas.openxmlformats.org/drawingml/2006/main" xmlns:pic="http://schemas.openxmlformats.org/drawingml/2006/picture">
            <wp:extent cx="5303520" cy="64213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303520" cy="6421358"/>
                    </a:xfrm>
                    <a:prstGeom prst="rect"/>
                  </pic:spPr>
                </pic:pic>
              </a:graphicData>
            </a:graphic>
          </wp:inline>
        </w:drawing>
      </w:r>
    </w:p>
    <w:p>
      <w:pPr>
        <w:spacing w:before="120"/>
      </w:pPr>
      <w:r>
        <w:rPr>
          <w:rFonts w:ascii="Times New Roman" w:hAnsi="Times New Roman"/>
          <w:b/>
          <w:i/>
          <w:sz w:val="24"/>
        </w:rPr>
        <w:t>Figure 1</w:t>
      </w:r>
    </w:p>
    <w:p>
      <w:pPr>
        <w:spacing w:after="120"/>
      </w:pPr>
      <w:r>
        <w:rPr>
          <w:rFonts w:ascii="Times New Roman" w:hAnsi="Times New Roman"/>
          <w:b w:val="0"/>
          <w:i/>
          <w:sz w:val="24"/>
        </w:rPr>
        <w:t>Conceptual framework for authentic AI scaffolding. Authentic learning theory predicts the effect of multiple perspectives and forced reflection; Verbalized Sampling provides the mechanism; MCP architecture enables multi-agent implementation. The scaffolding effect is conditional on learner and contextual analysis (Yang &amp; Harbor, 2023).</w:t>
      </w:r>
    </w:p>
    <w:p>
      <w:pPr>
        <w:spacing w:before="240"/>
      </w:pPr>
      <w:r>
        <w:rPr>
          <w:rFonts w:ascii="Times New Roman" w:hAnsi="Times New Roman"/>
          <w:b/>
          <w:i w:val="0"/>
          <w:sz w:val="24"/>
        </w:rPr>
        <w:t>Authentic Learning as Design and Analysis Framework</w:t>
      </w:r>
    </w:p>
    <w:p>
      <w:pPr>
        <w:ind w:firstLine="720"/>
      </w:pPr>
      <w:r>
        <w:rPr>
          <w:rFonts w:ascii="Times New Roman" w:hAnsi="Times New Roman"/>
          <w:b w:val="0"/>
          <w:i w:val="0"/>
          <w:sz w:val="24"/>
        </w:rPr>
        <w:t>Herrington et al.’s (2010) nine elements of authentic learning—authentic context, authentic activity, multiple perspectives, collaboration, reflection, articulation, coaching, authentic assessment, and expert performance—serve dual roles: as criteria for designing the Diverga experience and as dimensions for evaluating scaffolding effectiveness. Table 1 maps each element to specific Diverga features.</w:t>
      </w:r>
    </w:p>
    <w:p>
      <w:pPr>
        <w:spacing w:before="240"/>
      </w:pPr>
      <w:r>
        <w:rPr>
          <w:rFonts w:ascii="Times New Roman" w:hAnsi="Times New Roman"/>
          <w:b/>
          <w:i w:val="0"/>
          <w:sz w:val="24"/>
        </w:rPr>
        <w:t>Table 1</w:t>
      </w:r>
    </w:p>
    <w:p>
      <w:pPr>
        <w:spacing w:after="80"/>
      </w:pPr>
      <w:r>
        <w:rPr>
          <w:rFonts w:ascii="Times New Roman" w:hAnsi="Times New Roman"/>
          <w:b w:val="0"/>
          <w:i/>
          <w:sz w:val="24"/>
        </w:rPr>
        <w:t>Authentic Learning Elements Mapped to Diverga Design Features</w:t>
      </w:r>
    </w:p>
    <w:tbl>
      <w:tblPr>
        <w:tblW w:type="auto" w:w="0"/>
        <w:jc w:val="center"/>
        <w:tblLook w:firstColumn="1" w:firstRow="1" w:lastColumn="0" w:lastRow="0" w:noHBand="0" w:noVBand="1" w:val="04A0"/>
      </w:tblPr>
      <w:tblGrid>
        <w:gridCol w:w="3120"/>
        <w:gridCol w:w="3120"/>
        <w:gridCol w:w="3120"/>
      </w:tblGrid>
      <w:tr>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Element</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Diverga Feature</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Rationale</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Authentic context</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Real research design scenarios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Ecological validity</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Authentic activity</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Full RQ → theory → method pipeline</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Mirrors researcher workflow</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Multiple perspectives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VS multi-alternative + T-Scores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Counters mode collapse</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Collaboration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Structured AI–researcher dialogue</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AI as epistemic partner</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Reflection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REQUIRED human checkpoints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Cognitive forcing function</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Articulation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Decision audit trail</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Externalizes reasoning</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Coaching &amp; scaffolding</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Agent guidance + T-Score explanation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Calibrated support</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Authentic assessment</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Research design artifact as product</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Performance-based</w:t>
            </w:r>
          </w:p>
        </w:tc>
      </w:tr>
      <w:tr>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Expert performance</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44 domain-specialized agents</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Models expert reasoning</w:t>
            </w:r>
          </w:p>
        </w:tc>
      </w:tr>
    </w:tbl>
    <w:p>
      <w:pPr>
        <w:spacing w:before="80"/>
      </w:pPr>
      <w:r>
        <w:rPr>
          <w:rFonts w:ascii="Times New Roman" w:hAnsi="Times New Roman"/>
          <w:i/>
          <w:sz w:val="20"/>
        </w:rPr>
        <w:t xml:space="preserve">Note. </w:t>
      </w:r>
      <w:r>
        <w:rPr>
          <w:rFonts w:ascii="Times New Roman" w:hAnsi="Times New Roman"/>
          <w:sz w:val="20"/>
        </w:rPr>
        <w:t>VS = Verbalized Sampling; T-Score = typicality score.</w:t>
      </w:r>
    </w:p>
    <w:p/>
    <w:p>
      <w:pPr>
        <w:spacing w:before="240"/>
      </w:pPr>
      <w:r>
        <w:rPr>
          <w:rFonts w:ascii="Times New Roman" w:hAnsi="Times New Roman"/>
          <w:b/>
          <w:i w:val="0"/>
          <w:sz w:val="24"/>
        </w:rPr>
        <w:t>Verbalized Sampling, MCP Architecture, and Core Conjecture</w:t>
      </w:r>
    </w:p>
    <w:p>
      <w:pPr>
        <w:ind w:firstLine="720"/>
      </w:pPr>
      <w:r>
        <w:rPr>
          <w:rFonts w:ascii="Times New Roman" w:hAnsi="Times New Roman"/>
          <w:b w:val="0"/>
          <w:i w:val="0"/>
          <w:sz w:val="24"/>
        </w:rPr>
        <w:t>Verbalized Sampling (Zhang et al., 2025) mitigates mode collapse by generating multiple alternatives with typicality scores, directly operationalizing the “multiple perspectives” element. The Model Context Protocol (Yang et al., 2025) orchestrates 44 specialized agents, enabling domain-specific scaffolding. The core conjecture is: When these mechanisms are implemented through structured human checkpoints, they scaffold researchers’ reasoning through forced reflection, perspective expansion, and reasoning externalization—conditional on systematic learner and contextual analysis.</w:t>
      </w:r>
    </w:p>
    <w:p>
      <w:pPr>
        <w:spacing w:before="240"/>
        <w:jc w:val="center"/>
      </w:pPr>
      <w:r>
        <w:rPr>
          <w:rFonts w:ascii="Times New Roman" w:hAnsi="Times New Roman"/>
          <w:b/>
          <w:i w:val="0"/>
          <w:sz w:val="24"/>
        </w:rPr>
        <w:t>Research Questions</w:t>
      </w:r>
    </w:p>
    <w:p>
      <w:pPr>
        <w:ind w:firstLine="720"/>
      </w:pPr>
      <w:r>
        <w:rPr>
          <w:rFonts w:ascii="Times New Roman" w:hAnsi="Times New Roman"/>
          <w:b/>
          <w:i w:val="0"/>
          <w:sz w:val="24"/>
        </w:rPr>
        <w:t xml:space="preserve">RQ1: </w:t>
      </w:r>
      <w:r>
        <w:rPr>
          <w:rFonts w:ascii="Times New Roman" w:hAnsi="Times New Roman"/>
          <w:b w:val="0"/>
          <w:i w:val="0"/>
          <w:sz w:val="24"/>
        </w:rPr>
        <w:t>How do the authentic learning elements embedded in Diverga’s checkpoint system manifest in researchers’ actual usage?</w:t>
      </w:r>
    </w:p>
    <w:p>
      <w:pPr>
        <w:ind w:firstLine="720"/>
      </w:pPr>
      <w:r>
        <w:rPr>
          <w:rFonts w:ascii="Times New Roman" w:hAnsi="Times New Roman"/>
          <w:b/>
          <w:i w:val="0"/>
          <w:sz w:val="24"/>
        </w:rPr>
        <w:t xml:space="preserve">RQ2: </w:t>
      </w:r>
      <w:r>
        <w:rPr>
          <w:rFonts w:ascii="Times New Roman" w:hAnsi="Times New Roman"/>
          <w:b w:val="0"/>
          <w:i w:val="0"/>
          <w:sz w:val="24"/>
        </w:rPr>
        <w:t>To what extent does VS-based multi-alternative presentation affect the diversity and quality of researchers’ methodological choices?</w:t>
      </w:r>
    </w:p>
    <w:p>
      <w:pPr>
        <w:ind w:firstLine="720"/>
      </w:pPr>
      <w:r>
        <w:rPr>
          <w:rFonts w:ascii="Times New Roman" w:hAnsi="Times New Roman"/>
          <w:b/>
          <w:i w:val="0"/>
          <w:sz w:val="24"/>
        </w:rPr>
        <w:t xml:space="preserve">RQ3: </w:t>
      </w:r>
      <w:r>
        <w:rPr>
          <w:rFonts w:ascii="Times New Roman" w:hAnsi="Times New Roman"/>
          <w:b w:val="0"/>
          <w:i w:val="0"/>
          <w:sz w:val="24"/>
        </w:rPr>
        <w:t>What design tensions emerge between scaffolding goals and actual user interactions, and how do learner and contextual factors mediate these tensions?</w:t>
      </w:r>
    </w:p>
    <w:p>
      <w:pPr>
        <w:spacing w:before="240"/>
        <w:jc w:val="center"/>
      </w:pPr>
      <w:r>
        <w:rPr>
          <w:rFonts w:ascii="Times New Roman" w:hAnsi="Times New Roman"/>
          <w:b/>
          <w:i w:val="0"/>
          <w:sz w:val="24"/>
        </w:rPr>
        <w:t>Method</w:t>
      </w:r>
    </w:p>
    <w:p>
      <w:pPr>
        <w:spacing w:before="240"/>
      </w:pPr>
      <w:r>
        <w:rPr>
          <w:rFonts w:ascii="Times New Roman" w:hAnsi="Times New Roman"/>
          <w:b/>
          <w:i w:val="0"/>
          <w:sz w:val="24"/>
        </w:rPr>
        <w:t>Research Design Overview</w:t>
      </w:r>
    </w:p>
    <w:p>
      <w:pPr>
        <w:ind w:firstLine="720"/>
      </w:pPr>
      <w:r>
        <w:rPr>
          <w:rFonts w:ascii="Times New Roman" w:hAnsi="Times New Roman"/>
          <w:b w:val="0"/>
          <w:i w:val="0"/>
          <w:sz w:val="24"/>
        </w:rPr>
        <w:t>This study employs a two-phase design (see Figure 2). Phase 1 documents Diverga’s checkpoint system through an LXD-informed design case with systematic learner and contextual analysis—applying Yang and Harbor’s (2023) recommendation that authentic learning designs must be grounded in learner understanding. Phase 2 conducts a counterbalanced mixed-methods evaluation with doctoral students at two institutions.</w:t>
      </w:r>
    </w:p>
    <w:p>
      <w:pPr>
        <w:jc w:val="center"/>
      </w:pPr>
      <w:r>
        <w:drawing>
          <wp:inline xmlns:a="http://schemas.openxmlformats.org/drawingml/2006/main" xmlns:pic="http://schemas.openxmlformats.org/drawingml/2006/picture">
            <wp:extent cx="5303520" cy="381306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303520" cy="3813069"/>
                    </a:xfrm>
                    <a:prstGeom prst="rect"/>
                  </pic:spPr>
                </pic:pic>
              </a:graphicData>
            </a:graphic>
          </wp:inline>
        </w:drawing>
      </w:r>
    </w:p>
    <w:p>
      <w:pPr>
        <w:spacing w:before="120"/>
      </w:pPr>
      <w:r>
        <w:rPr>
          <w:rFonts w:ascii="Times New Roman" w:hAnsi="Times New Roman"/>
          <w:b/>
          <w:i/>
          <w:sz w:val="24"/>
        </w:rPr>
        <w:t>Figure 2</w:t>
      </w:r>
    </w:p>
    <w:p>
      <w:pPr>
        <w:spacing w:after="120"/>
      </w:pPr>
      <w:r>
        <w:rPr>
          <w:rFonts w:ascii="Times New Roman" w:hAnsi="Times New Roman"/>
          <w:b w:val="0"/>
          <w:i/>
          <w:sz w:val="24"/>
        </w:rPr>
        <w:t>Two-phase research design. Phase 1 informs Phase 2 through design principles and learner personas. Phase 2 uses counterbalanced task order to control for sequence effects.</w:t>
      </w:r>
    </w:p>
    <w:p>
      <w:pPr>
        <w:spacing w:before="240"/>
      </w:pPr>
      <w:r>
        <w:rPr>
          <w:rFonts w:ascii="Times New Roman" w:hAnsi="Times New Roman"/>
          <w:b/>
          <w:i w:val="0"/>
          <w:sz w:val="24"/>
        </w:rPr>
        <w:t>Phase 1: Design Case With Learner and Contextual Analysis</w:t>
      </w:r>
    </w:p>
    <w:p>
      <w:pPr>
        <w:ind w:firstLine="720"/>
      </w:pPr>
      <w:r>
        <w:rPr>
          <w:rFonts w:ascii="Times New Roman" w:hAnsi="Times New Roman"/>
          <w:b w:val="0"/>
          <w:i w:val="0"/>
          <w:sz w:val="24"/>
        </w:rPr>
        <w:t>Phase 1 documents design decisions using LXD methods (Boling, 2010; Smith, 2010) and maps each authentic learning element to Diverga features, with expert review by two to three independent instructional design researchers (non-authors). Simultaneously, adapting Tessmer and Richey’s (1997) three-context model, we conduct learner and contextual analyses across orienting (pre-interaction), instructional (during), and transfer (post-interaction) contexts (see Table 2).</w:t>
      </w:r>
    </w:p>
    <w:p>
      <w:pPr>
        <w:spacing w:before="240"/>
      </w:pPr>
      <w:r>
        <w:rPr>
          <w:rFonts w:ascii="Times New Roman" w:hAnsi="Times New Roman"/>
          <w:b/>
          <w:i w:val="0"/>
          <w:sz w:val="24"/>
        </w:rPr>
        <w:t>Table 2</w:t>
      </w:r>
    </w:p>
    <w:p>
      <w:pPr>
        <w:spacing w:after="80"/>
      </w:pPr>
      <w:r>
        <w:rPr>
          <w:rFonts w:ascii="Times New Roman" w:hAnsi="Times New Roman"/>
          <w:b w:val="0"/>
          <w:i/>
          <w:sz w:val="24"/>
        </w:rPr>
        <w:t>Learner and Contextual Analysis Framework</w:t>
      </w:r>
    </w:p>
    <w:tbl>
      <w:tblPr>
        <w:tblW w:type="auto" w:w="0"/>
        <w:jc w:val="center"/>
        <w:tblLook w:firstColumn="1" w:firstRow="1" w:lastColumn="0" w:lastRow="0" w:noHBand="0" w:noVBand="1" w:val="04A0"/>
      </w:tblPr>
      <w:tblGrid>
        <w:gridCol w:w="3120"/>
        <w:gridCol w:w="3120"/>
        <w:gridCol w:w="3120"/>
      </w:tblGrid>
      <w:tr>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Context</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Focus</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Sources</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Orienting</w:t>
              <w:br/>
              <w:t>(pre-interaction)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Methods training; AI experience; epistemological orientation; disciplinary norms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Pre-survey; background questionnaire</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Instructional</w:t>
              <w:br/>
              <w:t>(during interaction)</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Checkpoint engagement quality; T-Score interpretation; navigation behavior</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Checkpoint logs; screen recording; think-aloud</w:t>
            </w:r>
          </w:p>
        </w:tc>
      </w:tr>
      <w:tr>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Transfer</w:t>
              <w:br/>
              <w:t>(post-interaction)</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Application to independent design; persistence of reasoning gains</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Re-design artifacts; follow-up interview</w:t>
            </w:r>
          </w:p>
        </w:tc>
      </w:tr>
    </w:tbl>
    <w:p>
      <w:pPr>
        <w:spacing w:before="80"/>
      </w:pPr>
      <w:r>
        <w:rPr>
          <w:rFonts w:ascii="Times New Roman" w:hAnsi="Times New Roman"/>
          <w:i/>
          <w:sz w:val="20"/>
        </w:rPr>
        <w:t xml:space="preserve">Note. </w:t>
      </w:r>
      <w:r>
        <w:rPr>
          <w:rFonts w:ascii="Times New Roman" w:hAnsi="Times New Roman"/>
          <w:sz w:val="20"/>
        </w:rPr>
        <w:t>Adapted from Tessmer and Richey (1997); applied per Yang and Harbor (2023).</w:t>
      </w:r>
    </w:p>
    <w:p/>
    <w:p>
      <w:pPr>
        <w:spacing w:before="240"/>
      </w:pPr>
      <w:r>
        <w:rPr>
          <w:rFonts w:ascii="Times New Roman" w:hAnsi="Times New Roman"/>
          <w:b/>
          <w:i w:val="0"/>
          <w:sz w:val="24"/>
        </w:rPr>
        <w:t>Phase 2: Counterbalanced Mixed-Methods Evaluation</w:t>
      </w:r>
    </w:p>
    <w:p>
      <w:pPr>
        <w:spacing w:before="240"/>
      </w:pPr>
      <w:r>
        <w:rPr>
          <w:rFonts w:ascii="Times New Roman" w:hAnsi="Times New Roman"/>
          <w:b/>
          <w:i/>
          <w:sz w:val="24"/>
        </w:rPr>
        <w:t>Participants and Platform Considerations</w:t>
      </w:r>
    </w:p>
    <w:p>
      <w:pPr>
        <w:ind w:firstLine="720"/>
      </w:pPr>
      <w:r>
        <w:rPr>
          <w:rFonts w:ascii="Times New Roman" w:hAnsi="Times New Roman"/>
          <w:b w:val="0"/>
          <w:i w:val="0"/>
          <w:sz w:val="24"/>
        </w:rPr>
        <w:t>Participants will be 12 to 16 social science doctoral students from Penn State and Texas A&amp;M, recruited through departmental channels (not researcher-led workshops, to minimize recruitment pressure). Diverga requires the Claude Code CLI environment; accordingly, API access will be provided at no cost, and a 20-minute orientation will be conducted in a separate session prior to data collection to reduce priming effects. The sample is characterized as a purposive sample of doctoral students with basic CLI comfort. Transferability claims are bounded to this population.</w:t>
      </w:r>
    </w:p>
    <w:p>
      <w:pPr>
        <w:spacing w:before="240"/>
      </w:pPr>
      <w:r>
        <w:rPr>
          <w:rFonts w:ascii="Times New Roman" w:hAnsi="Times New Roman"/>
          <w:b/>
          <w:i/>
          <w:sz w:val="24"/>
        </w:rPr>
        <w:t>Counterbalanced Task Design</w:t>
      </w:r>
    </w:p>
    <w:p>
      <w:pPr>
        <w:ind w:firstLine="720"/>
      </w:pPr>
      <w:r>
        <w:rPr>
          <w:rFonts w:ascii="Times New Roman" w:hAnsi="Times New Roman"/>
          <w:b w:val="0"/>
          <w:i w:val="0"/>
          <w:sz w:val="24"/>
        </w:rPr>
        <w:t>To control for task sequence and practice effects, a counterbalanced design is employed. Two research design scenarios of equivalent complexity are used: Scenario A (AI tools in K-12 education) and Scenario B (AI collaboration tools and team creativity). Half the participants complete Scenario A without Diverga and Scenario B with Diverga; the other half complete the reverse. Both conditions receive equal time. Think-aloud protocol is used during the Diverga condition, and a semi-structured interview concludes each session.</w:t>
      </w:r>
    </w:p>
    <w:p>
      <w:pPr>
        <w:spacing w:before="240"/>
      </w:pPr>
      <w:r>
        <w:rPr>
          <w:rFonts w:ascii="Times New Roman" w:hAnsi="Times New Roman"/>
          <w:b/>
          <w:i/>
          <w:sz w:val="24"/>
        </w:rPr>
        <w:t>Data Sources</w:t>
      </w:r>
    </w:p>
    <w:p>
      <w:pPr>
        <w:spacing w:before="240"/>
      </w:pPr>
      <w:r>
        <w:rPr>
          <w:rFonts w:ascii="Times New Roman" w:hAnsi="Times New Roman"/>
          <w:b/>
          <w:i w:val="0"/>
          <w:sz w:val="24"/>
        </w:rPr>
        <w:t>Table 3</w:t>
      </w:r>
    </w:p>
    <w:p>
      <w:pPr>
        <w:spacing w:after="80"/>
      </w:pPr>
      <w:r>
        <w:rPr>
          <w:rFonts w:ascii="Times New Roman" w:hAnsi="Times New Roman"/>
          <w:b w:val="0"/>
          <w:i/>
          <w:sz w:val="24"/>
        </w:rPr>
        <w:t>Data Sources, Research Question Alignment, and Analytic Approach</w:t>
      </w:r>
    </w:p>
    <w:tbl>
      <w:tblPr>
        <w:tblW w:type="auto" w:w="0"/>
        <w:jc w:val="center"/>
        <w:tblLook w:firstColumn="1" w:firstRow="1" w:lastColumn="0" w:lastRow="0" w:noHBand="0" w:noVBand="1" w:val="04A0"/>
      </w:tblPr>
      <w:tblGrid>
        <w:gridCol w:w="3120"/>
        <w:gridCol w:w="3120"/>
        <w:gridCol w:w="3120"/>
      </w:tblGrid>
      <w:tr>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Source</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RQ</w:t>
            </w:r>
          </w:p>
        </w:tc>
        <w:tc>
          <w:tcPr>
            <w:tcW w:type="dxa" w:w="3120"/>
            <w:tcBorders>
              <w:top w:val="none" w:sz="0" w:space="0" w:color="auto"/>
              <w:left w:val="none" w:sz="0" w:space="0" w:color="auto"/>
              <w:bottom w:val="none" w:sz="0" w:space="0" w:color="auto"/>
              <w:right w:val="none" w:sz="0" w:space="0" w:color="auto"/>
            </w:tcBorders>
            <w:tcBorders>
              <w:top w:val="single" w:sz="12" w:space="0" w:color="000000"/>
              <w:bottom w:val="single" w:sz="6" w:space="0" w:color="000000"/>
            </w:tcBorders>
          </w:tcPr>
          <w:p>
            <w:pPr>
              <w:spacing w:line="360" w:lineRule="auto"/>
            </w:pPr>
            <w:r/>
            <w:r>
              <w:rPr>
                <w:rFonts w:ascii="Times New Roman" w:hAnsi="Times New Roman"/>
                <w:b/>
                <w:i/>
                <w:sz w:val="20"/>
              </w:rPr>
              <w:t>Approach</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Checkpoint logs (passive server-side data)</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1, 2</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Descriptive: deliberation times, T-Score selection distributions</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Decision audit trail (participant-facing)</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1</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Separate from passive logs; analyzed as scaffolding interaction data</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Pre/post research design artifacts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2</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Shannon Entropy for diversity; rubric-based quality assessment</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Think-aloud protocols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1, 3</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Thematic analysis with AL + inductive coding; independent dual-coder</w:t>
            </w:r>
          </w:p>
        </w:tc>
      </w:tr>
      <w:tr>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Semi-structured interviews</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1, 3</w:t>
            </w:r>
          </w:p>
        </w:tc>
        <w:tc>
          <w:tcPr>
            <w:tcW w:type="dxa" w:w="3120"/>
            <w:tcBorders>
              <w:top w:val="none" w:sz="0" w:space="0" w:color="auto"/>
              <w:left w:val="none" w:sz="0" w:space="0" w:color="auto"/>
              <w:bottom w:val="none" w:sz="0" w:space="0" w:color="auto"/>
              <w:right w:val="none" w:sz="0" w:space="0" w:color="auto"/>
            </w:tcBorders>
          </w:tcPr>
          <w:p>
            <w:pPr>
              <w:spacing w:line="360" w:lineRule="auto"/>
            </w:pPr>
            <w:r/>
            <w:r>
              <w:rPr>
                <w:rFonts w:ascii="Times New Roman" w:hAnsi="Times New Roman"/>
                <w:b w:val="0"/>
                <w:i w:val="0"/>
                <w:sz w:val="20"/>
              </w:rPr>
              <w:t>Deductive (AL framework) + inductive coding; cross-site comparison</w:t>
            </w:r>
          </w:p>
        </w:tc>
      </w:tr>
      <w:tr>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Screen recording</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2</w:t>
            </w:r>
          </w:p>
        </w:tc>
        <w:tc>
          <w:tcPr>
            <w:tcW w:type="dxa" w:w="3120"/>
            <w:tcBorders>
              <w:top w:val="none" w:sz="0" w:space="0" w:color="auto"/>
              <w:left w:val="none" w:sz="0" w:space="0" w:color="auto"/>
              <w:bottom w:val="none" w:sz="0" w:space="0" w:color="auto"/>
              <w:right w:val="none" w:sz="0" w:space="0" w:color="auto"/>
            </w:tcBorders>
            <w:tcBorders>
              <w:bottom w:val="single" w:sz="12" w:space="0" w:color="000000"/>
            </w:tcBorders>
          </w:tcPr>
          <w:p>
            <w:pPr>
              <w:spacing w:line="360" w:lineRule="auto"/>
            </w:pPr>
            <w:r/>
            <w:r>
              <w:rPr>
                <w:rFonts w:ascii="Times New Roman" w:hAnsi="Times New Roman"/>
                <w:b w:val="0"/>
                <w:i w:val="0"/>
                <w:sz w:val="20"/>
              </w:rPr>
              <w:t>T-Score inspection frequency; agent navigation sequences</w:t>
            </w:r>
          </w:p>
        </w:tc>
      </w:tr>
    </w:tbl>
    <w:p>
      <w:pPr>
        <w:spacing w:before="80"/>
      </w:pPr>
      <w:r>
        <w:rPr>
          <w:rFonts w:ascii="Times New Roman" w:hAnsi="Times New Roman"/>
          <w:i/>
          <w:sz w:val="20"/>
        </w:rPr>
        <w:t xml:space="preserve">Note. </w:t>
      </w:r>
      <w:r>
        <w:rPr>
          <w:rFonts w:ascii="Times New Roman" w:hAnsi="Times New Roman"/>
          <w:sz w:val="20"/>
        </w:rPr>
        <w:t>Passive log data (server-side timing, agent invocation) is distinguished from participant-facing audit trail data to avoid measurement-treatment confounds. Quantitative analyses are descriptive and exploratory given sample size. An independent coder (non-author) codes 25% of qualitative data for reliability.</w:t>
      </w:r>
    </w:p>
    <w:p/>
    <w:p>
      <w:pPr>
        <w:spacing w:before="240"/>
        <w:jc w:val="center"/>
      </w:pPr>
      <w:r>
        <w:rPr>
          <w:rFonts w:ascii="Times New Roman" w:hAnsi="Times New Roman"/>
          <w:b/>
          <w:i w:val="0"/>
          <w:sz w:val="24"/>
        </w:rPr>
        <w:t>Anticipated Findings and Design Tensions</w:t>
      </w:r>
    </w:p>
    <w:p>
      <w:pPr>
        <w:spacing w:before="240"/>
      </w:pPr>
      <w:r>
        <w:rPr>
          <w:rFonts w:ascii="Times New Roman" w:hAnsi="Times New Roman"/>
          <w:b/>
          <w:i w:val="0"/>
          <w:sz w:val="24"/>
        </w:rPr>
        <w:t>RQ1: Manifestation of Authentic Learning Elements</w:t>
      </w:r>
    </w:p>
    <w:p>
      <w:pPr>
        <w:ind w:firstLine="720"/>
      </w:pPr>
      <w:r>
        <w:rPr>
          <w:rFonts w:ascii="Times New Roman" w:hAnsi="Times New Roman"/>
          <w:b w:val="0"/>
          <w:i w:val="0"/>
          <w:sz w:val="24"/>
        </w:rPr>
        <w:t>We anticipate differential manifestation across the nine elements. System-enforced elements—multiple perspectives (VS alternatives are automatically presented) and reflection (REQUIRED checkpoints physically halt progress)—should manifest strongly regardless of learner characteristics. Elements requiring voluntary engagement—collaboration (AI is not a true peer) and articulation (decision logs may be completed perfunctorily)—are expected to manifest weakly or inconsistently. This differential pattern, if confirmed, would suggest that AI scaffolding is most reliable when design features enforce engagement rather than merely invite it.</w:t>
      </w:r>
    </w:p>
    <w:p>
      <w:pPr>
        <w:spacing w:before="240"/>
      </w:pPr>
      <w:r>
        <w:rPr>
          <w:rFonts w:ascii="Times New Roman" w:hAnsi="Times New Roman"/>
          <w:b/>
          <w:i w:val="0"/>
          <w:sz w:val="24"/>
        </w:rPr>
        <w:t>RQ2: Effects on Methodological Choice Diversity and Quality</w:t>
      </w:r>
    </w:p>
    <w:p>
      <w:pPr>
        <w:ind w:firstLine="720"/>
      </w:pPr>
      <w:r>
        <w:rPr>
          <w:rFonts w:ascii="Times New Roman" w:hAnsi="Times New Roman"/>
          <w:b w:val="0"/>
          <w:i w:val="0"/>
          <w:sz w:val="24"/>
        </w:rPr>
        <w:t>We expect pre–post Shannon Entropy to increase, reflecting greater diversity in framework selection after Diverga use. T-Score selection patterns should show initial gravitation toward high-T-Score (modal) options, with gradual exploration of lower-T-Score alternatives as participants become comfortable with the interface. However, increased diversity does not automatically signal improved quality—some participants may select unconventional frameworks that are poorly suited to their research questions, driven by the novelty of seeing non-modal options rather than genuine methodological reasoning. The qualitative strand is essential for distinguishing between authentic perspective expansion and superficial diversity.</w:t>
      </w:r>
    </w:p>
    <w:p>
      <w:pPr>
        <w:spacing w:before="240"/>
      </w:pPr>
      <w:r>
        <w:rPr>
          <w:rFonts w:ascii="Times New Roman" w:hAnsi="Times New Roman"/>
          <w:b/>
          <w:i w:val="0"/>
          <w:sz w:val="24"/>
        </w:rPr>
        <w:t>RQ3: Anticipated Design Tensions</w:t>
      </w:r>
    </w:p>
    <w:p>
      <w:pPr>
        <w:ind w:firstLine="720"/>
      </w:pPr>
      <w:r>
        <w:rPr>
          <w:rFonts w:ascii="Times New Roman" w:hAnsi="Times New Roman"/>
          <w:b w:val="0"/>
          <w:i w:val="0"/>
          <w:sz w:val="24"/>
        </w:rPr>
        <w:t>Four design tensions are predicted based on the theoretical framework and Yang and Harbor’s (2023) failure categories. First, a scaffolding–efficiency tension: checkpoints slow the process, and participants under time pressure may experience them as interruptions rather than scaffolds. Second, a diversity–quality tension: more options do not guarantee better choices. Third, an AI authority–learner autonomy tension: despite checkpoints, participants may still defer to the AI’s framing of alternatives. Fourth, a CLI barrier–flow tension: the technical overhead of the command-line interface may detract from research design engagement, particularly for participants with lower technical comfort.</w:t>
      </w:r>
    </w:p>
    <w:p>
      <w:pPr>
        <w:ind w:firstLine="720"/>
      </w:pPr>
      <w:r>
        <w:rPr>
          <w:rFonts w:ascii="Times New Roman" w:hAnsi="Times New Roman"/>
          <w:b w:val="0"/>
          <w:i w:val="0"/>
          <w:sz w:val="24"/>
        </w:rPr>
        <w:t>Learner characteristics from Phase 1 are expected to mediate these tensions. Participants with stronger research methods training should engage more deeply at checkpoints. Those with extensive AI experience may, paradoxically, exhibit stronger automation bias due to habituated trust. Epistemological orientation may also matter: constructivist-oriented participants may naturally embrace multiple perspectives, while positivist-oriented participants may find the multiplicity of options disorienting when seeking a single optimal approach.</w:t>
      </w:r>
    </w:p>
    <w:p>
      <w:pPr>
        <w:spacing w:before="240"/>
        <w:jc w:val="center"/>
      </w:pPr>
      <w:r>
        <w:rPr>
          <w:rFonts w:ascii="Times New Roman" w:hAnsi="Times New Roman"/>
          <w:b/>
          <w:i w:val="0"/>
          <w:sz w:val="24"/>
        </w:rPr>
        <w:t>Significance and Contributions</w:t>
      </w:r>
    </w:p>
    <w:p>
      <w:pPr>
        <w:ind w:firstLine="720"/>
      </w:pPr>
      <w:r>
        <w:rPr>
          <w:rFonts w:ascii="Times New Roman" w:hAnsi="Times New Roman"/>
          <w:b w:val="0"/>
          <w:i w:val="0"/>
          <w:sz w:val="24"/>
        </w:rPr>
        <w:t>This study makes three contributions. Theoretically, it produces an authentic AI scaffolding framework—the first application of Herrington et al.’s (2010) framework to multi-agent AI tools—specifying which authentic learning elements are effectively operationalized by AI and under what conditions. It extends Yang and Harbor’s (2023) findings to AI-mediated contexts, demonstrating whether the same learner-centered design principles apply. Practically, it generates evidence-based design principles for AI research tool developers regarding checkpoint placement, VS integration, and scaffolding calibration. Methodologically, the combination of LXD design case, learner analysis, and counterbalanced mixed-methods evaluation offers a replicable template for studying AI educational tools, while the use of system-generated logs as behavioral data establishes a methodological precedent.</w:t>
      </w:r>
    </w:p>
    <w:p>
      <w:pPr>
        <w:ind w:firstLine="720"/>
      </w:pPr>
      <w:r>
        <w:rPr>
          <w:rFonts w:ascii="Times New Roman" w:hAnsi="Times New Roman"/>
          <w:b w:val="0"/>
          <w:i w:val="0"/>
          <w:sz w:val="24"/>
        </w:rPr>
        <w:t>This study is the first in a programmatic agenda. Subsequent work will examine transfer of scaffolded skills to unassisted contexts, compare multi-agent (Diverga) versus single-agent (ChatGPT) conditions, and extend to cross-disciplinary contexts.</w:t>
      </w:r>
    </w:p>
    <w:p>
      <w:pPr>
        <w:spacing w:before="240"/>
        <w:jc w:val="center"/>
      </w:pPr>
      <w:r>
        <w:rPr>
          <w:rFonts w:ascii="Times New Roman" w:hAnsi="Times New Roman"/>
          <w:b/>
          <w:i w:val="0"/>
          <w:sz w:val="24"/>
        </w:rPr>
        <w:t>References</w:t>
      </w:r>
    </w:p>
    <w:p>
      <w:pPr>
        <w:ind w:left="720" w:hanging="720"/>
      </w:pPr>
      <w:r>
        <w:rPr>
          <w:rFonts w:ascii="Times New Roman" w:hAnsi="Times New Roman"/>
          <w:b w:val="0"/>
          <w:i w:val="0"/>
          <w:sz w:val="24"/>
        </w:rPr>
        <w:t>Boling, E. (2010). The need for design cases: Disseminating design knowledge. International Journal of Designs for Learning, 1(1), 1–8.</w:t>
      </w:r>
    </w:p>
    <w:p>
      <w:pPr>
        <w:ind w:left="720" w:hanging="720"/>
      </w:pPr>
      <w:r>
        <w:rPr>
          <w:rFonts w:ascii="Times New Roman" w:hAnsi="Times New Roman"/>
          <w:b w:val="0"/>
          <w:i w:val="0"/>
          <w:sz w:val="24"/>
        </w:rPr>
        <w:t>Braun, V., &amp; Clarke, V. (2006). Using thematic analysis in psychology. Qualitative Research in Psychology, 3(2), 77–101.</w:t>
      </w:r>
    </w:p>
    <w:p>
      <w:pPr>
        <w:ind w:left="720" w:hanging="720"/>
      </w:pPr>
      <w:r>
        <w:rPr>
          <w:rFonts w:ascii="Times New Roman" w:hAnsi="Times New Roman"/>
          <w:b w:val="0"/>
          <w:i w:val="0"/>
          <w:sz w:val="24"/>
        </w:rPr>
        <w:t>Buçinca, Z., Malaya, M. B., &amp; Gajos, K. Z. (2021). To trust or to think: Cognitive forcing functions can reduce overreliance on AI in AI-assisted decision-making. Proceedings of the ACM on Human-Computer Interaction, 5(CSCW1), 1–21.</w:t>
      </w:r>
    </w:p>
    <w:p>
      <w:pPr>
        <w:ind w:left="720" w:hanging="720"/>
      </w:pPr>
      <w:r>
        <w:rPr>
          <w:rFonts w:ascii="Times New Roman" w:hAnsi="Times New Roman"/>
          <w:b w:val="0"/>
          <w:i w:val="0"/>
          <w:sz w:val="24"/>
        </w:rPr>
        <w:t>Creswell, J. W., &amp; Plano Clark, V. L. (2018). Designing and conducting mixed methods research (3rd ed.). SAGE.</w:t>
      </w:r>
    </w:p>
    <w:p>
      <w:pPr>
        <w:ind w:left="720" w:hanging="720"/>
      </w:pPr>
      <w:r>
        <w:rPr>
          <w:rFonts w:ascii="Times New Roman" w:hAnsi="Times New Roman"/>
          <w:b w:val="0"/>
          <w:i w:val="0"/>
          <w:sz w:val="24"/>
        </w:rPr>
        <w:t>EDUCAUSE. (2025). AI ethical guidelines. https://library.educause.edu/resources/2025/6/ai-ethical-guidelines</w:t>
      </w:r>
    </w:p>
    <w:p>
      <w:pPr>
        <w:ind w:left="720" w:hanging="720"/>
      </w:pPr>
      <w:r>
        <w:rPr>
          <w:rFonts w:ascii="Times New Roman" w:hAnsi="Times New Roman"/>
          <w:b w:val="0"/>
          <w:i w:val="0"/>
          <w:sz w:val="24"/>
        </w:rPr>
        <w:t>Herrington, J., Reeves, T. C., &amp; Oliver, R. (2010). A guide to authentic e-learning. Routledge.</w:t>
      </w:r>
    </w:p>
    <w:p>
      <w:pPr>
        <w:ind w:left="720" w:hanging="720"/>
      </w:pPr>
      <w:r>
        <w:rPr>
          <w:rFonts w:ascii="Times New Roman" w:hAnsi="Times New Roman"/>
          <w:b w:val="0"/>
          <w:i w:val="0"/>
          <w:sz w:val="24"/>
        </w:rPr>
        <w:t xml:space="preserve">Lee, H.-P., Sarkar, A., Tankelevitch, L., Drosos, I., Rintel, S., Banks, R., &amp; Wilson, N. (2025). The impact of generative AI on critical thinking: Self-reported reductions in cognitive effort and confidence effects from a survey of knowledge workers. Proceedings of the 2025 CHI Conference on Human Factors in Computing Systems, Article 694. https://doi.org/10.1145/3706598.3713778</w:t>
      </w:r>
    </w:p>
    <w:p>
      <w:pPr>
        <w:ind w:left="720" w:hanging="720"/>
      </w:pPr>
      <w:r>
        <w:rPr>
          <w:rFonts w:ascii="Times New Roman" w:hAnsi="Times New Roman"/>
          <w:b w:val="0"/>
          <w:i w:val="0"/>
          <w:sz w:val="24"/>
        </w:rPr>
        <w:t>Smith, K. M. (2010). Producing the rigorous design case. International Journal of Designs for Learning, 1(1), 9–20.</w:t>
      </w:r>
    </w:p>
    <w:p>
      <w:pPr>
        <w:ind w:left="720" w:hanging="720"/>
      </w:pPr>
      <w:r>
        <w:rPr>
          <w:rFonts w:ascii="Times New Roman" w:hAnsi="Times New Roman"/>
          <w:b w:val="0"/>
          <w:i w:val="0"/>
          <w:sz w:val="24"/>
        </w:rPr>
        <w:t>Tessmer, M., &amp; Richey, R. C. (1997). The role of context in learning and instructional design. Educational Technology Research and Development, 45(2), 85–115.</w:t>
      </w:r>
    </w:p>
    <w:p>
      <w:pPr>
        <w:ind w:left="720" w:hanging="720"/>
      </w:pPr>
      <w:r>
        <w:rPr>
          <w:rFonts w:ascii="Times New Roman" w:hAnsi="Times New Roman"/>
          <w:b w:val="0"/>
          <w:i w:val="0"/>
          <w:sz w:val="24"/>
        </w:rPr>
        <w:t>Yang, M., &amp; Harbor, J. (2023). Authentic learning design failures: The need for learner and contextual analysis and participatory design. International Journal of Designs for Learning, 14(1), 88–105. https://doi.org/10.14434/ijdl.v14i1.35246</w:t>
      </w:r>
    </w:p>
    <w:p>
      <w:pPr>
        <w:ind w:left="720" w:hanging="720"/>
      </w:pPr>
      <w:r>
        <w:rPr>
          <w:rFonts w:ascii="Times New Roman" w:hAnsi="Times New Roman"/>
          <w:b w:val="0"/>
          <w:i w:val="0"/>
          <w:sz w:val="24"/>
        </w:rPr>
        <w:t>Yang, M., Jiang, S., Li, B., Herman, K., Luo, T., Moots, S. C., &amp; Lovett, N. (2025). Analysing nontraditional students’ ChatGPT interaction, engagement, self-efficacy and performance: A mixed-methods approach. British Journal of Educational Technology, 56(5), 1973–2000.</w:t>
      </w:r>
    </w:p>
    <w:p>
      <w:pPr>
        <w:ind w:left="720" w:hanging="720"/>
      </w:pPr>
      <w:r>
        <w:rPr>
          <w:rFonts w:ascii="Times New Roman" w:hAnsi="Times New Roman"/>
          <w:b w:val="0"/>
          <w:i w:val="0"/>
          <w:sz w:val="24"/>
        </w:rPr>
        <w:t>Yang, M., Lovett, N., Li, B., &amp; Hou, Z. (2025). Towards dynamic learner state: Orchestrating AI agents and workplace performance via the Model Context Protocol. Education Sciences, 15(8), 1004.</w:t>
      </w:r>
    </w:p>
    <w:p>
      <w:pPr>
        <w:ind w:left="720" w:hanging="720"/>
      </w:pPr>
      <w:r>
        <w:rPr>
          <w:rFonts w:ascii="Times New Roman" w:hAnsi="Times New Roman"/>
          <w:b w:val="0"/>
          <w:i w:val="0"/>
          <w:sz w:val="24"/>
        </w:rPr>
        <w:t xml:space="preserve">Zhang, J., Yu, S., Chong, D., Sicilia, A., Tomz, M. R., Manning, C. D., &amp; Shi, W. (2025). Verbalized sampling: How to mitigate mode collapse and unlock LLM diversity. arXiv:2510.01171. https://arxiv.org/abs/2510.01171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