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i w:val="0"/>
          <w:sz w:val="24"/>
        </w:rPr>
        <w:t>Paper 2 v4 Direction:</w:t>
      </w:r>
    </w:p>
    <w:p>
      <w:pPr>
        <w:jc w:val="center"/>
      </w:pPr>
      <w:r>
        <w:rPr>
          <w:rFonts w:ascii="Times New Roman" w:hAnsi="Times New Roman"/>
          <w:b/>
          <w:i w:val="0"/>
          <w:sz w:val="24"/>
        </w:rPr>
        <w:t>Measurement Pivot Final Decision</w:t>
      </w:r>
    </w:p>
    <w:p/>
    <w:p>
      <w:pPr>
        <w:jc w:val="center"/>
      </w:pPr>
      <w:r>
        <w:rPr>
          <w:rFonts w:ascii="Times New Roman" w:hAnsi="Times New Roman"/>
          <w:b w:val="0"/>
          <w:i/>
          <w:sz w:val="24"/>
        </w:rPr>
        <w:t>Internal Working Document</w:t>
      </w:r>
    </w:p>
    <w:p>
      <w:pPr>
        <w:jc w:val="center"/>
      </w:pPr>
      <w:r>
        <w:rPr>
          <w:rFonts w:ascii="Times New Roman" w:hAnsi="Times New Roman"/>
          <w:b w:val="0"/>
          <w:i w:val="0"/>
          <w:sz w:val="24"/>
        </w:rPr>
        <w:t>Diverga Evaluation Paper Project</w:t>
      </w:r>
    </w:p>
    <w:p>
      <w:pPr>
        <w:jc w:val="center"/>
      </w:pPr>
      <w:r>
        <w:rPr>
          <w:rFonts w:ascii="Times New Roman" w:hAnsi="Times New Roman"/>
          <w:b w:val="0"/>
          <w:i w:val="0"/>
          <w:sz w:val="24"/>
        </w:rPr>
        <w:t>2026-04-15</w:t>
      </w:r>
    </w:p>
    <w:p>
      <w:pPr>
        <w:jc w:val="center"/>
      </w:pPr>
      <w:r>
        <w:rPr>
          <w:rFonts w:ascii="Times New Roman" w:hAnsi="Times New Roman"/>
          <w:b w:val="0"/>
          <w:i w:val="0"/>
          <w:sz w:val="24"/>
        </w:rPr>
        <w:t>Status: Decisions confirmed; ready for Paper 2 v4 drafting</w:t>
      </w:r>
    </w:p>
    <w:p>
      <w:r>
        <w:br w:type="page"/>
      </w:r>
    </w:p>
    <w:p>
      <w:pPr>
        <w:jc w:val="center"/>
      </w:pPr>
      <w:r>
        <w:rPr>
          <w:rFonts w:ascii="Times New Roman" w:hAnsi="Times New Roman"/>
          <w:b/>
          <w:i w:val="0"/>
          <w:sz w:val="24"/>
        </w:rPr>
        <w:t>Problem Statement</w:t>
      </w:r>
    </w:p>
    <w:p>
      <w:pPr>
        <w:ind w:firstLine="720"/>
      </w:pPr>
      <w:r>
        <w:rPr>
          <w:rFonts w:ascii="Times New Roman" w:hAnsi="Times New Roman"/>
          <w:b w:val="0"/>
          <w:i w:val="0"/>
          <w:sz w:val="24"/>
        </w:rPr>
        <w:t>Paper 2 v3 proposed five invented indicators under the name Checkpoint-Mediated Agency Analysis (CMAA): PIR, DSE, GCA, SUD, CCI. The Principal Investigator's feedback identified six concerns with this approach, and the Co-Investigator raised an additional concern about the accessibility of technical terminology. The central issue is that inventing novel measurement terms when established alternatives exist undermines both reader accessibility and the paper's theoretical coherence.</w:t>
      </w:r>
    </w:p>
    <w:p>
      <w:pPr>
        <w:ind w:firstLine="720"/>
      </w:pPr>
      <w:r>
        <w:rPr>
          <w:rFonts w:ascii="Times New Roman" w:hAnsi="Times New Roman"/>
          <w:b w:val="0"/>
          <w:i w:val="0"/>
          <w:sz w:val="24"/>
        </w:rPr>
        <w:t>The team conducted two rounds of multi-agent deliberation (eight agent invocations total) to determine which CMAA indicators should be replaced with established validated scales and which should be retained as genuinely novel contributions.</w:t>
      </w:r>
    </w:p>
    <w:p>
      <w:pPr>
        <w:jc w:val="center"/>
      </w:pPr>
      <w:r>
        <w:rPr>
          <w:rFonts w:ascii="Times New Roman" w:hAnsi="Times New Roman"/>
          <w:b/>
          <w:i w:val="0"/>
          <w:sz w:val="24"/>
        </w:rPr>
        <w:t>Governing Constraint</w:t>
      </w:r>
    </w:p>
    <w:p>
      <w:pPr>
        <w:ind w:firstLine="720"/>
      </w:pPr>
      <w:r>
        <w:rPr>
          <w:rFonts w:ascii="Times New Roman" w:hAnsi="Times New Roman"/>
          <w:b w:val="0"/>
          <w:i w:val="0"/>
          <w:sz w:val="24"/>
        </w:rPr>
        <w:t>The decisive constraint identified during deliberation is that replacement scales must come from traditions compatible with the Paper 2 theoretical framework (Floridi philosophical agency, Chinn epistemic cognition, Jarvela shared regulation, Engestrom activity theory, and the HALIE methodological bridge).</w:t>
      </w:r>
    </w:p>
    <w:p>
      <w:pPr>
        <w:ind w:firstLine="720"/>
      </w:pPr>
      <w:r>
        <w:rPr>
          <w:rFonts w:ascii="Times New Roman" w:hAnsi="Times New Roman"/>
          <w:b w:val="0"/>
          <w:i w:val="0"/>
          <w:sz w:val="24"/>
        </w:rPr>
        <w:t>Accepted traditions: self-regulated learning (SRL), epistemic cognition, distributed cognition, collaborative regulation, and metacognitive monitoring.</w:t>
      </w:r>
    </w:p>
    <w:p>
      <w:pPr>
        <w:ind w:firstLine="720"/>
      </w:pPr>
      <w:r>
        <w:rPr>
          <w:rFonts w:ascii="Times New Roman" w:hAnsi="Times New Roman"/>
          <w:b w:val="0"/>
          <w:i w:val="0"/>
          <w:sz w:val="24"/>
        </w:rPr>
        <w:t>Rejected traditions (even if psychometrically strong): trust in automation (Jian et al., 2000), algorithm aversion and appreciation (Dietvorst et al., 2015; Logg et al., 2019), general HCI usability scales (SUS, UEQ), and technology acceptance models.</w:t>
      </w:r>
    </w:p>
    <w:p>
      <w:pPr>
        <w:ind w:firstLine="720"/>
      </w:pPr>
      <w:r>
        <w:rPr>
          <w:rFonts w:ascii="Times New Roman" w:hAnsi="Times New Roman"/>
          <w:b w:val="0"/>
          <w:i w:val="0"/>
          <w:sz w:val="24"/>
        </w:rPr>
        <w:t>Rationale: Engineering psychology traditions treat the human as a supervisory controller and the AI as a tool. This ontology is incompatible with Floridi's (2025) agency criteria and Chinn's (2011) epistemic cognition, both of which frame the AI-human pair as an epistemic encounter. Importing scales from incompatible traditions would fragment the theoretical framework and weaken the paper's response to Bigman, Briker, and Langer's (2026) call for psychological theory embedding in human-AI interaction research.</w:t>
      </w:r>
    </w:p>
    <w:p>
      <w:pPr>
        <w:jc w:val="center"/>
      </w:pPr>
      <w:r>
        <w:rPr>
          <w:rFonts w:ascii="Times New Roman" w:hAnsi="Times New Roman"/>
          <w:b/>
          <w:i w:val="0"/>
          <w:sz w:val="24"/>
        </w:rPr>
        <w:t>Final Measurement Battery</w:t>
      </w:r>
    </w:p>
    <w:p>
      <w:r>
        <w:rPr>
          <w:rFonts w:ascii="Times New Roman" w:hAnsi="Times New Roman"/>
          <w:b/>
          <w:i w:val="0"/>
          <w:sz w:val="24"/>
        </w:rPr>
        <w:t>Tier 1: HALIE-Adapted Metrics (Unchanged)</w:t>
      </w:r>
    </w:p>
    <w:p>
      <w:pPr>
        <w:ind w:firstLine="720"/>
      </w:pPr>
      <w:r>
        <w:rPr>
          <w:rFonts w:ascii="Times New Roman" w:hAnsi="Times New Roman"/>
          <w:b w:val="0"/>
          <w:i w:val="0"/>
          <w:sz w:val="24"/>
        </w:rPr>
        <w:t>Borrowed from Yang et al. (2025, BJET) and original sources. Applied to both the Claude baseline and the agentic AI conditions.</w:t>
      </w:r>
    </w:p>
    <w:p>
      <w:pPr>
        <w:spacing w:line="240" w:lineRule="auto" w:before="240" w:after="0"/>
      </w:pPr>
      <w:r>
        <w:rPr>
          <w:rFonts w:ascii="Times New Roman" w:hAnsi="Times New Roman"/>
          <w:b/>
          <w:i w:val="0"/>
          <w:sz w:val="24"/>
        </w:rPr>
        <w:t>Table 1</w:t>
      </w:r>
    </w:p>
    <w:p>
      <w:pPr>
        <w:spacing w:line="240" w:lineRule="auto" w:before="0" w:after="120"/>
      </w:pPr>
      <w:r>
        <w:rPr>
          <w:rFonts w:ascii="Times New Roman" w:hAnsi="Times New Roman"/>
          <w:b w:val="0"/>
          <w:i/>
          <w:sz w:val="24"/>
        </w:rPr>
        <w:t>Tier 1: HALIE-Adapted Metrics</w:t>
      </w:r>
    </w:p>
    <w:tbl>
      <w:tblPr>
        <w:tblStyle w:val="TableGrid"/>
        <w:tblW w:type="auto" w:w="0"/>
        <w:jc w:val="center"/>
        <w:tblLook w:firstColumn="1" w:firstRow="1" w:lastColumn="0" w:lastRow="0" w:noHBand="0" w:noVBand="1" w:val="04A0"/>
      </w:tblPr>
      <w:tblGrid>
        <w:gridCol w:w="3120"/>
        <w:gridCol w:w="3120"/>
        <w:gridCol w:w="3120"/>
      </w:tblGrid>
      <w:tr>
        <w:tc>
          <w:tcPr>
            <w:tcW w:type="dxa" w:w="3120"/>
            <w:tcBorders>
              <w:top w:val="single" w:sz="8"/>
              <w:bottom w:val="single" w:sz="8"/>
              <w:left w:val="nil"/>
              <w:right w:val="nil"/>
              <w:insideV w:val="nil"/>
            </w:tcBorders>
          </w:tcPr>
          <w:p>
            <w:pPr>
              <w:spacing w:line="240" w:lineRule="auto" w:before="40" w:after="40"/>
            </w:pPr>
            <w:r/>
            <w:r>
              <w:rPr>
                <w:rFonts w:ascii="Times New Roman" w:hAnsi="Times New Roman"/>
                <w:b/>
                <w:sz w:val="20"/>
              </w:rPr>
              <w:t>Metric</w:t>
            </w:r>
          </w:p>
        </w:tc>
        <w:tc>
          <w:tcPr>
            <w:tcW w:type="dxa" w:w="3120"/>
            <w:tcBorders>
              <w:top w:val="single" w:sz="8"/>
              <w:bottom w:val="single" w:sz="8"/>
              <w:left w:val="nil"/>
              <w:right w:val="nil"/>
              <w:insideV w:val="nil"/>
            </w:tcBorders>
          </w:tcPr>
          <w:p>
            <w:pPr>
              <w:spacing w:line="240" w:lineRule="auto" w:before="40" w:after="40"/>
            </w:pPr>
            <w:r/>
            <w:r>
              <w:rPr>
                <w:rFonts w:ascii="Times New Roman" w:hAnsi="Times New Roman"/>
                <w:b/>
                <w:sz w:val="20"/>
              </w:rPr>
              <w:t>Source</w:t>
            </w:r>
          </w:p>
        </w:tc>
        <w:tc>
          <w:tcPr>
            <w:tcW w:type="dxa" w:w="3120"/>
            <w:tcBorders>
              <w:top w:val="single" w:sz="8"/>
              <w:bottom w:val="single" w:sz="8"/>
              <w:left w:val="nil"/>
              <w:right w:val="nil"/>
              <w:insideV w:val="nil"/>
            </w:tcBorders>
          </w:tcPr>
          <w:p>
            <w:pPr>
              <w:spacing w:line="240" w:lineRule="auto" w:before="40" w:after="40"/>
            </w:pPr>
            <w:r/>
            <w:r>
              <w:rPr>
                <w:rFonts w:ascii="Times New Roman" w:hAnsi="Times New Roman"/>
                <w:b/>
                <w:sz w:val="20"/>
              </w:rPr>
              <w:t>Format</w:t>
            </w:r>
          </w:p>
        </w:tc>
      </w:tr>
      <w:tr>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Prompt number</w:t>
            </w:r>
          </w:p>
        </w:tc>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Yang et al. (2025)</w:t>
            </w:r>
          </w:p>
        </w:tc>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Count</w:t>
            </w:r>
          </w:p>
        </w:tc>
      </w:tr>
      <w:tr>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Depth of Knowledge</w:t>
            </w:r>
          </w:p>
        </w:tc>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Webb (2002); Yang et al. (2025, Appendix A)</w:t>
            </w:r>
          </w:p>
        </w:tc>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4-level rubric, 2 coders</w:t>
            </w:r>
          </w:p>
        </w:tc>
      </w:tr>
      <w:tr>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Prompt relevance and evolution</w:t>
            </w:r>
          </w:p>
        </w:tc>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Yang et al. (2025, Appendix A)</w:t>
            </w:r>
          </w:p>
        </w:tc>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4-level rubric, 2 coders</w:t>
            </w:r>
          </w:p>
        </w:tc>
      </w:tr>
      <w:tr>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Originality</w:t>
            </w:r>
          </w:p>
        </w:tc>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Yang et al. (2025, Appendix A)</w:t>
            </w:r>
          </w:p>
        </w:tc>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4-level rubric, 2 coders</w:t>
            </w:r>
          </w:p>
        </w:tc>
      </w:tr>
      <w:tr>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Self-efficacy</w:t>
            </w:r>
          </w:p>
        </w:tc>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Avey, Luthans, and Jensen (2009)</w:t>
            </w:r>
          </w:p>
        </w:tc>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5 items, 5-point Likert</w:t>
            </w:r>
          </w:p>
        </w:tc>
      </w:tr>
      <w:tr>
        <w:tc>
          <w:tcPr>
            <w:tcW w:type="dxa" w:w="3120"/>
            <w:tcBorders>
              <w:top w:val="nil"/>
              <w:bottom w:val="single" w:sz="8"/>
              <w:left w:val="nil"/>
              <w:right w:val="nil"/>
              <w:insideV w:val="nil"/>
            </w:tcBorders>
          </w:tcPr>
          <w:p>
            <w:pPr>
              <w:spacing w:line="240" w:lineRule="auto" w:before="40" w:after="40"/>
            </w:pPr>
            <w:r/>
            <w:r>
              <w:rPr>
                <w:rFonts w:ascii="Times New Roman" w:hAnsi="Times New Roman"/>
                <w:sz w:val="20"/>
              </w:rPr>
              <w:t>Engagement composite</w:t>
            </w:r>
          </w:p>
        </w:tc>
        <w:tc>
          <w:tcPr>
            <w:tcW w:type="dxa" w:w="3120"/>
            <w:tcBorders>
              <w:top w:val="nil"/>
              <w:bottom w:val="single" w:sz="8"/>
              <w:left w:val="nil"/>
              <w:right w:val="nil"/>
              <w:insideV w:val="nil"/>
            </w:tcBorders>
          </w:tcPr>
          <w:p>
            <w:pPr>
              <w:spacing w:line="240" w:lineRule="auto" w:before="40" w:after="40"/>
            </w:pPr>
            <w:r/>
            <w:r>
              <w:rPr>
                <w:rFonts w:ascii="Times New Roman" w:hAnsi="Times New Roman"/>
                <w:sz w:val="20"/>
              </w:rPr>
              <w:t>Skinner et al. (2009); Fredricks et al. (2004); Halverson and Graham (2019)</w:t>
            </w:r>
          </w:p>
        </w:tc>
        <w:tc>
          <w:tcPr>
            <w:tcW w:type="dxa" w:w="3120"/>
            <w:tcBorders>
              <w:top w:val="nil"/>
              <w:bottom w:val="single" w:sz="8"/>
              <w:left w:val="nil"/>
              <w:right w:val="nil"/>
              <w:insideV w:val="nil"/>
            </w:tcBorders>
          </w:tcPr>
          <w:p>
            <w:pPr>
              <w:spacing w:line="240" w:lineRule="auto" w:before="40" w:after="40"/>
            </w:pPr>
            <w:r/>
            <w:r>
              <w:rPr>
                <w:rFonts w:ascii="Times New Roman" w:hAnsi="Times New Roman"/>
                <w:sz w:val="20"/>
              </w:rPr>
              <w:t>8 items, composite score</w:t>
            </w:r>
          </w:p>
        </w:tc>
      </w:tr>
    </w:tbl>
    <w:p>
      <w:pPr>
        <w:spacing w:before="120"/>
      </w:pPr>
    </w:p>
    <w:p>
      <w:r>
        <w:rPr>
          <w:rFonts w:ascii="Times New Roman" w:hAnsi="Times New Roman"/>
          <w:b/>
          <w:i w:val="0"/>
          <w:sz w:val="24"/>
        </w:rPr>
        <w:t>Tier 2: SRL and Epistemic Cognition Scales (Newly Borrowed)</w:t>
      </w:r>
    </w:p>
    <w:p>
      <w:pPr>
        <w:ind w:firstLine="720"/>
      </w:pPr>
      <w:r>
        <w:rPr>
          <w:rFonts w:ascii="Times New Roman" w:hAnsi="Times New Roman"/>
          <w:b w:val="0"/>
          <w:i w:val="0"/>
          <w:sz w:val="24"/>
        </w:rPr>
        <w:t>Three established scales replacing three CMAA indicators, drawn from SRL-compatible traditions per the governing constraint.</w:t>
      </w:r>
    </w:p>
    <w:p>
      <w:pPr>
        <w:spacing w:line="240" w:lineRule="auto" w:before="240" w:after="0"/>
      </w:pPr>
      <w:r>
        <w:rPr>
          <w:rFonts w:ascii="Times New Roman" w:hAnsi="Times New Roman"/>
          <w:b/>
          <w:i w:val="0"/>
          <w:sz w:val="24"/>
        </w:rPr>
        <w:t>Table 2</w:t>
      </w:r>
    </w:p>
    <w:p>
      <w:pPr>
        <w:spacing w:line="240" w:lineRule="auto" w:before="0" w:after="120"/>
      </w:pPr>
      <w:r>
        <w:rPr>
          <w:rFonts w:ascii="Times New Roman" w:hAnsi="Times New Roman"/>
          <w:b w:val="0"/>
          <w:i/>
          <w:sz w:val="24"/>
        </w:rPr>
        <w:t>Tier 2: SRL and Epistemic Cognition Scales Replacing CMAA Indicators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8"/>
              <w:bottom w:val="single" w:sz="8"/>
              <w:left w:val="nil"/>
              <w:right w:val="nil"/>
              <w:insideV w:val="nil"/>
            </w:tcBorders>
          </w:tcPr>
          <w:p>
            <w:pPr>
              <w:spacing w:line="240" w:lineRule="auto" w:before="40" w:after="40"/>
            </w:pPr>
            <w:r/>
            <w:r>
              <w:rPr>
                <w:rFonts w:ascii="Times New Roman" w:hAnsi="Times New Roman"/>
                <w:b/>
                <w:sz w:val="20"/>
              </w:rPr>
              <w:t>New Name</w:t>
            </w:r>
          </w:p>
        </w:tc>
        <w:tc>
          <w:tcPr>
            <w:tcW w:type="dxa" w:w="1872"/>
            <w:tcBorders>
              <w:top w:val="single" w:sz="8"/>
              <w:bottom w:val="single" w:sz="8"/>
              <w:left w:val="nil"/>
              <w:right w:val="nil"/>
              <w:insideV w:val="nil"/>
            </w:tcBorders>
          </w:tcPr>
          <w:p>
            <w:pPr>
              <w:spacing w:line="240" w:lineRule="auto" w:before="40" w:after="40"/>
            </w:pPr>
            <w:r/>
            <w:r>
              <w:rPr>
                <w:rFonts w:ascii="Times New Roman" w:hAnsi="Times New Roman"/>
                <w:b/>
                <w:sz w:val="20"/>
              </w:rPr>
              <w:t>Replaces</w:t>
            </w:r>
          </w:p>
        </w:tc>
        <w:tc>
          <w:tcPr>
            <w:tcW w:type="dxa" w:w="1872"/>
            <w:tcBorders>
              <w:top w:val="single" w:sz="8"/>
              <w:bottom w:val="single" w:sz="8"/>
              <w:left w:val="nil"/>
              <w:right w:val="nil"/>
              <w:insideV w:val="nil"/>
            </w:tcBorders>
          </w:tcPr>
          <w:p>
            <w:pPr>
              <w:spacing w:line="240" w:lineRule="auto" w:before="40" w:after="40"/>
            </w:pPr>
            <w:r/>
            <w:r>
              <w:rPr>
                <w:rFonts w:ascii="Times New Roman" w:hAnsi="Times New Roman"/>
                <w:b/>
                <w:sz w:val="20"/>
              </w:rPr>
              <w:t>Primary Source</w:t>
            </w:r>
          </w:p>
        </w:tc>
        <w:tc>
          <w:tcPr>
            <w:tcW w:type="dxa" w:w="1872"/>
            <w:tcBorders>
              <w:top w:val="single" w:sz="8"/>
              <w:bottom w:val="single" w:sz="8"/>
              <w:left w:val="nil"/>
              <w:right w:val="nil"/>
              <w:insideV w:val="nil"/>
            </w:tcBorders>
          </w:tcPr>
          <w:p>
            <w:pPr>
              <w:spacing w:line="240" w:lineRule="auto" w:before="40" w:after="40"/>
            </w:pPr>
            <w:r/>
            <w:r>
              <w:rPr>
                <w:rFonts w:ascii="Times New Roman" w:hAnsi="Times New Roman"/>
                <w:b/>
                <w:sz w:val="20"/>
              </w:rPr>
              <w:t>Theoretical Family</w:t>
            </w:r>
          </w:p>
        </w:tc>
        <w:tc>
          <w:tcPr>
            <w:tcW w:type="dxa" w:w="1872"/>
            <w:tcBorders>
              <w:top w:val="single" w:sz="8"/>
              <w:bottom w:val="single" w:sz="8"/>
              <w:left w:val="nil"/>
              <w:right w:val="nil"/>
              <w:insideV w:val="nil"/>
            </w:tcBorders>
          </w:tcPr>
          <w:p>
            <w:pPr>
              <w:spacing w:line="240" w:lineRule="auto" w:before="40" w:after="40"/>
            </w:pPr>
            <w:r/>
            <w:r>
              <w:rPr>
                <w:rFonts w:ascii="Times New Roman" w:hAnsi="Times New Roman"/>
                <w:b/>
                <w:sz w:val="20"/>
              </w:rPr>
              <w:t>Plain-Language Description</w:t>
            </w:r>
          </w:p>
        </w:tc>
      </w:tr>
      <w:tr>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AI-Initiated Support Frequency</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PIR</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Karabenick and Berger (2013); Horvitz (1999)</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Self-regulated learning</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How often the AI acts on the task without being asked, compared with how often the user initiates</w:t>
            </w:r>
          </w:p>
        </w:tc>
      </w:tr>
      <w:tr>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Cross-Session Context Retention</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SUD</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Wegner (1987); Lewis (2003) Transactive Memory Systems</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Distributed cognition</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How much earlier context the AI system uses when making new recommendations</w:t>
            </w:r>
          </w:p>
        </w:tc>
      </w:tr>
      <w:tr>
        <w:tc>
          <w:tcPr>
            <w:tcW w:type="dxa" w:w="1872"/>
            <w:tcBorders>
              <w:top w:val="nil"/>
              <w:bottom w:val="single" w:sz="8"/>
              <w:left w:val="nil"/>
              <w:right w:val="nil"/>
              <w:insideV w:val="nil"/>
            </w:tcBorders>
          </w:tcPr>
          <w:p>
            <w:pPr>
              <w:spacing w:line="240" w:lineRule="auto" w:before="40" w:after="40"/>
            </w:pPr>
            <w:r/>
            <w:r>
              <w:rPr>
                <w:rFonts w:ascii="Times New Roman" w:hAnsi="Times New Roman"/>
                <w:sz w:val="20"/>
              </w:rPr>
              <w:t>Human-AI Coregulation Depth</w:t>
            </w:r>
          </w:p>
        </w:tc>
        <w:tc>
          <w:tcPr>
            <w:tcW w:type="dxa" w:w="1872"/>
            <w:tcBorders>
              <w:top w:val="nil"/>
              <w:bottom w:val="single" w:sz="8"/>
              <w:left w:val="nil"/>
              <w:right w:val="nil"/>
              <w:insideV w:val="nil"/>
            </w:tcBorders>
          </w:tcPr>
          <w:p>
            <w:pPr>
              <w:spacing w:line="240" w:lineRule="auto" w:before="40" w:after="40"/>
            </w:pPr>
            <w:r/>
            <w:r>
              <w:rPr>
                <w:rFonts w:ascii="Times New Roman" w:hAnsi="Times New Roman"/>
                <w:sz w:val="20"/>
              </w:rPr>
              <w:t>CCI (human-AI dimension)</w:t>
            </w:r>
          </w:p>
        </w:tc>
        <w:tc>
          <w:tcPr>
            <w:tcW w:type="dxa" w:w="1872"/>
            <w:tcBorders>
              <w:top w:val="nil"/>
              <w:bottom w:val="single" w:sz="8"/>
              <w:left w:val="nil"/>
              <w:right w:val="nil"/>
              <w:insideV w:val="nil"/>
            </w:tcBorders>
          </w:tcPr>
          <w:p>
            <w:pPr>
              <w:spacing w:line="240" w:lineRule="auto" w:before="40" w:after="40"/>
            </w:pPr>
            <w:r/>
            <w:r>
              <w:rPr>
                <w:rFonts w:ascii="Times New Roman" w:hAnsi="Times New Roman"/>
                <w:sz w:val="20"/>
              </w:rPr>
              <w:t>Hadwin, Jarvela, and Miller (2018) SSRL process metrics</w:t>
            </w:r>
          </w:p>
        </w:tc>
        <w:tc>
          <w:tcPr>
            <w:tcW w:type="dxa" w:w="1872"/>
            <w:tcBorders>
              <w:top w:val="nil"/>
              <w:bottom w:val="single" w:sz="8"/>
              <w:left w:val="nil"/>
              <w:right w:val="nil"/>
              <w:insideV w:val="nil"/>
            </w:tcBorders>
          </w:tcPr>
          <w:p>
            <w:pPr>
              <w:spacing w:line="240" w:lineRule="auto" w:before="40" w:after="40"/>
            </w:pPr>
            <w:r/>
            <w:r>
              <w:rPr>
                <w:rFonts w:ascii="Times New Roman" w:hAnsi="Times New Roman"/>
                <w:sz w:val="20"/>
              </w:rPr>
              <w:t>Collaborative regulation</w:t>
            </w:r>
          </w:p>
        </w:tc>
        <w:tc>
          <w:tcPr>
            <w:tcW w:type="dxa" w:w="1872"/>
            <w:tcBorders>
              <w:top w:val="nil"/>
              <w:bottom w:val="single" w:sz="8"/>
              <w:left w:val="nil"/>
              <w:right w:val="nil"/>
              <w:insideV w:val="nil"/>
            </w:tcBorders>
          </w:tcPr>
          <w:p>
            <w:pPr>
              <w:spacing w:line="240" w:lineRule="auto" w:before="40" w:after="40"/>
            </w:pPr>
            <w:r/>
            <w:r>
              <w:rPr>
                <w:rFonts w:ascii="Times New Roman" w:hAnsi="Times New Roman"/>
                <w:sz w:val="20"/>
              </w:rPr>
              <w:t>How deeply the human and AI share the work of planning, monitoring, and evaluating</w:t>
            </w:r>
          </w:p>
        </w:tc>
      </w:tr>
    </w:tbl>
    <w:p>
      <w:pPr>
        <w:spacing w:before="120"/>
      </w:pPr>
    </w:p>
    <w:p>
      <w:r>
        <w:rPr>
          <w:rFonts w:ascii="Times New Roman" w:hAnsi="Times New Roman"/>
          <w:b/>
          <w:i w:val="0"/>
          <w:sz w:val="24"/>
        </w:rPr>
        <w:t>Tier 3: Agentic-Irreducible Indicators (Retained, Renamed)</w:t>
      </w:r>
    </w:p>
    <w:p>
      <w:pPr>
        <w:ind w:firstLine="720"/>
      </w:pPr>
      <w:r>
        <w:rPr>
          <w:rFonts w:ascii="Times New Roman" w:hAnsi="Times New Roman"/>
          <w:b w:val="0"/>
          <w:i w:val="0"/>
          <w:sz w:val="24"/>
        </w:rPr>
        <w:t>Two indicators plus one log-derived architectural metric. These measure phenomena that did not exist before checkpoint-governed agentic AI and have no established counterpart.</w:t>
      </w:r>
    </w:p>
    <w:p>
      <w:pPr>
        <w:spacing w:line="240" w:lineRule="auto" w:before="240" w:after="0"/>
      </w:pPr>
      <w:r>
        <w:rPr>
          <w:rFonts w:ascii="Times New Roman" w:hAnsi="Times New Roman"/>
          <w:b/>
          <w:i w:val="0"/>
          <w:sz w:val="24"/>
        </w:rPr>
        <w:t>Table 3</w:t>
      </w:r>
    </w:p>
    <w:p>
      <w:pPr>
        <w:spacing w:line="240" w:lineRule="auto" w:before="0" w:after="120"/>
      </w:pPr>
      <w:r>
        <w:rPr>
          <w:rFonts w:ascii="Times New Roman" w:hAnsi="Times New Roman"/>
          <w:b w:val="0"/>
          <w:i/>
          <w:sz w:val="24"/>
        </w:rPr>
        <w:t>Tier 3: Agentic-Irreducible Indicators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8"/>
              <w:bottom w:val="single" w:sz="8"/>
              <w:left w:val="nil"/>
              <w:right w:val="nil"/>
              <w:insideV w:val="nil"/>
            </w:tcBorders>
          </w:tcPr>
          <w:p>
            <w:pPr>
              <w:spacing w:line="240" w:lineRule="auto" w:before="40" w:after="40"/>
            </w:pPr>
            <w:r/>
            <w:r>
              <w:rPr>
                <w:rFonts w:ascii="Times New Roman" w:hAnsi="Times New Roman"/>
                <w:b/>
                <w:sz w:val="20"/>
              </w:rPr>
              <w:t>New Name</w:t>
            </w:r>
          </w:p>
        </w:tc>
        <w:tc>
          <w:tcPr>
            <w:tcW w:type="dxa" w:w="1872"/>
            <w:tcBorders>
              <w:top w:val="single" w:sz="8"/>
              <w:bottom w:val="single" w:sz="8"/>
              <w:left w:val="nil"/>
              <w:right w:val="nil"/>
              <w:insideV w:val="nil"/>
            </w:tcBorders>
          </w:tcPr>
          <w:p>
            <w:pPr>
              <w:spacing w:line="240" w:lineRule="auto" w:before="40" w:after="40"/>
            </w:pPr>
            <w:r/>
            <w:r>
              <w:rPr>
                <w:rFonts w:ascii="Times New Roman" w:hAnsi="Times New Roman"/>
                <w:b/>
                <w:sz w:val="20"/>
              </w:rPr>
              <w:t>Original</w:t>
            </w:r>
          </w:p>
        </w:tc>
        <w:tc>
          <w:tcPr>
            <w:tcW w:type="dxa" w:w="1872"/>
            <w:tcBorders>
              <w:top w:val="single" w:sz="8"/>
              <w:bottom w:val="single" w:sz="8"/>
              <w:left w:val="nil"/>
              <w:right w:val="nil"/>
              <w:insideV w:val="nil"/>
            </w:tcBorders>
          </w:tcPr>
          <w:p>
            <w:pPr>
              <w:spacing w:line="240" w:lineRule="auto" w:before="40" w:after="40"/>
            </w:pPr>
            <w:r/>
            <w:r>
              <w:rPr>
                <w:rFonts w:ascii="Times New Roman" w:hAnsi="Times New Roman"/>
                <w:b/>
                <w:sz w:val="20"/>
              </w:rPr>
              <w:t>Theoretical Anchor</w:t>
            </w:r>
          </w:p>
        </w:tc>
        <w:tc>
          <w:tcPr>
            <w:tcW w:type="dxa" w:w="1872"/>
            <w:tcBorders>
              <w:top w:val="single" w:sz="8"/>
              <w:bottom w:val="single" w:sz="8"/>
              <w:left w:val="nil"/>
              <w:right w:val="nil"/>
              <w:insideV w:val="nil"/>
            </w:tcBorders>
          </w:tcPr>
          <w:p>
            <w:pPr>
              <w:spacing w:line="240" w:lineRule="auto" w:before="40" w:after="40"/>
            </w:pPr>
            <w:r/>
            <w:r>
              <w:rPr>
                <w:rFonts w:ascii="Times New Roman" w:hAnsi="Times New Roman"/>
                <w:b/>
                <w:sz w:val="20"/>
              </w:rPr>
              <w:t>Plain-Language Description</w:t>
            </w:r>
          </w:p>
        </w:tc>
        <w:tc>
          <w:tcPr>
            <w:tcW w:type="dxa" w:w="1872"/>
            <w:tcBorders>
              <w:top w:val="single" w:sz="8"/>
              <w:bottom w:val="single" w:sz="8"/>
              <w:left w:val="nil"/>
              <w:right w:val="nil"/>
              <w:insideV w:val="nil"/>
            </w:tcBorders>
          </w:tcPr>
          <w:p>
            <w:pPr>
              <w:spacing w:line="240" w:lineRule="auto" w:before="40" w:after="40"/>
            </w:pPr>
            <w:r/>
            <w:r>
              <w:rPr>
                <w:rFonts w:ascii="Times New Roman" w:hAnsi="Times New Roman"/>
                <w:b/>
                <w:sz w:val="20"/>
              </w:rPr>
              <w:t>Retention Rationale</w:t>
            </w:r>
          </w:p>
        </w:tc>
      </w:tr>
      <w:tr>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Override Activation Rate</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GCA</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Floridi (2025) bounded autonomy</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How often the AI's built-in rules stop it from bypassing human decisions</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Measures AI vetoing itself; no pre-2023 scale captures this</w:t>
            </w:r>
          </w:p>
        </w:tc>
      </w:tr>
      <w:tr>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Epistemic Alternative Exposure</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DSE</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Chinn et al. (2011); Bucinca et al. (2021)</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Whether the AI broadens or narrows the options the researcher considers</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Chinn's framework requires measuring option-set expansion; no ontologically matched counterpart exists</w:t>
            </w:r>
          </w:p>
        </w:tc>
      </w:tr>
      <w:tr>
        <w:tc>
          <w:tcPr>
            <w:tcW w:type="dxa" w:w="1872"/>
            <w:tcBorders>
              <w:top w:val="nil"/>
              <w:bottom w:val="single" w:sz="8"/>
              <w:left w:val="nil"/>
              <w:right w:val="nil"/>
              <w:insideV w:val="nil"/>
            </w:tcBorders>
          </w:tcPr>
          <w:p>
            <w:pPr>
              <w:spacing w:line="240" w:lineRule="auto" w:before="40" w:after="40"/>
            </w:pPr>
            <w:r/>
            <w:r>
              <w:rPr>
                <w:rFonts w:ascii="Times New Roman" w:hAnsi="Times New Roman"/>
                <w:sz w:val="20"/>
              </w:rPr>
              <w:t>Agent-to-Agent Interdependence (log only)</w:t>
            </w:r>
          </w:p>
        </w:tc>
        <w:tc>
          <w:tcPr>
            <w:tcW w:type="dxa" w:w="1872"/>
            <w:tcBorders>
              <w:top w:val="nil"/>
              <w:bottom w:val="single" w:sz="8"/>
              <w:left w:val="nil"/>
              <w:right w:val="nil"/>
              <w:insideV w:val="nil"/>
            </w:tcBorders>
          </w:tcPr>
          <w:p>
            <w:pPr>
              <w:spacing w:line="240" w:lineRule="auto" w:before="40" w:after="40"/>
            </w:pPr>
            <w:r/>
            <w:r>
              <w:rPr>
                <w:rFonts w:ascii="Times New Roman" w:hAnsi="Times New Roman"/>
                <w:sz w:val="20"/>
              </w:rPr>
              <w:t>CCI (agent-to-agent)</w:t>
            </w:r>
          </w:p>
        </w:tc>
        <w:tc>
          <w:tcPr>
            <w:tcW w:type="dxa" w:w="1872"/>
            <w:tcBorders>
              <w:top w:val="nil"/>
              <w:bottom w:val="single" w:sz="8"/>
              <w:left w:val="nil"/>
              <w:right w:val="nil"/>
              <w:insideV w:val="nil"/>
            </w:tcBorders>
          </w:tcPr>
          <w:p>
            <w:pPr>
              <w:spacing w:line="240" w:lineRule="auto" w:before="40" w:after="40"/>
            </w:pPr>
            <w:r/>
            <w:r>
              <w:rPr>
                <w:rFonts w:ascii="Times New Roman" w:hAnsi="Times New Roman"/>
                <w:sz w:val="20"/>
              </w:rPr>
              <w:t>Malone and Crowston (1994); Thompson (1967)</w:t>
            </w:r>
          </w:p>
        </w:tc>
        <w:tc>
          <w:tcPr>
            <w:tcW w:type="dxa" w:w="1872"/>
            <w:tcBorders>
              <w:top w:val="nil"/>
              <w:bottom w:val="single" w:sz="8"/>
              <w:left w:val="nil"/>
              <w:right w:val="nil"/>
              <w:insideV w:val="nil"/>
            </w:tcBorders>
          </w:tcPr>
          <w:p>
            <w:pPr>
              <w:spacing w:line="240" w:lineRule="auto" w:before="40" w:after="40"/>
            </w:pPr>
            <w:r/>
            <w:r>
              <w:rPr>
                <w:rFonts w:ascii="Times New Roman" w:hAnsi="Times New Roman"/>
                <w:sz w:val="20"/>
              </w:rPr>
              <w:t>How many internal AI agents coordinate to produce a single recommendation</w:t>
            </w:r>
          </w:p>
        </w:tc>
        <w:tc>
          <w:tcPr>
            <w:tcW w:type="dxa" w:w="1872"/>
            <w:tcBorders>
              <w:top w:val="nil"/>
              <w:bottom w:val="single" w:sz="8"/>
              <w:left w:val="nil"/>
              <w:right w:val="nil"/>
              <w:insideV w:val="nil"/>
            </w:tcBorders>
          </w:tcPr>
          <w:p>
            <w:pPr>
              <w:spacing w:line="240" w:lineRule="auto" w:before="40" w:after="40"/>
            </w:pPr>
            <w:r/>
            <w:r>
              <w:rPr>
                <w:rFonts w:ascii="Times New Roman" w:hAnsi="Times New Roman"/>
                <w:sz w:val="20"/>
              </w:rPr>
              <w:t>Log-derived architectural descriptor; no human-team scale applies to LLM-to-LLM coordination</w:t>
            </w:r>
          </w:p>
        </w:tc>
      </w:tr>
    </w:tbl>
    <w:p>
      <w:pPr>
        <w:spacing w:before="120"/>
      </w:pPr>
    </w:p>
    <w:p>
      <w:r>
        <w:rPr>
          <w:rFonts w:ascii="Times New Roman" w:hAnsi="Times New Roman"/>
          <w:b/>
          <w:i w:val="0"/>
          <w:sz w:val="24"/>
        </w:rPr>
        <w:t>Tier 4: Cross-Cutting Controls (Optional)</w:t>
      </w:r>
    </w:p>
    <w:p>
      <w:pPr>
        <w:spacing w:line="240" w:lineRule="auto" w:before="240" w:after="0"/>
      </w:pPr>
      <w:r>
        <w:rPr>
          <w:rFonts w:ascii="Times New Roman" w:hAnsi="Times New Roman"/>
          <w:b/>
          <w:i w:val="0"/>
          <w:sz w:val="24"/>
        </w:rPr>
        <w:t>Table 4</w:t>
      </w:r>
    </w:p>
    <w:p>
      <w:pPr>
        <w:spacing w:line="240" w:lineRule="auto" w:before="0" w:after="120"/>
      </w:pPr>
      <w:r>
        <w:rPr>
          <w:rFonts w:ascii="Times New Roman" w:hAnsi="Times New Roman"/>
          <w:b w:val="0"/>
          <w:i/>
          <w:sz w:val="24"/>
        </w:rPr>
        <w:t>Tier 4: Cross-Cutting Control Scales</w:t>
      </w:r>
    </w:p>
    <w:tbl>
      <w:tblPr>
        <w:tblStyle w:val="TableGrid"/>
        <w:tblW w:type="auto" w:w="0"/>
        <w:jc w:val="center"/>
        <w:tblLook w:firstColumn="1" w:firstRow="1" w:lastColumn="0" w:lastRow="0" w:noHBand="0" w:noVBand="1" w:val="04A0"/>
      </w:tblPr>
      <w:tblGrid>
        <w:gridCol w:w="3120"/>
        <w:gridCol w:w="3120"/>
        <w:gridCol w:w="3120"/>
      </w:tblGrid>
      <w:tr>
        <w:tc>
          <w:tcPr>
            <w:tcW w:type="dxa" w:w="3120"/>
            <w:tcBorders>
              <w:top w:val="single" w:sz="8"/>
              <w:bottom w:val="single" w:sz="8"/>
              <w:left w:val="nil"/>
              <w:right w:val="nil"/>
              <w:insideV w:val="nil"/>
            </w:tcBorders>
          </w:tcPr>
          <w:p>
            <w:pPr>
              <w:spacing w:line="240" w:lineRule="auto" w:before="40" w:after="40"/>
            </w:pPr>
            <w:r/>
            <w:r>
              <w:rPr>
                <w:rFonts w:ascii="Times New Roman" w:hAnsi="Times New Roman"/>
                <w:b/>
                <w:sz w:val="20"/>
              </w:rPr>
              <w:t>Scale</w:t>
            </w:r>
          </w:p>
        </w:tc>
        <w:tc>
          <w:tcPr>
            <w:tcW w:type="dxa" w:w="3120"/>
            <w:tcBorders>
              <w:top w:val="single" w:sz="8"/>
              <w:bottom w:val="single" w:sz="8"/>
              <w:left w:val="nil"/>
              <w:right w:val="nil"/>
              <w:insideV w:val="nil"/>
            </w:tcBorders>
          </w:tcPr>
          <w:p>
            <w:pPr>
              <w:spacing w:line="240" w:lineRule="auto" w:before="40" w:after="40"/>
            </w:pPr>
            <w:r/>
            <w:r>
              <w:rPr>
                <w:rFonts w:ascii="Times New Roman" w:hAnsi="Times New Roman"/>
                <w:b/>
                <w:sz w:val="20"/>
              </w:rPr>
              <w:t>Source</w:t>
            </w:r>
          </w:p>
        </w:tc>
        <w:tc>
          <w:tcPr>
            <w:tcW w:type="dxa" w:w="3120"/>
            <w:tcBorders>
              <w:top w:val="single" w:sz="8"/>
              <w:bottom w:val="single" w:sz="8"/>
              <w:left w:val="nil"/>
              <w:right w:val="nil"/>
              <w:insideV w:val="nil"/>
            </w:tcBorders>
          </w:tcPr>
          <w:p>
            <w:pPr>
              <w:spacing w:line="240" w:lineRule="auto" w:before="40" w:after="40"/>
            </w:pPr>
            <w:r/>
            <w:r>
              <w:rPr>
                <w:rFonts w:ascii="Times New Roman" w:hAnsi="Times New Roman"/>
                <w:b/>
                <w:sz w:val="20"/>
              </w:rPr>
              <w:t>Purpose</w:t>
            </w:r>
          </w:p>
        </w:tc>
      </w:tr>
      <w:tr>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NASA-TLX (6 dimensions)</w:t>
            </w:r>
          </w:p>
        </w:tc>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Hart and Staveland (1988)</w:t>
            </w:r>
          </w:p>
        </w:tc>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Cognitive workload control</w:t>
            </w:r>
          </w:p>
        </w:tc>
      </w:tr>
      <w:tr>
        <w:tc>
          <w:tcPr>
            <w:tcW w:type="dxa" w:w="3120"/>
            <w:tcBorders>
              <w:top w:val="nil"/>
              <w:bottom w:val="single" w:sz="8"/>
              <w:left w:val="nil"/>
              <w:right w:val="nil"/>
              <w:insideV w:val="nil"/>
            </w:tcBorders>
          </w:tcPr>
          <w:p>
            <w:pPr>
              <w:spacing w:line="240" w:lineRule="auto" w:before="40" w:after="40"/>
            </w:pPr>
            <w:r/>
            <w:r>
              <w:rPr>
                <w:rFonts w:ascii="Times New Roman" w:hAnsi="Times New Roman"/>
                <w:sz w:val="20"/>
              </w:rPr>
              <w:t>AI Literacy Scale</w:t>
            </w:r>
          </w:p>
        </w:tc>
        <w:tc>
          <w:tcPr>
            <w:tcW w:type="dxa" w:w="3120"/>
            <w:tcBorders>
              <w:top w:val="nil"/>
              <w:bottom w:val="single" w:sz="8"/>
              <w:left w:val="nil"/>
              <w:right w:val="nil"/>
              <w:insideV w:val="nil"/>
            </w:tcBorders>
          </w:tcPr>
          <w:p>
            <w:pPr>
              <w:spacing w:line="240" w:lineRule="auto" w:before="40" w:after="40"/>
            </w:pPr>
            <w:r/>
            <w:r>
              <w:rPr>
                <w:rFonts w:ascii="Times New Roman" w:hAnsi="Times New Roman"/>
                <w:sz w:val="20"/>
              </w:rPr>
              <w:t>Ng, Leung, Chu, and Qiao (2021)</w:t>
            </w:r>
          </w:p>
        </w:tc>
        <w:tc>
          <w:tcPr>
            <w:tcW w:type="dxa" w:w="3120"/>
            <w:tcBorders>
              <w:top w:val="nil"/>
              <w:bottom w:val="single" w:sz="8"/>
              <w:left w:val="nil"/>
              <w:right w:val="nil"/>
              <w:insideV w:val="nil"/>
            </w:tcBorders>
          </w:tcPr>
          <w:p>
            <w:pPr>
              <w:spacing w:line="240" w:lineRule="auto" w:before="40" w:after="40"/>
            </w:pPr>
            <w:r/>
            <w:r>
              <w:rPr>
                <w:rFonts w:ascii="Times New Roman" w:hAnsi="Times New Roman"/>
                <w:sz w:val="20"/>
              </w:rPr>
              <w:t>Individual difference control</w:t>
            </w:r>
          </w:p>
        </w:tc>
      </w:tr>
    </w:tbl>
    <w:p>
      <w:pPr>
        <w:spacing w:before="120"/>
      </w:pPr>
    </w:p>
    <w:p>
      <w:pPr>
        <w:jc w:val="center"/>
      </w:pPr>
      <w:r>
        <w:rPr>
          <w:rFonts w:ascii="Times New Roman" w:hAnsi="Times New Roman"/>
          <w:b/>
          <w:i w:val="0"/>
          <w:sz w:val="24"/>
        </w:rPr>
        <w:t>Summary of Changes</w:t>
      </w:r>
    </w:p>
    <w:p>
      <w:pPr>
        <w:spacing w:line="240" w:lineRule="auto" w:before="240" w:after="0"/>
      </w:pPr>
      <w:r>
        <w:rPr>
          <w:rFonts w:ascii="Times New Roman" w:hAnsi="Times New Roman"/>
          <w:b/>
          <w:i w:val="0"/>
          <w:sz w:val="24"/>
        </w:rPr>
        <w:t>Table 5</w:t>
      </w:r>
    </w:p>
    <w:p>
      <w:pPr>
        <w:spacing w:line="240" w:lineRule="auto" w:before="0" w:after="120"/>
      </w:pPr>
      <w:r>
        <w:rPr>
          <w:rFonts w:ascii="Times New Roman" w:hAnsi="Times New Roman"/>
          <w:b w:val="0"/>
          <w:i/>
          <w:sz w:val="24"/>
        </w:rPr>
        <w:t>Transition from Invented CMAA Indicators to the Pivoted Measurement Battery</w:t>
      </w:r>
    </w:p>
    <w:tbl>
      <w:tblPr>
        <w:tblStyle w:val="TableGrid"/>
        <w:tblW w:type="auto" w:w="0"/>
        <w:jc w:val="center"/>
        <w:tblLook w:firstColumn="1" w:firstRow="1" w:lastColumn="0" w:lastRow="0" w:noHBand="0" w:noVBand="1" w:val="04A0"/>
      </w:tblPr>
      <w:tblGrid>
        <w:gridCol w:w="3120"/>
        <w:gridCol w:w="3120"/>
        <w:gridCol w:w="3120"/>
      </w:tblGrid>
      <w:tr>
        <w:tc>
          <w:tcPr>
            <w:tcW w:type="dxa" w:w="3120"/>
            <w:tcBorders>
              <w:top w:val="single" w:sz="8"/>
              <w:bottom w:val="single" w:sz="8"/>
              <w:left w:val="nil"/>
              <w:right w:val="nil"/>
              <w:insideV w:val="nil"/>
            </w:tcBorders>
          </w:tcPr>
          <w:p>
            <w:pPr>
              <w:spacing w:line="240" w:lineRule="auto" w:before="40" w:after="40"/>
            </w:pPr>
            <w:r/>
            <w:r>
              <w:rPr>
                <w:rFonts w:ascii="Times New Roman" w:hAnsi="Times New Roman"/>
                <w:b/>
                <w:sz w:val="20"/>
              </w:rPr>
              <w:t>Before (v3)</w:t>
            </w:r>
          </w:p>
        </w:tc>
        <w:tc>
          <w:tcPr>
            <w:tcW w:type="dxa" w:w="3120"/>
            <w:tcBorders>
              <w:top w:val="single" w:sz="8"/>
              <w:bottom w:val="single" w:sz="8"/>
              <w:left w:val="nil"/>
              <w:right w:val="nil"/>
              <w:insideV w:val="nil"/>
            </w:tcBorders>
          </w:tcPr>
          <w:p>
            <w:pPr>
              <w:spacing w:line="240" w:lineRule="auto" w:before="40" w:after="40"/>
            </w:pPr>
            <w:r/>
            <w:r>
              <w:rPr>
                <w:rFonts w:ascii="Times New Roman" w:hAnsi="Times New Roman"/>
                <w:b/>
                <w:sz w:val="20"/>
              </w:rPr>
              <w:t>After (v4)</w:t>
            </w:r>
          </w:p>
        </w:tc>
        <w:tc>
          <w:tcPr>
            <w:tcW w:type="dxa" w:w="3120"/>
            <w:tcBorders>
              <w:top w:val="single" w:sz="8"/>
              <w:bottom w:val="single" w:sz="8"/>
              <w:left w:val="nil"/>
              <w:right w:val="nil"/>
              <w:insideV w:val="nil"/>
            </w:tcBorders>
          </w:tcPr>
          <w:p>
            <w:pPr>
              <w:spacing w:line="240" w:lineRule="auto" w:before="40" w:after="40"/>
            </w:pPr>
            <w:r/>
            <w:r>
              <w:rPr>
                <w:rFonts w:ascii="Times New Roman" w:hAnsi="Times New Roman"/>
                <w:b/>
                <w:sz w:val="20"/>
              </w:rPr>
              <w:t>Status</w:t>
            </w:r>
          </w:p>
        </w:tc>
      </w:tr>
      <w:tr>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PIR (Proactive Intervention Rate)</w:t>
            </w:r>
          </w:p>
        </w:tc>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AI-Initiated Support Frequency (Karabenick + Horvitz)</w:t>
            </w:r>
          </w:p>
        </w:tc>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Replaced</w:t>
            </w:r>
          </w:p>
        </w:tc>
      </w:tr>
      <w:tr>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DSE (Decision Space Expansion)</w:t>
            </w:r>
          </w:p>
        </w:tc>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Epistemic Alternative Exposure (Chinn + Bucinca)</w:t>
            </w:r>
          </w:p>
        </w:tc>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Renamed, retained</w:t>
            </w:r>
          </w:p>
        </w:tc>
      </w:tr>
      <w:tr>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GCA (Governance Constraint Activation)</w:t>
            </w:r>
          </w:p>
        </w:tc>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Override Activation Rate (Floridi)</w:t>
            </w:r>
          </w:p>
        </w:tc>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Renamed, retained</w:t>
            </w:r>
          </w:p>
        </w:tc>
      </w:tr>
      <w:tr>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SUD (State Utilization Depth)</w:t>
            </w:r>
          </w:p>
        </w:tc>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Cross-Session Context Retention (transactive memory)</w:t>
            </w:r>
          </w:p>
        </w:tc>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Replaced</w:t>
            </w:r>
          </w:p>
        </w:tc>
      </w:tr>
      <w:tr>
        <w:tc>
          <w:tcPr>
            <w:tcW w:type="dxa" w:w="3120"/>
            <w:tcBorders>
              <w:top w:val="nil"/>
              <w:bottom w:val="single" w:sz="8"/>
              <w:left w:val="nil"/>
              <w:right w:val="nil"/>
              <w:insideV w:val="nil"/>
            </w:tcBorders>
          </w:tcPr>
          <w:p>
            <w:pPr>
              <w:spacing w:line="240" w:lineRule="auto" w:before="40" w:after="40"/>
            </w:pPr>
            <w:r/>
            <w:r>
              <w:rPr>
                <w:rFonts w:ascii="Times New Roman" w:hAnsi="Times New Roman"/>
                <w:sz w:val="20"/>
              </w:rPr>
              <w:t>CCI (Coordination Complexity Index)</w:t>
            </w:r>
          </w:p>
        </w:tc>
        <w:tc>
          <w:tcPr>
            <w:tcW w:type="dxa" w:w="3120"/>
            <w:tcBorders>
              <w:top w:val="nil"/>
              <w:bottom w:val="single" w:sz="8"/>
              <w:left w:val="nil"/>
              <w:right w:val="nil"/>
              <w:insideV w:val="nil"/>
            </w:tcBorders>
          </w:tcPr>
          <w:p>
            <w:pPr>
              <w:spacing w:line="240" w:lineRule="auto" w:before="40" w:after="40"/>
            </w:pPr>
            <w:r/>
            <w:r>
              <w:rPr>
                <w:rFonts w:ascii="Times New Roman" w:hAnsi="Times New Roman"/>
                <w:sz w:val="20"/>
              </w:rPr>
              <w:t>Human-AI Coregulation Depth (borrowed) + Agent-to-Agent Interdependence (log, retained)</w:t>
            </w:r>
          </w:p>
        </w:tc>
        <w:tc>
          <w:tcPr>
            <w:tcW w:type="dxa" w:w="3120"/>
            <w:tcBorders>
              <w:top w:val="nil"/>
              <w:bottom w:val="single" w:sz="8"/>
              <w:left w:val="nil"/>
              <w:right w:val="nil"/>
              <w:insideV w:val="nil"/>
            </w:tcBorders>
          </w:tcPr>
          <w:p>
            <w:pPr>
              <w:spacing w:line="240" w:lineRule="auto" w:before="40" w:after="40"/>
            </w:pPr>
            <w:r/>
            <w:r>
              <w:rPr>
                <w:rFonts w:ascii="Times New Roman" w:hAnsi="Times New Roman"/>
                <w:sz w:val="20"/>
              </w:rPr>
              <w:t>Split</w:t>
            </w:r>
          </w:p>
        </w:tc>
      </w:tr>
    </w:tbl>
    <w:p>
      <w:pPr>
        <w:spacing w:before="120"/>
      </w:pPr>
    </w:p>
    <w:p>
      <w:pPr>
        <w:ind w:firstLine="720"/>
      </w:pPr>
      <w:r>
        <w:rPr>
          <w:rFonts w:ascii="Times New Roman" w:hAnsi="Times New Roman"/>
          <w:b w:val="0"/>
          <w:i w:val="0"/>
          <w:sz w:val="24"/>
        </w:rPr>
        <w:t>Net change: five invented indicators become two renamed retained indicators, one log-derived architectural metric, and three borrowed validated scales.</w:t>
      </w:r>
    </w:p>
    <w:p>
      <w:r>
        <w:br w:type="page"/>
      </w:r>
    </w:p>
    <w:p>
      <w:pPr>
        <w:jc w:val="center"/>
      </w:pPr>
      <w:r>
        <w:rPr>
          <w:rFonts w:ascii="Times New Roman" w:hAnsi="Times New Roman"/>
          <w:b/>
          <w:i w:val="0"/>
          <w:sz w:val="24"/>
        </w:rPr>
        <w:t>Revised Research Questions</w:t>
      </w:r>
    </w:p>
    <w:p>
      <w:pPr>
        <w:ind w:firstLine="720"/>
      </w:pPr>
      <w:r>
        <w:rPr>
          <w:rFonts w:ascii="Times New Roman" w:hAnsi="Times New Roman"/>
          <w:b w:val="0"/>
          <w:i w:val="0"/>
          <w:sz w:val="24"/>
        </w:rPr>
        <w:t>RQ1: How can a measurement battery composed primarily of established validated scales, adapted and integrated for checkpoint-governed multi-agent AI environments, capture artificial agency effects on educational decision-making that single-scale or single-tier approaches fail to detect?</w:t>
      </w:r>
    </w:p>
    <w:p>
      <w:pPr>
        <w:ind w:firstLine="720"/>
      </w:pPr>
      <w:r>
        <w:rPr>
          <w:rFonts w:ascii="Times New Roman" w:hAnsi="Times New Roman"/>
          <w:b w:val="0"/>
          <w:i w:val="0"/>
          <w:sz w:val="24"/>
        </w:rPr>
        <w:t>RQ2: To what extent does a tiered battery combining HALIE-adapted metrics (Yang et al., 2025), established validated scales for agency, self-efficacy, and epistemic engagement, and a minimal set of checkpoint-architectural indicators reliably distinguish agentic AI participation from standard generative AI assistance in research methodology learning?</w:t>
      </w:r>
    </w:p>
    <w:p>
      <w:pPr>
        <w:ind w:firstLine="720"/>
      </w:pPr>
      <w:r>
        <w:rPr>
          <w:rFonts w:ascii="Times New Roman" w:hAnsi="Times New Roman"/>
          <w:b w:val="0"/>
          <w:i w:val="0"/>
          <w:sz w:val="24"/>
        </w:rPr>
        <w:t>RQ3: How do researchers' typicality trajectories (T-Score selections across sequential checkpoints) evolve under exposure to checkpoint-governed agency, and what process-level patterns distinguish emerging inquirer profiles relative to the strategic-inquirer and exploratory-inquirer archetypes identified by Yang et al. (2025)?</w:t>
      </w:r>
    </w:p>
    <w:p>
      <w:pPr>
        <w:ind w:firstLine="720"/>
      </w:pPr>
      <w:r>
        <w:rPr>
          <w:rFonts w:ascii="Times New Roman" w:hAnsi="Times New Roman"/>
          <w:b w:val="0"/>
          <w:i w:val="0"/>
          <w:sz w:val="24"/>
        </w:rPr>
        <w:t>RQ4 (new): Do the borrowed validated scales and the retained checkpoint-architectural indicators exhibit convergent validity in predicting learning outcomes and decision-quality markers, and where they diverge, what does that divergence reveal about the unique measurement affordances of checkpoint architectures?</w:t>
      </w:r>
    </w:p>
    <w:p>
      <w:pPr>
        <w:jc w:val="center"/>
      </w:pPr>
      <w:r>
        <w:rPr>
          <w:rFonts w:ascii="Times New Roman" w:hAnsi="Times New Roman"/>
          <w:b/>
          <w:i w:val="0"/>
          <w:sz w:val="24"/>
        </w:rPr>
        <w:t>Theoretical Framework Structure</w:t>
      </w:r>
    </w:p>
    <w:p>
      <w:pPr>
        <w:ind w:firstLine="720"/>
      </w:pPr>
      <w:r>
        <w:rPr>
          <w:rFonts w:ascii="Times New Roman" w:hAnsi="Times New Roman"/>
          <w:b w:val="0"/>
          <w:i w:val="0"/>
          <w:sz w:val="24"/>
        </w:rPr>
        <w:t>Paper 2 v4 integrates four analytic levels into a single measurement framework, per Bigman, Briker, and Langer's (2026) call for psychological theory embedding. Five subsections:</w:t>
      </w:r>
    </w:p>
    <w:p>
      <w:pPr>
        <w:ind w:firstLine="720"/>
      </w:pPr>
      <w:r>
        <w:rPr>
          <w:rFonts w:ascii="Times New Roman" w:hAnsi="Times New Roman"/>
          <w:b w:val="0"/>
          <w:i w:val="0"/>
          <w:sz w:val="24"/>
        </w:rPr>
        <w:t>Subsection 1: Artificial Agency as Interactivity, Bounded Autonomy, and Adaptability (Floridi, 2025). Philosophical foundation. Primary anchor for Override Activation Rate.</w:t>
      </w:r>
    </w:p>
    <w:p>
      <w:pPr>
        <w:ind w:firstLine="720"/>
      </w:pPr>
      <w:r>
        <w:rPr>
          <w:rFonts w:ascii="Times New Roman" w:hAnsi="Times New Roman"/>
          <w:b w:val="0"/>
          <w:i w:val="0"/>
          <w:sz w:val="24"/>
        </w:rPr>
        <w:t>Subsection 2: Epistemic Cognition and the Reception of Checkpoint-Mediated Alternatives (Chinn, Buckland, and Samarapungavan, 2011). Primary psychological anchor. Dualist-multiplist-evaluativist schema as moderator of checkpoint uptake. Primary anchor for Epistemic Alternative Exposure.</w:t>
      </w:r>
    </w:p>
    <w:p>
      <w:pPr>
        <w:ind w:firstLine="720"/>
      </w:pPr>
      <w:r>
        <w:rPr>
          <w:rFonts w:ascii="Times New Roman" w:hAnsi="Times New Roman"/>
          <w:b w:val="0"/>
          <w:i w:val="0"/>
          <w:sz w:val="24"/>
        </w:rPr>
        <w:t>Subsection 3: Shared Regulation of Learning and the Redistribution of Regulatory Labour (Jarvela et al., 2023; Hadwin, Jarvela, and Miller, 2018). Secondary psychological anchor. Primary anchor for Human-AI Coregulation Depth.</w:t>
      </w:r>
    </w:p>
    <w:p>
      <w:pPr>
        <w:ind w:firstLine="720"/>
      </w:pPr>
      <w:r>
        <w:rPr>
          <w:rFonts w:ascii="Times New Roman" w:hAnsi="Times New Roman"/>
          <w:b w:val="0"/>
          <w:i w:val="0"/>
          <w:sz w:val="24"/>
        </w:rPr>
        <w:t>Subsection 4: HALIE as a Methodological Bridge (Lee et al., 2023; Yang et al., 2025). Translates constructs into observable traces. Primary anchor for AI-Initiated Support Frequency and Cross-Session Context Retention.</w:t>
      </w:r>
    </w:p>
    <w:p>
      <w:pPr>
        <w:ind w:firstLine="720"/>
      </w:pPr>
      <w:r>
        <w:rPr>
          <w:rFonts w:ascii="Times New Roman" w:hAnsi="Times New Roman"/>
          <w:b w:val="0"/>
          <w:i w:val="0"/>
          <w:sz w:val="24"/>
        </w:rPr>
        <w:t>Subsection 5: Activity-Theoretical Situating (Engestrom, 1987). Sociocultural container. Primary anchor for Agent-to-Agent Interdependence. Paper 3 foregrounds this; Paper 2 references it lightly.</w:t>
      </w:r>
    </w:p>
    <w:p>
      <w:r>
        <w:rPr>
          <w:rFonts w:ascii="Times New Roman" w:hAnsi="Times New Roman"/>
          <w:b/>
          <w:i w:val="0"/>
          <w:sz w:val="24"/>
        </w:rPr>
        <w:t>Integration Paragraph</w:t>
      </w:r>
    </w:p>
    <w:p>
      <w:pPr>
        <w:ind w:left="720" w:right="720" w:firstLine="0"/>
      </w:pPr>
      <w:r>
        <w:rPr>
          <w:rFonts w:ascii="Times New Roman" w:hAnsi="Times New Roman"/>
          <w:b w:val="0"/>
          <w:i w:val="0"/>
          <w:sz w:val="24"/>
        </w:rPr>
        <w:t>Paper 2's theoretical contribution is the vertical integration of four analytic levels into a single measurement framework for artificial agency in education. Floridi (2025) supplies the philosophical warrant; Chinn et al. (2011) supply the psychological mechanism; Jarvela et al. (2023) and Hadwin et al. (2018) supply the sociocognitive account of regulation redistribution; HALIE as extended by Yang et al. (2025) supplies the methodological bridge; and Engestrom (1987) supplies the sociocultural container. This integration directly answers Bigman, Briker, and Langer's (2026) call for human-AI interaction research to be embedded in psychological theory.</w:t>
      </w:r>
    </w:p>
    <w:p>
      <w:pPr>
        <w:jc w:val="center"/>
      </w:pPr>
      <w:r>
        <w:rPr>
          <w:rFonts w:ascii="Times New Roman" w:hAnsi="Times New Roman"/>
          <w:b/>
          <w:i w:val="0"/>
          <w:sz w:val="24"/>
        </w:rPr>
        <w:t>Paper 2 v4 Positioning Statement</w:t>
      </w:r>
    </w:p>
    <w:p>
      <w:pPr>
        <w:ind w:left="720" w:right="720" w:firstLine="0"/>
      </w:pPr>
      <w:r>
        <w:rPr>
          <w:rFonts w:ascii="Times New Roman" w:hAnsi="Times New Roman"/>
          <w:b w:val="0"/>
          <w:i w:val="0"/>
          <w:sz w:val="24"/>
        </w:rPr>
        <w:t>We integrate validated instruments from self-regulated learning, epistemic cognition, distributed cognition, and collaborative regulation traditions with two architectural indicators (Override Activation Rate, Epistemic Alternative Exposure) that measure phenomena with no established counterpart in pre-agentic AI literature. The resulting three-tier measurement battery is the first designed specifically for checkpoint-governed multi-agent AI in educational contexts and directly responds to Bigman, Briker, and Langer's (2026) call for human-AI interaction research to be embedded in psychological theory.</w:t>
      </w:r>
    </w:p>
    <w:p>
      <w:r>
        <w:br w:type="page"/>
      </w:r>
    </w:p>
    <w:p>
      <w:pPr>
        <w:jc w:val="center"/>
      </w:pPr>
      <w:r>
        <w:rPr>
          <w:rFonts w:ascii="Times New Roman" w:hAnsi="Times New Roman"/>
          <w:b/>
          <w:i w:val="0"/>
          <w:sz w:val="24"/>
        </w:rPr>
        <w:t>Opening Scenario for Paper 2 v4 Introduction</w:t>
      </w:r>
    </w:p>
    <w:p>
      <w:pPr>
        <w:ind w:firstLine="720"/>
      </w:pPr>
      <w:r>
        <w:rPr>
          <w:rFonts w:ascii="Times New Roman" w:hAnsi="Times New Roman"/>
          <w:b w:val="0"/>
          <w:i w:val="0"/>
          <w:sz w:val="24"/>
        </w:rPr>
        <w:t>A second-year doctoral student in an instructional design program opens a multi-agent AI platform to help her plan a mixed-methods dissertation study on undergraduate help-seeking behavior. Within four minutes, the system has drafted a literature review outline, proposed three research questions, and recommended a survey instrument adapted from prior BJET publications. She accepts the suggestions and moves on. Two weeks later, her advisor asks how she chose that particular instrument over the alternatives, why the research questions are framed in that direction rather than another, and whether the AI recommended a design that matched her epistemological commitments or simply the one it had most frequently generated before. She cannot answer any of these questions, because she never saw them as questions; the AI moved through those decisions faster than deliberation could catch them. This scenario is not a cautionary tale about AI overreach; it is a description of the current state of agentic AI in educational research contexts. The measurement battery proposed in this paper was developed to give researchers, instructors, and tool designers a structured method for answering exactly the question her advisor posed: at each decision point in an AI-assisted workflow, who held agency, on what basis, and to what effect?</w:t>
      </w:r>
    </w:p>
    <w:p>
      <w:pPr>
        <w:jc w:val="center"/>
      </w:pPr>
      <w:r>
        <w:rPr>
          <w:rFonts w:ascii="Times New Roman" w:hAnsi="Times New Roman"/>
          <w:b/>
          <w:i w:val="0"/>
          <w:sz w:val="24"/>
        </w:rPr>
        <w:t>What Each Measure Tells a BJET Reader</w:t>
      </w:r>
    </w:p>
    <w:p>
      <w:pPr>
        <w:spacing w:line="240" w:lineRule="auto" w:before="240" w:after="0"/>
      </w:pPr>
      <w:r>
        <w:rPr>
          <w:rFonts w:ascii="Times New Roman" w:hAnsi="Times New Roman"/>
          <w:b/>
          <w:i w:val="0"/>
          <w:sz w:val="24"/>
        </w:rPr>
        <w:t>Table 6</w:t>
      </w:r>
    </w:p>
    <w:p>
      <w:pPr>
        <w:spacing w:line="240" w:lineRule="auto" w:before="0" w:after="120"/>
      </w:pPr>
      <w:r>
        <w:rPr>
          <w:rFonts w:ascii="Times New Roman" w:hAnsi="Times New Roman"/>
          <w:b w:val="0"/>
          <w:i/>
          <w:sz w:val="24"/>
        </w:rPr>
        <w:t>Practical Value of Each Measure for Educational Stakeholders</w:t>
      </w:r>
    </w:p>
    <w:tbl>
      <w:tblPr>
        <w:tblStyle w:val="TableGrid"/>
        <w:tblW w:type="auto" w:w="0"/>
        <w:jc w:val="center"/>
        <w:tblLook w:firstColumn="1" w:firstRow="1" w:lastColumn="0" w:lastRow="0" w:noHBand="0" w:noVBand="1" w:val="04A0"/>
      </w:tblPr>
      <w:tblGrid>
        <w:gridCol w:w="3120"/>
        <w:gridCol w:w="3120"/>
        <w:gridCol w:w="3120"/>
      </w:tblGrid>
      <w:tr>
        <w:tc>
          <w:tcPr>
            <w:tcW w:type="dxa" w:w="3120"/>
            <w:tcBorders>
              <w:top w:val="single" w:sz="8"/>
              <w:bottom w:val="single" w:sz="8"/>
              <w:left w:val="nil"/>
              <w:right w:val="nil"/>
              <w:insideV w:val="nil"/>
            </w:tcBorders>
          </w:tcPr>
          <w:p>
            <w:pPr>
              <w:spacing w:line="240" w:lineRule="auto" w:before="40" w:after="40"/>
            </w:pPr>
            <w:r/>
            <w:r>
              <w:rPr>
                <w:rFonts w:ascii="Times New Roman" w:hAnsi="Times New Roman"/>
                <w:b/>
                <w:sz w:val="20"/>
              </w:rPr>
              <w:t>Measure</w:t>
            </w:r>
          </w:p>
        </w:tc>
        <w:tc>
          <w:tcPr>
            <w:tcW w:type="dxa" w:w="3120"/>
            <w:tcBorders>
              <w:top w:val="single" w:sz="8"/>
              <w:bottom w:val="single" w:sz="8"/>
              <w:left w:val="nil"/>
              <w:right w:val="nil"/>
              <w:insideV w:val="nil"/>
            </w:tcBorders>
          </w:tcPr>
          <w:p>
            <w:pPr>
              <w:spacing w:line="240" w:lineRule="auto" w:before="40" w:after="40"/>
            </w:pPr>
            <w:r/>
            <w:r>
              <w:rPr>
                <w:rFonts w:ascii="Times New Roman" w:hAnsi="Times New Roman"/>
                <w:b/>
                <w:sz w:val="20"/>
              </w:rPr>
              <w:t>What It Reveals</w:t>
            </w:r>
          </w:p>
        </w:tc>
        <w:tc>
          <w:tcPr>
            <w:tcW w:type="dxa" w:w="3120"/>
            <w:tcBorders>
              <w:top w:val="single" w:sz="8"/>
              <w:bottom w:val="single" w:sz="8"/>
              <w:left w:val="nil"/>
              <w:right w:val="nil"/>
              <w:insideV w:val="nil"/>
            </w:tcBorders>
          </w:tcPr>
          <w:p>
            <w:pPr>
              <w:spacing w:line="240" w:lineRule="auto" w:before="40" w:after="40"/>
            </w:pPr>
            <w:r/>
            <w:r>
              <w:rPr>
                <w:rFonts w:ascii="Times New Roman" w:hAnsi="Times New Roman"/>
                <w:b/>
                <w:sz w:val="20"/>
              </w:rPr>
              <w:t>Decision It Supports</w:t>
            </w:r>
          </w:p>
        </w:tc>
      </w:tr>
      <w:tr>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AI-Initiated Support Frequency</w:t>
            </w:r>
          </w:p>
        </w:tc>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How often the AI acted without being asked; whether the tool augments or substitutes for judgment</w:t>
            </w:r>
          </w:p>
        </w:tc>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Instructor: set policies for acceptable unsolicited AI action</w:t>
            </w:r>
          </w:p>
        </w:tc>
      </w:tr>
      <w:tr>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Epistemic Alternative Exposure</w:t>
            </w:r>
          </w:p>
        </w:tc>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Whether the AI broadens options or narrows toward the most common answer</w:t>
            </w:r>
          </w:p>
        </w:tc>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Curriculum designer: select tools that preserve deliberate choice-making</w:t>
            </w:r>
          </w:p>
        </w:tc>
      </w:tr>
      <w:tr>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Override Activation Rate</w:t>
            </w:r>
          </w:p>
        </w:tc>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How often built-in guardrails triggered; whether the AI encountered contested territory</w:t>
            </w:r>
          </w:p>
        </w:tc>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Program director: identify where AI constraints conflict with disciplinary norms</w:t>
            </w:r>
          </w:p>
        </w:tc>
      </w:tr>
      <w:tr>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Cross-Session Context Retention</w:t>
            </w:r>
          </w:p>
        </w:tc>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Whether the AI uses the context the student provided or produces generic responses</w:t>
            </w:r>
          </w:p>
        </w:tc>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Methods instructor: evaluate whether the tool personalizes guidance</w:t>
            </w:r>
          </w:p>
        </w:tc>
      </w:tr>
      <w:tr>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Human-AI Coregulation Depth</w:t>
            </w:r>
          </w:p>
        </w:tc>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How deeply the human and AI share regulatory work</w:t>
            </w:r>
          </w:p>
        </w:tc>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Researcher: compare collaborative AI designs for regulation redistribution</w:t>
            </w:r>
          </w:p>
        </w:tc>
      </w:tr>
      <w:tr>
        <w:tc>
          <w:tcPr>
            <w:tcW w:type="dxa" w:w="3120"/>
            <w:tcBorders>
              <w:top w:val="nil"/>
              <w:bottom w:val="single" w:sz="8"/>
              <w:left w:val="nil"/>
              <w:right w:val="nil"/>
              <w:insideV w:val="nil"/>
            </w:tcBorders>
          </w:tcPr>
          <w:p>
            <w:pPr>
              <w:spacing w:line="240" w:lineRule="auto" w:before="40" w:after="40"/>
            </w:pPr>
            <w:r/>
            <w:r>
              <w:rPr>
                <w:rFonts w:ascii="Times New Roman" w:hAnsi="Times New Roman"/>
                <w:sz w:val="20"/>
              </w:rPr>
              <w:t>Agent-to-Agent Interdependence</w:t>
            </w:r>
          </w:p>
        </w:tc>
        <w:tc>
          <w:tcPr>
            <w:tcW w:type="dxa" w:w="3120"/>
            <w:tcBorders>
              <w:top w:val="nil"/>
              <w:bottom w:val="single" w:sz="8"/>
              <w:left w:val="nil"/>
              <w:right w:val="nil"/>
              <w:insideV w:val="nil"/>
            </w:tcBorders>
          </w:tcPr>
          <w:p>
            <w:pPr>
              <w:spacing w:line="240" w:lineRule="auto" w:before="40" w:after="40"/>
            </w:pPr>
            <w:r/>
            <w:r>
              <w:rPr>
                <w:rFonts w:ascii="Times New Roman" w:hAnsi="Times New Roman"/>
                <w:sz w:val="20"/>
              </w:rPr>
              <w:t>Whether agents coordinate or conflict internally</w:t>
            </w:r>
          </w:p>
        </w:tc>
        <w:tc>
          <w:tcPr>
            <w:tcW w:type="dxa" w:w="3120"/>
            <w:tcBorders>
              <w:top w:val="nil"/>
              <w:bottom w:val="single" w:sz="8"/>
              <w:left w:val="nil"/>
              <w:right w:val="nil"/>
              <w:insideV w:val="nil"/>
            </w:tcBorders>
          </w:tcPr>
          <w:p>
            <w:pPr>
              <w:spacing w:line="240" w:lineRule="auto" w:before="40" w:after="40"/>
            </w:pPr>
            <w:r/>
            <w:r>
              <w:rPr>
                <w:rFonts w:ascii="Times New Roman" w:hAnsi="Times New Roman"/>
                <w:sz w:val="20"/>
              </w:rPr>
              <w:t>Technology director: compare multi-agent platforms for coherence</w:t>
            </w:r>
          </w:p>
        </w:tc>
      </w:tr>
    </w:tbl>
    <w:p>
      <w:pPr>
        <w:spacing w:before="120"/>
      </w:pPr>
    </w:p>
    <w:p>
      <w:pPr>
        <w:jc w:val="center"/>
      </w:pPr>
      <w:r>
        <w:rPr>
          <w:rFonts w:ascii="Times New Roman" w:hAnsi="Times New Roman"/>
          <w:b/>
          <w:i w:val="0"/>
          <w:sz w:val="24"/>
        </w:rPr>
        <w:t>Implications for Educational Practice</w:t>
      </w:r>
    </w:p>
    <w:p>
      <w:pPr>
        <w:ind w:left="720" w:hanging="360"/>
      </w:pPr>
      <w:r>
        <w:rPr>
          <w:rFonts w:ascii="Times New Roman" w:hAnsi="Times New Roman"/>
          <w:b w:val="0"/>
          <w:i w:val="0"/>
          <w:sz w:val="24"/>
        </w:rPr>
        <w:t>•  For doctoral methods instructors: use AI-Initiated Support Frequency benchmarks to establish transparent policies on AI involvement at each dissertation design stage.</w:t>
      </w:r>
    </w:p>
    <w:p>
      <w:pPr>
        <w:ind w:left="720" w:hanging="360"/>
      </w:pPr>
      <w:r>
        <w:rPr>
          <w:rFonts w:ascii="Times New Roman" w:hAnsi="Times New Roman"/>
          <w:b w:val="0"/>
          <w:i w:val="0"/>
          <w:sz w:val="24"/>
        </w:rPr>
        <w:t>•  For instructional designers: use Epistemic Alternative Exposure scores to select AI tools that expand rather than narrow student options.</w:t>
      </w:r>
    </w:p>
    <w:p>
      <w:pPr>
        <w:ind w:left="720" w:hanging="360"/>
      </w:pPr>
      <w:r>
        <w:rPr>
          <w:rFonts w:ascii="Times New Roman" w:hAnsi="Times New Roman"/>
          <w:b w:val="0"/>
          <w:i w:val="0"/>
          <w:sz w:val="24"/>
        </w:rPr>
        <w:t>•  For AI tool designers: use Override Activation Rate logs to identify task types where governance constraints need revision to accommodate disciplinary variation.</w:t>
      </w:r>
    </w:p>
    <w:p>
      <w:pPr>
        <w:ind w:left="720" w:hanging="360"/>
      </w:pPr>
      <w:r>
        <w:rPr>
          <w:rFonts w:ascii="Times New Roman" w:hAnsi="Times New Roman"/>
          <w:b w:val="0"/>
          <w:i w:val="0"/>
          <w:sz w:val="24"/>
        </w:rPr>
        <w:t>•  For faculty coordinators assessing equity: use Cross-Session Context Retention across student subgroups to detect personalization failures.</w:t>
      </w:r>
    </w:p>
    <w:p>
      <w:pPr>
        <w:ind w:left="720" w:hanging="360"/>
      </w:pPr>
      <w:r>
        <w:rPr>
          <w:rFonts w:ascii="Times New Roman" w:hAnsi="Times New Roman"/>
          <w:b w:val="0"/>
          <w:i w:val="0"/>
          <w:sz w:val="24"/>
        </w:rPr>
        <w:t>•  For educational technology researchers: use Human-AI Coregulation Depth and Agent-to-Agent Interdependence in comparative studies across settings, including under-resourced Global South contexts.</w:t>
      </w:r>
    </w:p>
    <w:p>
      <w:r>
        <w:br w:type="page"/>
      </w:r>
    </w:p>
    <w:p>
      <w:pPr>
        <w:jc w:val="center"/>
      </w:pPr>
      <w:r>
        <w:rPr>
          <w:rFonts w:ascii="Times New Roman" w:hAnsi="Times New Roman"/>
          <w:b/>
          <w:i w:val="0"/>
          <w:sz w:val="24"/>
        </w:rPr>
        <w:t>Comparison Table: Prior Empirical Studies</w:t>
      </w:r>
    </w:p>
    <w:p>
      <w:pPr>
        <w:spacing w:line="240" w:lineRule="auto" w:before="240" w:after="0"/>
      </w:pPr>
      <w:r>
        <w:rPr>
          <w:rFonts w:ascii="Times New Roman" w:hAnsi="Times New Roman"/>
          <w:b/>
          <w:i w:val="0"/>
          <w:sz w:val="24"/>
        </w:rPr>
        <w:t>Table 7</w:t>
      </w:r>
    </w:p>
    <w:p>
      <w:pPr>
        <w:spacing w:line="240" w:lineRule="auto" w:before="0" w:after="120"/>
      </w:pPr>
      <w:r>
        <w:rPr>
          <w:rFonts w:ascii="Times New Roman" w:hAnsi="Times New Roman"/>
          <w:b w:val="0"/>
          <w:i/>
          <w:sz w:val="24"/>
        </w:rPr>
        <w:t>Prior Approaches to Measuring AI Agency or Human-AI Interaction Performance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8"/>
              <w:bottom w:val="single" w:sz="8"/>
              <w:left w:val="nil"/>
              <w:right w:val="nil"/>
              <w:insideV w:val="nil"/>
            </w:tcBorders>
          </w:tcPr>
          <w:p>
            <w:pPr>
              <w:spacing w:line="240" w:lineRule="auto" w:before="40" w:after="40"/>
            </w:pPr>
            <w:r/>
            <w:r>
              <w:rPr>
                <w:rFonts w:ascii="Times New Roman" w:hAnsi="Times New Roman"/>
                <w:b/>
                <w:sz w:val="20"/>
              </w:rPr>
              <w:t>Study</w:t>
            </w:r>
          </w:p>
        </w:tc>
        <w:tc>
          <w:tcPr>
            <w:tcW w:type="dxa" w:w="1872"/>
            <w:tcBorders>
              <w:top w:val="single" w:sz="8"/>
              <w:bottom w:val="single" w:sz="8"/>
              <w:left w:val="nil"/>
              <w:right w:val="nil"/>
              <w:insideV w:val="nil"/>
            </w:tcBorders>
          </w:tcPr>
          <w:p>
            <w:pPr>
              <w:spacing w:line="240" w:lineRule="auto" w:before="40" w:after="40"/>
            </w:pPr>
            <w:r/>
            <w:r>
              <w:rPr>
                <w:rFonts w:ascii="Times New Roman" w:hAnsi="Times New Roman"/>
                <w:b/>
                <w:sz w:val="20"/>
              </w:rPr>
              <w:t>Construct</w:t>
            </w:r>
          </w:p>
        </w:tc>
        <w:tc>
          <w:tcPr>
            <w:tcW w:type="dxa" w:w="1872"/>
            <w:tcBorders>
              <w:top w:val="single" w:sz="8"/>
              <w:bottom w:val="single" w:sz="8"/>
              <w:left w:val="nil"/>
              <w:right w:val="nil"/>
              <w:insideV w:val="nil"/>
            </w:tcBorders>
          </w:tcPr>
          <w:p>
            <w:pPr>
              <w:spacing w:line="240" w:lineRule="auto" w:before="40" w:after="40"/>
            </w:pPr>
            <w:r/>
            <w:r>
              <w:rPr>
                <w:rFonts w:ascii="Times New Roman" w:hAnsi="Times New Roman"/>
                <w:b/>
                <w:sz w:val="20"/>
              </w:rPr>
              <w:t>Instrument Type</w:t>
            </w:r>
          </w:p>
        </w:tc>
        <w:tc>
          <w:tcPr>
            <w:tcW w:type="dxa" w:w="1872"/>
            <w:tcBorders>
              <w:top w:val="single" w:sz="8"/>
              <w:bottom w:val="single" w:sz="8"/>
              <w:left w:val="nil"/>
              <w:right w:val="nil"/>
              <w:insideV w:val="nil"/>
            </w:tcBorders>
          </w:tcPr>
          <w:p>
            <w:pPr>
              <w:spacing w:line="240" w:lineRule="auto" w:before="40" w:after="40"/>
            </w:pPr>
            <w:r/>
            <w:r>
              <w:rPr>
                <w:rFonts w:ascii="Times New Roman" w:hAnsi="Times New Roman"/>
                <w:b/>
                <w:sz w:val="20"/>
              </w:rPr>
              <w:t>Evidence Type</w:t>
            </w:r>
          </w:p>
        </w:tc>
        <w:tc>
          <w:tcPr>
            <w:tcW w:type="dxa" w:w="1872"/>
            <w:tcBorders>
              <w:top w:val="single" w:sz="8"/>
              <w:bottom w:val="single" w:sz="8"/>
              <w:left w:val="nil"/>
              <w:right w:val="nil"/>
              <w:insideV w:val="nil"/>
            </w:tcBorders>
          </w:tcPr>
          <w:p>
            <w:pPr>
              <w:spacing w:line="240" w:lineRule="auto" w:before="40" w:after="40"/>
            </w:pPr>
            <w:r/>
            <w:r>
              <w:rPr>
                <w:rFonts w:ascii="Times New Roman" w:hAnsi="Times New Roman"/>
                <w:b/>
                <w:sz w:val="20"/>
              </w:rPr>
              <w:t>Gap Our Battery Addresses</w:t>
            </w:r>
          </w:p>
        </w:tc>
      </w:tr>
      <w:tr>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Yang et al. (2025) BJET</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ChatGPT interaction</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DoK rubric, relevance, self-efficacy, engagement</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Mixed</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No checkpoint-specific measures</w:t>
            </w:r>
          </w:p>
        </w:tc>
      </w:tr>
      <w:tr>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Fragiadakis et al. (2024)</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HAIC framework</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Decision-tree metric selection</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Meta-methodological</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No education operationalization</w:t>
            </w:r>
          </w:p>
        </w:tc>
      </w:tr>
      <w:tr>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Edwards et al. (2025) BJET</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Agent initiative in learning</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Lexical metric + PMQ + interview</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Mixed</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Not at architectural checkpoint level</w:t>
            </w:r>
          </w:p>
        </w:tc>
      </w:tr>
      <w:tr>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Shang et al. (2024)</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Affective/cognitive AI trust</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27-item semantic differential</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Self-report</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Governance activation not measured</w:t>
            </w:r>
          </w:p>
        </w:tc>
      </w:tr>
      <w:tr>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Dang et al. (2025) BJET</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Cognitive + socio-emotional HAIC</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Behavioral coding + self-report</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Mixed</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No checkpoint-mediated regulation</w:t>
            </w:r>
          </w:p>
        </w:tc>
      </w:tr>
      <w:tr>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Cihon et al. (2025)</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Structural autonomy</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Code inspection rubric</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Code review</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Not applied to education</w:t>
            </w:r>
          </w:p>
        </w:tc>
      </w:tr>
      <w:tr>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Jafari Meimandi et al. (2025)</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Evaluation coverage imbalance</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Systematic review coding</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Review</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Identifies gap Tier 3 fills</w:t>
            </w:r>
          </w:p>
        </w:tc>
      </w:tr>
      <w:tr>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Zhang et al. (2024) CHI EA</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Researcher-AI coordination</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Think-aloud + behavioral log</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Qualitative</w:t>
            </w:r>
          </w:p>
        </w:tc>
        <w:tc>
          <w:tcPr>
            <w:tcW w:type="dxa" w:w="1872"/>
            <w:tcBorders>
              <w:top w:val="nil"/>
              <w:bottom w:val="nil"/>
              <w:left w:val="nil"/>
              <w:right w:val="nil"/>
              <w:insideV w:val="nil"/>
            </w:tcBorders>
          </w:tcPr>
          <w:p>
            <w:pPr>
              <w:spacing w:line="240" w:lineRule="auto" w:before="40" w:after="40"/>
            </w:pPr>
            <w:r/>
            <w:r>
              <w:rPr>
                <w:rFonts w:ascii="Times New Roman" w:hAnsi="Times New Roman"/>
                <w:sz w:val="20"/>
              </w:rPr>
              <w:t>No defined checkpoints</w:t>
            </w:r>
          </w:p>
        </w:tc>
      </w:tr>
      <w:tr>
        <w:tc>
          <w:tcPr>
            <w:tcW w:type="dxa" w:w="1872"/>
            <w:tcBorders>
              <w:top w:val="nil"/>
              <w:bottom w:val="single" w:sz="8"/>
              <w:left w:val="nil"/>
              <w:right w:val="nil"/>
              <w:insideV w:val="nil"/>
            </w:tcBorders>
          </w:tcPr>
          <w:p>
            <w:pPr>
              <w:spacing w:line="240" w:lineRule="auto" w:before="40" w:after="40"/>
            </w:pPr>
            <w:r/>
            <w:r>
              <w:rPr>
                <w:rFonts w:ascii="Times New Roman" w:hAnsi="Times New Roman"/>
                <w:sz w:val="20"/>
              </w:rPr>
              <w:t>Present study</w:t>
            </w:r>
          </w:p>
        </w:tc>
        <w:tc>
          <w:tcPr>
            <w:tcW w:type="dxa" w:w="1872"/>
            <w:tcBorders>
              <w:top w:val="nil"/>
              <w:bottom w:val="single" w:sz="8"/>
              <w:left w:val="nil"/>
              <w:right w:val="nil"/>
              <w:insideV w:val="nil"/>
            </w:tcBorders>
          </w:tcPr>
          <w:p>
            <w:pPr>
              <w:spacing w:line="240" w:lineRule="auto" w:before="40" w:after="40"/>
            </w:pPr>
            <w:r/>
            <w:r>
              <w:rPr>
                <w:rFonts w:ascii="Times New Roman" w:hAnsi="Times New Roman"/>
                <w:sz w:val="20"/>
              </w:rPr>
              <w:t>Checkpoint-governed agency</w:t>
            </w:r>
          </w:p>
        </w:tc>
        <w:tc>
          <w:tcPr>
            <w:tcW w:type="dxa" w:w="1872"/>
            <w:tcBorders>
              <w:top w:val="nil"/>
              <w:bottom w:val="single" w:sz="8"/>
              <w:left w:val="nil"/>
              <w:right w:val="nil"/>
              <w:insideV w:val="nil"/>
            </w:tcBorders>
          </w:tcPr>
          <w:p>
            <w:pPr>
              <w:spacing w:line="240" w:lineRule="auto" w:before="40" w:after="40"/>
            </w:pPr>
            <w:r/>
            <w:r>
              <w:rPr>
                <w:rFonts w:ascii="Times New Roman" w:hAnsi="Times New Roman"/>
                <w:sz w:val="20"/>
              </w:rPr>
              <w:t>3-tier battery</w:t>
            </w:r>
          </w:p>
        </w:tc>
        <w:tc>
          <w:tcPr>
            <w:tcW w:type="dxa" w:w="1872"/>
            <w:tcBorders>
              <w:top w:val="nil"/>
              <w:bottom w:val="single" w:sz="8"/>
              <w:left w:val="nil"/>
              <w:right w:val="nil"/>
              <w:insideV w:val="nil"/>
            </w:tcBorders>
          </w:tcPr>
          <w:p>
            <w:pPr>
              <w:spacing w:line="240" w:lineRule="auto" w:before="40" w:after="40"/>
            </w:pPr>
            <w:r/>
            <w:r>
              <w:rPr>
                <w:rFonts w:ascii="Times New Roman" w:hAnsi="Times New Roman"/>
                <w:sz w:val="20"/>
              </w:rPr>
              <w:t>Mixed</w:t>
            </w:r>
          </w:p>
        </w:tc>
        <w:tc>
          <w:tcPr>
            <w:tcW w:type="dxa" w:w="1872"/>
            <w:tcBorders>
              <w:top w:val="nil"/>
              <w:bottom w:val="single" w:sz="8"/>
              <w:left w:val="nil"/>
              <w:right w:val="nil"/>
              <w:insideV w:val="nil"/>
            </w:tcBorders>
          </w:tcPr>
          <w:p>
            <w:pPr>
              <w:spacing w:line="240" w:lineRule="auto" w:before="40" w:after="40"/>
            </w:pPr>
            <w:r/>
            <w:r>
              <w:rPr>
                <w:rFonts w:ascii="Times New Roman" w:hAnsi="Times New Roman"/>
                <w:sz w:val="20"/>
              </w:rPr>
              <w:t>First battery for agentic AI in education</w:t>
            </w:r>
          </w:p>
        </w:tc>
      </w:tr>
    </w:tbl>
    <w:p>
      <w:pPr>
        <w:spacing w:before="120"/>
      </w:pPr>
    </w:p>
    <w:p>
      <w:pPr>
        <w:jc w:val="center"/>
      </w:pPr>
      <w:r>
        <w:rPr>
          <w:rFonts w:ascii="Times New Roman" w:hAnsi="Times New Roman"/>
          <w:b/>
          <w:i w:val="0"/>
          <w:sz w:val="24"/>
        </w:rPr>
        <w:t>Paper 1 Feedback (Separate Workstream)</w:t>
      </w:r>
    </w:p>
    <w:p>
      <w:pPr>
        <w:ind w:firstLine="720"/>
      </w:pPr>
      <w:r>
        <w:rPr>
          <w:rFonts w:ascii="Times New Roman" w:hAnsi="Times New Roman"/>
          <w:b w:val="0"/>
          <w:i w:val="0"/>
          <w:sz w:val="24"/>
        </w:rPr>
        <w:t>The Principal Investigator also noted that Paper 1 (Design Case for IJDL) documents design cycles and iterative modifications but needs a robust explanation of why each design choice was made. Each of the five design cycles must contain: (a) the trigger problem that prompted the cycle, (b) alternatives considered including rejected ones, (c) grounds for selection, and (d) the success criterion defined at the time of the decision.</w:t>
      </w:r>
    </w:p>
    <w:p>
      <w:r>
        <w:br w:type="page"/>
      </w:r>
    </w:p>
    <w:p>
      <w:pPr>
        <w:jc w:val="center"/>
      </w:pPr>
      <w:r>
        <w:rPr>
          <w:rFonts w:ascii="Times New Roman" w:hAnsi="Times New Roman"/>
          <w:b/>
          <w:i w:val="0"/>
          <w:sz w:val="24"/>
        </w:rPr>
        <w:t>Next Steps</w:t>
      </w:r>
    </w:p>
    <w:p>
      <w:pPr>
        <w:spacing w:line="240" w:lineRule="auto" w:before="240" w:after="0"/>
      </w:pPr>
      <w:r>
        <w:rPr>
          <w:rFonts w:ascii="Times New Roman" w:hAnsi="Times New Roman"/>
          <w:b/>
          <w:i w:val="0"/>
          <w:sz w:val="24"/>
        </w:rPr>
        <w:t>Table 8</w:t>
      </w:r>
    </w:p>
    <w:p>
      <w:pPr>
        <w:spacing w:line="240" w:lineRule="auto" w:before="0" w:after="120"/>
      </w:pPr>
      <w:r>
        <w:rPr>
          <w:rFonts w:ascii="Times New Roman" w:hAnsi="Times New Roman"/>
          <w:b w:val="0"/>
          <w:i/>
          <w:sz w:val="24"/>
        </w:rPr>
        <w:t>Action Items and Timeline</w:t>
      </w:r>
    </w:p>
    <w:tbl>
      <w:tblPr>
        <w:tblStyle w:val="TableGrid"/>
        <w:tblW w:type="auto" w:w="0"/>
        <w:jc w:val="center"/>
        <w:tblLook w:firstColumn="1" w:firstRow="1" w:lastColumn="0" w:lastRow="0" w:noHBand="0" w:noVBand="1" w:val="04A0"/>
      </w:tblPr>
      <w:tblGrid>
        <w:gridCol w:w="3120"/>
        <w:gridCol w:w="3120"/>
        <w:gridCol w:w="3120"/>
      </w:tblGrid>
      <w:tr>
        <w:tc>
          <w:tcPr>
            <w:tcW w:type="dxa" w:w="3120"/>
            <w:tcBorders>
              <w:top w:val="single" w:sz="8"/>
              <w:bottom w:val="single" w:sz="8"/>
              <w:left w:val="nil"/>
              <w:right w:val="nil"/>
              <w:insideV w:val="nil"/>
            </w:tcBorders>
          </w:tcPr>
          <w:p>
            <w:pPr>
              <w:spacing w:line="240" w:lineRule="auto" w:before="40" w:after="40"/>
            </w:pPr>
            <w:r/>
            <w:r>
              <w:rPr>
                <w:rFonts w:ascii="Times New Roman" w:hAnsi="Times New Roman"/>
                <w:b/>
                <w:sz w:val="20"/>
              </w:rPr>
              <w:t>Action</w:t>
            </w:r>
          </w:p>
        </w:tc>
        <w:tc>
          <w:tcPr>
            <w:tcW w:type="dxa" w:w="3120"/>
            <w:tcBorders>
              <w:top w:val="single" w:sz="8"/>
              <w:bottom w:val="single" w:sz="8"/>
              <w:left w:val="nil"/>
              <w:right w:val="nil"/>
              <w:insideV w:val="nil"/>
            </w:tcBorders>
          </w:tcPr>
          <w:p>
            <w:pPr>
              <w:spacing w:line="240" w:lineRule="auto" w:before="40" w:after="40"/>
            </w:pPr>
            <w:r/>
            <w:r>
              <w:rPr>
                <w:rFonts w:ascii="Times New Roman" w:hAnsi="Times New Roman"/>
                <w:b/>
                <w:sz w:val="20"/>
              </w:rPr>
              <w:t>Owner</w:t>
            </w:r>
          </w:p>
        </w:tc>
        <w:tc>
          <w:tcPr>
            <w:tcW w:type="dxa" w:w="3120"/>
            <w:tcBorders>
              <w:top w:val="single" w:sz="8"/>
              <w:bottom w:val="single" w:sz="8"/>
              <w:left w:val="nil"/>
              <w:right w:val="nil"/>
              <w:insideV w:val="nil"/>
            </w:tcBorders>
          </w:tcPr>
          <w:p>
            <w:pPr>
              <w:spacing w:line="240" w:lineRule="auto" w:before="40" w:after="40"/>
            </w:pPr>
            <w:r/>
            <w:r>
              <w:rPr>
                <w:rFonts w:ascii="Times New Roman" w:hAnsi="Times New Roman"/>
                <w:b/>
                <w:sz w:val="20"/>
              </w:rPr>
              <w:t>Target</w:t>
            </w:r>
          </w:p>
        </w:tc>
      </w:tr>
      <w:tr>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Paper 2 v4 drafting (4-tier battery, 4 research questions)</w:t>
            </w:r>
          </w:p>
        </w:tc>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Co-I</w:t>
            </w:r>
          </w:p>
        </w:tc>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2026-04-20</w:t>
            </w:r>
          </w:p>
        </w:tc>
      </w:tr>
      <w:tr>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Instruments/ folder update (Tier 2 scale adaptations)</w:t>
            </w:r>
          </w:p>
        </w:tc>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Co-I</w:t>
            </w:r>
          </w:p>
        </w:tc>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2026-04-18</w:t>
            </w:r>
          </w:p>
        </w:tc>
      </w:tr>
      <w:tr>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Chinn et al. reference verification (2011 vs later)</w:t>
            </w:r>
          </w:p>
        </w:tc>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Co-I</w:t>
            </w:r>
          </w:p>
        </w:tc>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2026-04-16</w:t>
            </w:r>
          </w:p>
        </w:tc>
      </w:tr>
      <w:tr>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PI review of Paper 2 v4 draft</w:t>
            </w:r>
          </w:p>
        </w:tc>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PI</w:t>
            </w:r>
          </w:p>
        </w:tc>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2026-04-28</w:t>
            </w:r>
          </w:p>
        </w:tc>
      </w:tr>
      <w:tr>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Paper 2 BJET abstract submission</w:t>
            </w:r>
          </w:p>
        </w:tc>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PI + Co-I</w:t>
            </w:r>
          </w:p>
        </w:tc>
        <w:tc>
          <w:tcPr>
            <w:tcW w:type="dxa" w:w="3120"/>
            <w:tcBorders>
              <w:top w:val="nil"/>
              <w:bottom w:val="nil"/>
              <w:left w:val="nil"/>
              <w:right w:val="nil"/>
              <w:insideV w:val="nil"/>
            </w:tcBorders>
          </w:tcPr>
          <w:p>
            <w:pPr>
              <w:spacing w:line="240" w:lineRule="auto" w:before="40" w:after="40"/>
            </w:pPr>
            <w:r/>
            <w:r>
              <w:rPr>
                <w:rFonts w:ascii="Times New Roman" w:hAnsi="Times New Roman"/>
                <w:sz w:val="20"/>
              </w:rPr>
              <w:t>2026-08-01</w:t>
            </w:r>
          </w:p>
        </w:tc>
      </w:tr>
      <w:tr>
        <w:tc>
          <w:tcPr>
            <w:tcW w:type="dxa" w:w="3120"/>
            <w:tcBorders>
              <w:top w:val="nil"/>
              <w:bottom w:val="single" w:sz="8"/>
              <w:left w:val="nil"/>
              <w:right w:val="nil"/>
              <w:insideV w:val="nil"/>
            </w:tcBorders>
          </w:tcPr>
          <w:p>
            <w:pPr>
              <w:spacing w:line="240" w:lineRule="auto" w:before="40" w:after="40"/>
            </w:pPr>
            <w:r/>
            <w:r>
              <w:rPr>
                <w:rFonts w:ascii="Times New Roman" w:hAnsi="Times New Roman"/>
                <w:sz w:val="20"/>
              </w:rPr>
              <w:t>Paper 1 v3 (Design Case, decision rationale additions)</w:t>
            </w:r>
          </w:p>
        </w:tc>
        <w:tc>
          <w:tcPr>
            <w:tcW w:type="dxa" w:w="3120"/>
            <w:tcBorders>
              <w:top w:val="nil"/>
              <w:bottom w:val="single" w:sz="8"/>
              <w:left w:val="nil"/>
              <w:right w:val="nil"/>
              <w:insideV w:val="nil"/>
            </w:tcBorders>
          </w:tcPr>
          <w:p>
            <w:pPr>
              <w:spacing w:line="240" w:lineRule="auto" w:before="40" w:after="40"/>
            </w:pPr>
            <w:r/>
            <w:r>
              <w:rPr>
                <w:rFonts w:ascii="Times New Roman" w:hAnsi="Times New Roman"/>
                <w:sz w:val="20"/>
              </w:rPr>
              <w:t>Co-I</w:t>
            </w:r>
          </w:p>
        </w:tc>
        <w:tc>
          <w:tcPr>
            <w:tcW w:type="dxa" w:w="3120"/>
            <w:tcBorders>
              <w:top w:val="nil"/>
              <w:bottom w:val="single" w:sz="8"/>
              <w:left w:val="nil"/>
              <w:right w:val="nil"/>
              <w:insideV w:val="nil"/>
            </w:tcBorders>
          </w:tcPr>
          <w:p>
            <w:pPr>
              <w:spacing w:line="240" w:lineRule="auto" w:before="40" w:after="40"/>
            </w:pPr>
            <w:r/>
            <w:r>
              <w:rPr>
                <w:rFonts w:ascii="Times New Roman" w:hAnsi="Times New Roman"/>
                <w:sz w:val="20"/>
              </w:rPr>
              <w:t>2026-05-25</w:t>
            </w:r>
          </w:p>
        </w:tc>
      </w:tr>
    </w:tbl>
    <w:p>
      <w:pPr>
        <w:spacing w:before="120"/>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