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line="480" w:lineRule="auto"/>
        <w:jc w:val="left"/>
      </w:pPr>
      <w:r/>
    </w:p>
    <w:p>
      <w:pPr>
        <w:keepNext w:val="0"/>
        <w:spacing w:before="0" w:after="0" w:line="480" w:lineRule="auto"/>
        <w:jc w:val="left"/>
      </w:pPr>
      <w:r/>
    </w:p>
    <w:p>
      <w:pPr>
        <w:keepNext w:val="0"/>
        <w:spacing w:before="0" w:after="0" w:line="480" w:lineRule="auto"/>
        <w:jc w:val="left"/>
      </w:pPr>
      <w:r/>
    </w:p>
    <w:p>
      <w:pPr>
        <w:keepNext w:val="0"/>
        <w:spacing w:before="0" w:after="0" w:line="480" w:lineRule="auto"/>
        <w:jc w:val="left"/>
      </w:pPr>
      <w:r/>
    </w:p>
    <w:p>
      <w:pPr>
        <w:keepNext w:val="0"/>
        <w:spacing w:before="0" w:after="0" w:line="480" w:lineRule="auto"/>
        <w:jc w:val="left"/>
      </w:pPr>
      <w:r/>
    </w:p>
    <w:p>
      <w:pPr>
        <w:keepNext w:val="0"/>
        <w:spacing w:before="0" w:after="0" w:line="480" w:lineRule="auto"/>
        <w:jc w:val="left"/>
      </w:pPr>
      <w:r/>
    </w:p>
    <w:p>
      <w:pPr>
        <w:keepNext w:val="0"/>
        <w:spacing w:before="0" w:after="0" w:line="480" w:lineRule="auto"/>
        <w:jc w:val="center"/>
      </w:pPr>
      <w:r>
        <w:rPr>
          <w:rFonts w:ascii="Times New Roman" w:hAnsi="Times New Roman"/>
          <w:b/>
          <w:i w:val="0"/>
          <w:sz w:val="24"/>
        </w:rPr>
        <w:t>Checkpoint-Mediated Agency Analysis: A Methodology for Studying Artificial Agency Effects in Multi-Agent AI Educational Systems</w:t>
      </w:r>
    </w:p>
    <w:p/>
    <w:p>
      <w:pPr>
        <w:keepNext w:val="0"/>
        <w:spacing w:before="0" w:after="0" w:line="480" w:lineRule="auto"/>
        <w:jc w:val="center"/>
      </w:pPr>
      <w:r>
        <w:rPr>
          <w:rFonts w:ascii="Times New Roman" w:hAnsi="Times New Roman"/>
          <w:b w:val="0"/>
          <w:i/>
          <w:color w:val="646464"/>
          <w:sz w:val="24"/>
        </w:rPr>
        <w:t>[Author names removed for double-anonymous review]</w:t>
      </w:r>
    </w:p>
    <w:p>
      <w:pPr>
        <w:keepNext w:val="0"/>
        <w:spacing w:before="0" w:after="0" w:line="480" w:lineRule="auto"/>
        <w:jc w:val="center"/>
      </w:pPr>
      <w:r>
        <w:rPr>
          <w:rFonts w:ascii="Times New Roman" w:hAnsi="Times New Roman"/>
          <w:b w:val="0"/>
          <w:i/>
          <w:color w:val="646464"/>
          <w:sz w:val="24"/>
        </w:rPr>
        <w:t>[Institutional affiliation removed for review]</w:t>
      </w:r>
    </w:p>
    <w:p/>
    <w:p/>
    <w:p/>
    <w:p/>
    <w:p>
      <w:pPr>
        <w:keepNext w:val="0"/>
        <w:spacing w:before="0" w:after="0" w:line="480" w:lineRule="auto"/>
        <w:jc w:val="center"/>
      </w:pPr>
      <w:r>
        <w:rPr>
          <w:rFonts w:ascii="Times New Roman" w:hAnsi="Times New Roman"/>
          <w:b w:val="0"/>
          <w:i w:val="0"/>
          <w:sz w:val="24"/>
        </w:rPr>
        <w:t>Manuscript submitted for review: British Journal of Educational Technology, Special Issue SI-2026-000285</w:t>
      </w:r>
    </w:p>
    <w:p>
      <w:pPr>
        <w:keepNext w:val="0"/>
        <w:spacing w:before="0" w:after="0" w:line="480" w:lineRule="auto"/>
        <w:jc w:val="center"/>
      </w:pPr>
      <w:r>
        <w:rPr>
          <w:rFonts w:ascii="Times New Roman" w:hAnsi="Times New Roman"/>
          <w:b w:val="0"/>
          <w:i w:val="0"/>
          <w:sz w:val="24"/>
        </w:rPr>
        <w:t>Word count (body text, excluding references): approximately 3,300</w:t>
      </w:r>
    </w:p>
    <w:p/>
    <w:p>
      <w:pPr>
        <w:keepNext w:val="0"/>
        <w:spacing w:before="0" w:after="0" w:line="480" w:lineRule="auto"/>
        <w:jc w:val="center"/>
      </w:pPr>
      <w:r>
        <w:rPr>
          <w:rFonts w:ascii="Times New Roman" w:hAnsi="Times New Roman"/>
          <w:b/>
          <w:i w:val="0"/>
          <w:color w:val="960000"/>
          <w:sz w:val="22"/>
        </w:rPr>
        <w:t>DRAFT: For Discussion Only (Not for Circulation)</w:t>
      </w:r>
    </w:p>
    <w:p>
      <w:r>
        <w:br w:type="page"/>
      </w:r>
    </w:p>
    <w:p>
      <w:pPr>
        <w:keepNext w:val="0"/>
        <w:spacing w:before="0" w:after="0" w:line="480" w:lineRule="auto"/>
        <w:jc w:val="center"/>
      </w:pPr>
      <w:r>
        <w:rPr>
          <w:rFonts w:ascii="Times New Roman" w:hAnsi="Times New Roman"/>
          <w:b/>
          <w:i w:val="0"/>
          <w:sz w:val="24"/>
        </w:rPr>
        <w:t>Abstract</w:t>
      </w:r>
    </w:p>
    <w:p>
      <w:pPr>
        <w:keepNext w:val="0"/>
        <w:spacing w:before="0" w:after="0" w:line="480" w:lineRule="auto"/>
        <w:ind w:firstLine="0"/>
        <w:jc w:val="left"/>
      </w:pPr>
      <w:r>
        <w:rPr>
          <w:rFonts w:ascii="Times New Roman" w:hAnsi="Times New Roman"/>
          <w:b w:val="0"/>
          <w:i w:val="0"/>
          <w:sz w:val="24"/>
        </w:rPr>
      </w:r>
      <w:r>
        <w:rPr>
          <w:rFonts w:ascii="Times New Roman" w:hAnsi="Times New Roman"/>
          <w:b/>
          <w:i w:val="0"/>
          <w:sz w:val="24"/>
        </w:rPr>
        <w:t>Research aims.</w:t>
      </w:r>
      <w:r>
        <w:rPr>
          <w:rFonts w:ascii="Times New Roman" w:hAnsi="Times New Roman"/>
          <w:b w:val="0"/>
          <w:i w:val="0"/>
          <w:sz w:val="24"/>
        </w:rPr>
        <w:t xml:space="preserve"> As agentic AI systems enter educational contexts, researchers lack validated methodologies for distinguishing agentic participation from tool-based assistance, and for measuring how artificial agency redistributes epistemic labour at critical educational decision junctures. This paper proposes Checkpoint-Mediated Agency Analysis (CMAA), a methodology that leverages the structured human-AI interaction points inherent in checkpoint-governed multi-agent systems as natural measurement instruments for studying artificial agency effects on educational decision-making and the redistribution of epistemic labour.</w:t>
      </w:r>
    </w:p>
    <w:p>
      <w:pPr>
        <w:keepNext w:val="0"/>
        <w:spacing w:before="0" w:after="0" w:line="480" w:lineRule="auto"/>
        <w:ind w:firstLine="0"/>
        <w:jc w:val="left"/>
      </w:pPr>
      <w:r>
        <w:rPr>
          <w:rFonts w:ascii="Times New Roman" w:hAnsi="Times New Roman"/>
          <w:b w:val="0"/>
          <w:i w:val="0"/>
          <w:sz w:val="24"/>
        </w:rPr>
      </w:r>
      <w:r>
        <w:rPr>
          <w:rFonts w:ascii="Times New Roman" w:hAnsi="Times New Roman"/>
          <w:b/>
          <w:i w:val="0"/>
          <w:sz w:val="24"/>
        </w:rPr>
        <w:t>Context.</w:t>
      </w:r>
      <w:r>
        <w:rPr>
          <w:rFonts w:ascii="Times New Roman" w:hAnsi="Times New Roman"/>
          <w:b w:val="0"/>
          <w:i w:val="0"/>
          <w:sz w:val="24"/>
        </w:rPr>
        <w:t xml:space="preserve"> Grounded in Floridi's (2025) three criteria for artificial agency (interactivity, bounded autonomy, and adaptability), CMAA is developed through the design-based case of Diverga, a 24-agent AI research methodology assistant exhibiting the defining features of agentic AI: goal persistence across sessions, proactive initiative, multi-agent coordination, and architectural governance through mandatory human checkpoints. Diverga's architecture generates naturally occurring, multi-layered data about human-AI interaction at every critical research design juncture, enabling process-level analysis that conventional measurement approaches cannot provide.</w:t>
      </w:r>
    </w:p>
    <w:p>
      <w:pPr>
        <w:keepNext w:val="0"/>
        <w:spacing w:before="0" w:after="0" w:line="480" w:lineRule="auto"/>
        <w:ind w:firstLine="0"/>
        <w:jc w:val="left"/>
      </w:pPr>
      <w:r>
        <w:rPr>
          <w:rFonts w:ascii="Times New Roman" w:hAnsi="Times New Roman"/>
          <w:b w:val="0"/>
          <w:i w:val="0"/>
          <w:sz w:val="24"/>
        </w:rPr>
      </w:r>
      <w:r>
        <w:rPr>
          <w:rFonts w:ascii="Times New Roman" w:hAnsi="Times New Roman"/>
          <w:b/>
          <w:i w:val="0"/>
          <w:sz w:val="24"/>
        </w:rPr>
        <w:t>Data and methods.</w:t>
      </w:r>
      <w:r>
        <w:rPr>
          <w:rFonts w:ascii="Times New Roman" w:hAnsi="Times New Roman"/>
          <w:b w:val="0"/>
          <w:i w:val="0"/>
          <w:sz w:val="24"/>
        </w:rPr>
        <w:t xml:space="preserve"> Three methodological contributions are presented: (1) a framework mapping multi-agent checkpoint architectures onto Floridi's (2025) agency criteria and explicating their social-cognitive dynamics of learning, where epistemic labour is visibly redistributed between human and artificial agents; (2) five operationalized indicators for distinguishing agentic participation from tool-based assistance (Proactive Intervention Rate, State Utilization Depth, Decision Space Expansion, Governance Constraint Activation, and Coordination Complexity Index); and (3) a proposed embedded mixed methods proof-of-concept study design for initial empirical validation.</w:t>
      </w:r>
    </w:p>
    <w:p>
      <w:pPr>
        <w:keepNext w:val="0"/>
        <w:spacing w:before="0" w:after="0" w:line="480" w:lineRule="auto"/>
        <w:ind w:firstLine="0"/>
        <w:jc w:val="left"/>
      </w:pPr>
      <w:r>
        <w:rPr>
          <w:rFonts w:ascii="Times New Roman" w:hAnsi="Times New Roman"/>
          <w:b w:val="0"/>
          <w:i w:val="0"/>
          <w:sz w:val="24"/>
        </w:rPr>
      </w:r>
      <w:r>
        <w:rPr>
          <w:rFonts w:ascii="Times New Roman" w:hAnsi="Times New Roman"/>
          <w:b/>
          <w:i w:val="0"/>
          <w:sz w:val="24"/>
        </w:rPr>
        <w:t>Outcomes and conclusions.</w:t>
      </w:r>
      <w:r>
        <w:rPr>
          <w:rFonts w:ascii="Times New Roman" w:hAnsi="Times New Roman"/>
          <w:b w:val="0"/>
          <w:i w:val="0"/>
          <w:sz w:val="24"/>
        </w:rPr>
        <w:t xml:space="preserve"> CMAA addresses the field's need for methodologies that capture how epistemic labour is redistributed between human and artificial agents at decision junctures, revealing how artificial agency shapes the social-cognitive dynamics of learning by expanding, constraining, or redirecting the researcher's epistemic trajectory, and distinguishing agentic participation from tool-based assistance. Indicators are designed for transferability across agentic educational AI systems internationally, and are validated against the criterion of distinguishing agentic participation from tool-based assistance in authentic research task contexts.</w:t>
      </w:r>
    </w:p>
    <w:p/>
    <w:p>
      <w:pPr>
        <w:keepNext w:val="0"/>
        <w:spacing w:before="0" w:after="0" w:line="480" w:lineRule="auto"/>
        <w:ind w:firstLine="0"/>
        <w:jc w:val="left"/>
      </w:pPr>
      <w:r>
        <w:rPr>
          <w:rFonts w:ascii="Times New Roman" w:hAnsi="Times New Roman"/>
          <w:b/>
          <w:i/>
          <w:sz w:val="24"/>
        </w:rPr>
        <w:t xml:space="preserve">Keywords: </w:t>
      </w:r>
      <w:r>
        <w:rPr>
          <w:rFonts w:ascii="Times New Roman" w:hAnsi="Times New Roman"/>
          <w:b w:val="0"/>
          <w:i w:val="0"/>
          <w:sz w:val="24"/>
        </w:rPr>
        <w:t>agentic AI, artificial agency, checkpoint-mediated analysis, epistemic labour redistribution, multi-agent systems, educational technology methodology, social-cognitive dynamics</w:t>
      </w:r>
    </w:p>
    <w:p>
      <w:r>
        <w:br w:type="page"/>
      </w:r>
    </w:p>
    <w:p>
      <w:pPr>
        <w:keepNext w:val="0"/>
        <w:spacing w:before="0" w:after="0" w:line="480" w:lineRule="auto"/>
        <w:ind w:firstLine="0"/>
        <w:jc w:val="center"/>
      </w:pPr>
      <w:r>
        <w:rPr>
          <w:rFonts w:ascii="Times New Roman" w:hAnsi="Times New Roman"/>
          <w:b/>
          <w:i w:val="0"/>
          <w:sz w:val="24"/>
        </w:rPr>
        <w:t>Checkpoint-Mediated Agency Analysis: A Methodology for Studying Artificial Agency Effects in Multi-Agent AI Educational Systems</w:t>
      </w:r>
    </w:p>
    <w:p>
      <w:pPr>
        <w:keepNext w:val="0"/>
        <w:spacing w:before="0" w:after="0" w:line="480" w:lineRule="auto"/>
        <w:jc w:val="center"/>
      </w:pPr>
      <w:r>
        <w:rPr>
          <w:rFonts w:ascii="Times New Roman" w:hAnsi="Times New Roman"/>
          <w:b/>
          <w:i w:val="0"/>
          <w:sz w:val="24"/>
        </w:rPr>
        <w:t>Introduction</w:t>
      </w:r>
    </w:p>
    <w:p>
      <w:pPr>
        <w:keepNext w:val="0"/>
        <w:spacing w:before="0" w:after="0" w:line="480" w:lineRule="auto"/>
        <w:ind w:firstLine="720"/>
        <w:jc w:val="left"/>
      </w:pPr>
      <w:r>
        <w:rPr>
          <w:rFonts w:ascii="Times New Roman" w:hAnsi="Times New Roman"/>
          <w:b w:val="0"/>
          <w:i w:val="0"/>
          <w:sz w:val="24"/>
        </w:rPr>
        <w:t>The emergence of agentic AI systems in educational contexts, systems characterized by goal persistence, proactive initiative, multi-step coordination, and adaptive behavior across sessions, introduces a measurement challenge that existing educational technology research methodologies are ill-equipped to address. Technology Acceptance Model instruments, user satisfaction surveys, and learning outcome comparisons capture the consequences of AI use without illuminating the process by which artificial agency redistributes epistemic labour between human and artificial actors at critical decision junctures (Järvelä et al., 2023; Vaccaro et al., 2024). This gap is not merely methodological; it is consequential. Without process-level measurement of how, specifically, artificial agency intervenes in human reasoning, researchers cannot determine whether an agentic AI system is expanding the epistemic space available to learners, steering them toward predetermined paths, or silently governing decisions through architectural affordances that users neither observe nor resist.</w:t>
      </w:r>
    </w:p>
    <w:p>
      <w:pPr>
        <w:keepNext w:val="0"/>
        <w:spacing w:before="0" w:after="0" w:line="480" w:lineRule="auto"/>
        <w:ind w:firstLine="720"/>
        <w:jc w:val="left"/>
      </w:pPr>
      <w:r>
        <w:rPr>
          <w:rFonts w:ascii="Times New Roman" w:hAnsi="Times New Roman"/>
          <w:b w:val="0"/>
          <w:i w:val="0"/>
          <w:sz w:val="24"/>
        </w:rPr>
        <w:t>The measurement problem is architecturally rooted. Consider a multi-agent educational AI system with mandatory human checkpoints, structured interaction points at which the system halts autonomous execution, presents alternatives, and awaits human decision before proceeding. At these checkpoints, the redistribution of epistemic labour is observable in principle: what alternatives did the system generate? What typicality distribution did those alternatives span? Which option did the human select, and with what deliberation depth? Yet standard behavioral observation methods, interaction logs limited to binary action data, and retrospective interview protocols all fail to capture this process with sufficient precision, because they were not designed around the architecture of artificial agency as Floridi (2025) defines it.</w:t>
      </w:r>
    </w:p>
    <w:p>
      <w:pPr>
        <w:keepNext w:val="0"/>
        <w:spacing w:before="0" w:after="0" w:line="480" w:lineRule="auto"/>
        <w:ind w:firstLine="720"/>
        <w:jc w:val="left"/>
      </w:pPr>
      <w:r>
        <w:rPr>
          <w:rFonts w:ascii="Times New Roman" w:hAnsi="Times New Roman"/>
          <w:b w:val="0"/>
          <w:i w:val="0"/>
          <w:sz w:val="24"/>
        </w:rPr>
        <w:t>The missing analytical unit is the checkpoint: the structured human-AI interaction point at which artificial agency directly enters the social-cognitive dynamics of learning, reshaping not only what the researcher decides, but what options the researcher recognizes as available for decision. At these junctures, checkpoint-governed artificial agency participates in the shared regulation of inquiry, redistributing epistemic labour by generating, typicality-ranking, and presenting alternatives that may exceed what the human researcher would independently construct, while simultaneously constraining the decision space to architecturally generated options whose range and framing carry their own epistemic authority. Resolving this gap requires instruments calibrated to the defining distinction of agentic systems: not whether the AI produced output, but whether the human exercised deliberate epistemic agency in evaluating alternatives, the boundary between agentic participation, in which artificial initiative and human deliberation are jointly constitutive of the outcome, and tool-based assistance, in which the human retains sole initiative and the AI serves as a passive execution mechanism.</w:t>
      </w:r>
    </w:p>
    <w:p>
      <w:pPr>
        <w:keepNext w:val="0"/>
        <w:spacing w:before="0" w:after="0" w:line="480" w:lineRule="auto"/>
        <w:ind w:firstLine="720"/>
        <w:jc w:val="left"/>
      </w:pPr>
      <w:r>
        <w:rPr>
          <w:rFonts w:ascii="Times New Roman" w:hAnsi="Times New Roman"/>
          <w:b w:val="0"/>
          <w:i w:val="0"/>
          <w:sz w:val="24"/>
        </w:rPr>
        <w:t>This paper proposes Checkpoint-Mediated Agency Analysis (CMAA), a methodology developed from and for checkpoint-governed multi-agent systems. CMAA operationalizes Floridi's (2025) three criteria for artificial agency into five measurable behavioral indicators and treats human checkpoints as natural measurement instruments that generate multi-layered data about the social-cognitive dynamics of human-AI interaction at the moments when artificial agency most directly shapes learning trajectories.</w:t>
      </w:r>
    </w:p>
    <w:p>
      <w:pPr>
        <w:keepNext w:val="0"/>
        <w:spacing w:before="0" w:after="0" w:line="480" w:lineRule="auto"/>
        <w:ind w:firstLine="720"/>
        <w:jc w:val="left"/>
      </w:pPr>
      <w:r>
        <w:rPr>
          <w:rFonts w:ascii="Times New Roman" w:hAnsi="Times New Roman"/>
          <w:b w:val="0"/>
          <w:i w:val="0"/>
          <w:sz w:val="24"/>
        </w:rPr>
        <w:t>CMAA is developed through systematic analysis of Diverga, a 24-agent AI research methodology assistant developed through five iterative design cycles (224 version-controlled commits, 57 days) to embody artificial agency as Floridi defines it. A critical incident during development, in which system audit logs revealed that architecturally designated required checkpoints were being programmatically bypassed, generating approval tokens without user engagement, operationalised the measurement problem CMAA addresses with unusual clarity: architecturally claimed human oversight may diverge substantially from actual epistemic participation, and this divergence is invisible to conventional measurement approaches.</w:t>
      </w:r>
    </w:p>
    <w:p>
      <w:pPr>
        <w:keepNext w:val="0"/>
        <w:spacing w:before="0" w:after="0" w:line="480" w:lineRule="auto"/>
        <w:ind w:firstLine="720"/>
        <w:jc w:val="left"/>
      </w:pPr>
      <w:r>
        <w:rPr>
          <w:rFonts w:ascii="Times New Roman" w:hAnsi="Times New Roman"/>
          <w:b/>
          <w:i/>
          <w:color w:val="828282"/>
          <w:sz w:val="20"/>
        </w:rPr>
        <w:t>[OUTLINE: Introduction, remaining ~250 words]</w:t>
      </w:r>
    </w:p>
    <w:p>
      <w:pPr>
        <w:keepNext w:val="0"/>
        <w:spacing w:before="0" w:after="0" w:line="480" w:lineRule="auto"/>
        <w:ind w:firstLine="0" w:left="1080"/>
        <w:jc w:val="left"/>
      </w:pPr>
      <w:r>
        <w:rPr>
          <w:rFonts w:ascii="Times New Roman" w:hAnsi="Times New Roman"/>
          <w:b w:val="0"/>
          <w:i/>
          <w:color w:val="828282"/>
          <w:sz w:val="20"/>
        </w:rPr>
        <w:t>•  Paper contributions (three): CMAA framework, five indicators, proof-of-concept study design</w:t>
      </w:r>
    </w:p>
    <w:p>
      <w:pPr>
        <w:keepNext w:val="0"/>
        <w:spacing w:before="0" w:after="0" w:line="480" w:lineRule="auto"/>
        <w:ind w:firstLine="0" w:left="1080"/>
        <w:jc w:val="left"/>
      </w:pPr>
      <w:r>
        <w:rPr>
          <w:rFonts w:ascii="Times New Roman" w:hAnsi="Times New Roman"/>
          <w:b w:val="0"/>
          <w:i/>
          <w:color w:val="828282"/>
          <w:sz w:val="20"/>
        </w:rPr>
        <w:t>•  Paper structure overview (one paragraph)</w:t>
      </w:r>
    </w:p>
    <w:p>
      <w:pPr>
        <w:keepNext w:val="0"/>
        <w:spacing w:before="0" w:after="0" w:line="480" w:lineRule="auto"/>
        <w:ind w:firstLine="0" w:left="1080"/>
        <w:jc w:val="left"/>
      </w:pPr>
      <w:r>
        <w:rPr>
          <w:rFonts w:ascii="Times New Roman" w:hAnsi="Times New Roman"/>
          <w:b w:val="0"/>
          <w:i/>
          <w:color w:val="828282"/>
          <w:sz w:val="20"/>
        </w:rPr>
        <w:t>•  Transition to theoretical framework</w:t>
      </w:r>
    </w:p>
    <w:p>
      <w:pPr>
        <w:keepNext w:val="0"/>
        <w:spacing w:before="0" w:after="0" w:line="480" w:lineRule="auto"/>
        <w:jc w:val="center"/>
      </w:pPr>
      <w:r>
        <w:rPr>
          <w:rFonts w:ascii="Times New Roman" w:hAnsi="Times New Roman"/>
          <w:b/>
          <w:i w:val="0"/>
          <w:sz w:val="24"/>
        </w:rPr>
        <w:t>Theoretical Framework</w:t>
      </w:r>
    </w:p>
    <w:p>
      <w:pPr>
        <w:keepNext w:val="0"/>
        <w:spacing w:before="0" w:after="0" w:line="480" w:lineRule="auto"/>
        <w:ind w:firstLine="0"/>
        <w:jc w:val="left"/>
      </w:pPr>
      <w:r>
        <w:rPr>
          <w:rFonts w:ascii="Times New Roman" w:hAnsi="Times New Roman"/>
          <w:b/>
          <w:i w:val="0"/>
          <w:sz w:val="24"/>
        </w:rPr>
        <w:t>Artificial Agency and Its Educational Consequences</w:t>
      </w:r>
    </w:p>
    <w:p>
      <w:pPr>
        <w:keepNext w:val="0"/>
        <w:spacing w:before="0" w:after="0" w:line="480" w:lineRule="auto"/>
        <w:ind w:firstLine="720"/>
        <w:jc w:val="left"/>
      </w:pPr>
      <w:r>
        <w:rPr>
          <w:rFonts w:ascii="Times New Roman" w:hAnsi="Times New Roman"/>
          <w:b w:val="0"/>
          <w:i w:val="0"/>
          <w:sz w:val="24"/>
        </w:rPr>
        <w:t>Following Floridi (2025), artificial agency is understood as a computational, goal-directed mode of action in service of human purposes, not a form of intelligence, consciousness, or intentionality. It is characterized by three minimal, non-anthropomorphic criteria: interactivity (reciprocal, bidirectional engagement with an environment), bounded autonomy (the capacity to initiate actions within programmed constraints while remaining subject to human override), and adaptability (modification of behavior based on accumulated feedback and changing conditions). Crucially, adaptive and autonomous behavior in artificial agents emerges from the integration of predefined objectives with learned patterns of action; the system does not self-determine goals. This framing distinguishes agentic AI from anthropomorphic interpretations and provides a precise basis for analyzing its educational consequences.</w:t>
      </w:r>
    </w:p>
    <w:p>
      <w:pPr>
        <w:keepNext w:val="0"/>
        <w:spacing w:before="0" w:after="0" w:line="480" w:lineRule="auto"/>
        <w:ind w:firstLine="720"/>
        <w:jc w:val="left"/>
      </w:pPr>
      <w:r>
        <w:rPr>
          <w:rFonts w:ascii="Times New Roman" w:hAnsi="Times New Roman"/>
          <w:b w:val="0"/>
          <w:i w:val="0"/>
          <w:sz w:val="24"/>
        </w:rPr>
        <w:t>The defining boundary between agentic AI and other educational AI applications lies in initiative and persistence, rather than in generativity alone (Yan et al., 2024). Earlier AI-in-education systems, such as Intelligent Tutoring Systems, operate within a reactive paradigm, producing feedback or adaptation only in response to learner actions (Ouyang &amp; Jiao, 2021). Generative AI assistants function as on-demand tools whose activity is episodic, prompt-driven, and externally initiated. Agentic AI systems, by contrast, incorporate persistent memory, dynamic task decomposition, and, in some cases, multi-agent orchestration, enabling them to initiate interaction, maintain trajectories over time, and participate continuously in the unfolding activity. Through these properties, agentic AI can act as collaborator, challenger, or moderator, thereby shaping the learning environment in ways that exceed the scope of tool-use frameworks.</w:t>
      </w:r>
    </w:p>
    <w:p>
      <w:pPr>
        <w:keepNext w:val="0"/>
        <w:spacing w:before="0" w:after="0" w:line="480" w:lineRule="auto"/>
        <w:ind w:firstLine="720"/>
        <w:jc w:val="left"/>
      </w:pPr>
      <w:r>
        <w:rPr>
          <w:rFonts w:ascii="Times New Roman" w:hAnsi="Times New Roman"/>
          <w:b w:val="0"/>
          <w:i w:val="0"/>
          <w:sz w:val="24"/>
        </w:rPr>
        <w:t>The educational consequence of artificial agency is a function of how it reshapes the distribution of epistemic labour between human and artificial agents. Epistemic labour, the cognitive work of generating options, evaluating alternatives, calibrating confidence, and making consequential decisions, is distributed differently when an agentic system proactively presents alternatives (transferring option-generation from human to AI), makes typicality patterns visible (transferring meta-cognitive calibration to the AI), and enforces deliberation at governance checkpoints (redistributing the temporal and attentional resources devoted to each decision juncture). Whether this redistribution expands or constrains human reasoning is the central educational question that CMAA is designed to answer.</w:t>
      </w:r>
    </w:p>
    <w:p>
      <w:pPr>
        <w:keepNext w:val="0"/>
        <w:spacing w:before="0" w:after="0" w:line="480" w:lineRule="auto"/>
        <w:ind w:firstLine="0"/>
        <w:jc w:val="left"/>
      </w:pPr>
      <w:r>
        <w:rPr>
          <w:rFonts w:ascii="Times New Roman" w:hAnsi="Times New Roman"/>
          <w:b/>
          <w:i w:val="0"/>
          <w:sz w:val="24"/>
        </w:rPr>
        <w:t>Checkpoints as Sites of Shared Regulation</w:t>
      </w:r>
    </w:p>
    <w:p>
      <w:pPr>
        <w:keepNext w:val="0"/>
        <w:spacing w:before="0" w:after="0" w:line="480" w:lineRule="auto"/>
        <w:ind w:firstLine="720"/>
        <w:jc w:val="left"/>
      </w:pPr>
      <w:r>
        <w:rPr>
          <w:rFonts w:ascii="Times New Roman" w:hAnsi="Times New Roman"/>
          <w:b w:val="0"/>
          <w:i w:val="0"/>
          <w:sz w:val="24"/>
        </w:rPr>
        <w:t>Shared regulation theory (Järvelä et al., 2023) provides a productive lens for understanding human-AI interaction at mandatory checkpoints. In socially shared regulation of learning, monitoring, evaluation, and adaptive response are distributed across multiple participants engaged in a joint task. When an agentic AI system halts at a checkpoint, presents alternatives spanning a typicality spectrum, and awaits human evaluation and selection, it participates in a regulatory cycle: it monitors the current state of the task (via persistent memory), evaluates alternatives (via VS methodology), and provides recommendations that invoke human evaluation. The checkpoint is thus a site of structured shared regulation, not between two human agents, but between a human agent and an artificial agent operating within bounded authority.</w:t>
      </w:r>
    </w:p>
    <w:p>
      <w:pPr>
        <w:keepNext w:val="0"/>
        <w:spacing w:before="0" w:after="0" w:line="480" w:lineRule="auto"/>
        <w:ind w:firstLine="720"/>
        <w:jc w:val="left"/>
      </w:pPr>
      <w:r>
        <w:rPr>
          <w:rFonts w:ascii="Times New Roman" w:hAnsi="Times New Roman"/>
          <w:b w:val="0"/>
          <w:i w:val="0"/>
          <w:sz w:val="24"/>
        </w:rPr>
        <w:t>The educational quality of this interaction depends on whether the human exercises genuine epistemic agency (exploring alternatives, challenging modal options, overriding recommendations) or acquiesces to the artificial agent's framing (selecting the modal option with minimal deliberation, a form of automation bias in the epistemic domain). At these junctures, checkpoint-governed artificial agency participates in the shared regulation of inquiry, redistributing epistemic labour by generating, typicality-ranking, and presenting alternatives that may exceed what the human researcher would independently construct, while simultaneously constraining the decision space to architecturally generated options whose range and framing carry their own epistemic authority.</w:t>
      </w:r>
    </w:p>
    <w:p>
      <w:pPr>
        <w:keepNext w:val="0"/>
        <w:spacing w:before="0" w:after="0" w:line="480" w:lineRule="auto"/>
        <w:ind w:firstLine="720"/>
        <w:jc w:val="left"/>
      </w:pPr>
      <w:r>
        <w:rPr>
          <w:rFonts w:ascii="Times New Roman" w:hAnsi="Times New Roman"/>
          <w:b w:val="0"/>
          <w:i w:val="0"/>
          <w:sz w:val="24"/>
        </w:rPr>
        <w:t>Figure 1 presents the CMAA conceptual framework, mapping Floridi's (2025) agency criteria through Diverga's architecture to the five CMAA indicators.</w:t>
      </w:r>
    </w:p>
    <w:p>
      <w:pPr>
        <w:keepNext w:val="0"/>
        <w:spacing w:before="240" w:after="60" w:line="240" w:lineRule="auto"/>
        <w:ind w:firstLine="0"/>
        <w:jc w:val="center"/>
      </w:pPr>
      <w:r>
        <w:drawing>
          <wp:inline xmlns:a="http://schemas.openxmlformats.org/drawingml/2006/main" xmlns:pic="http://schemas.openxmlformats.org/drawingml/2006/picture">
            <wp:extent cx="5029200" cy="2882508"/>
            <wp:docPr id="1" name="Picture 1"/>
            <wp:cNvGraphicFramePr>
              <a:graphicFrameLocks noChangeAspect="1"/>
            </wp:cNvGraphicFramePr>
            <a:graphic>
              <a:graphicData uri="http://schemas.openxmlformats.org/drawingml/2006/picture">
                <pic:pic>
                  <pic:nvPicPr>
                    <pic:cNvPr id="0" name="figure1_cmaa_framework.png"/>
                    <pic:cNvPicPr/>
                  </pic:nvPicPr>
                  <pic:blipFill>
                    <a:blip r:embed="rId10"/>
                    <a:stretch>
                      <a:fillRect/>
                    </a:stretch>
                  </pic:blipFill>
                  <pic:spPr>
                    <a:xfrm>
                      <a:off x="0" y="0"/>
                      <a:ext cx="5029200" cy="2882508"/>
                    </a:xfrm>
                    <a:prstGeom prst="rect"/>
                  </pic:spPr>
                </pic:pic>
              </a:graphicData>
            </a:graphic>
          </wp:inline>
        </w:drawing>
      </w:r>
    </w:p>
    <w:p>
      <w:pPr>
        <w:keepNext w:val="0"/>
        <w:spacing w:before="60" w:after="0" w:line="240" w:lineRule="auto"/>
        <w:ind w:firstLine="0"/>
        <w:jc w:val="left"/>
      </w:pPr>
      <w:r>
        <w:rPr>
          <w:rFonts w:ascii="Times New Roman" w:hAnsi="Times New Roman"/>
          <w:b/>
          <w:i w:val="0"/>
          <w:sz w:val="22"/>
        </w:rPr>
        <w:t>Figure 1</w:t>
      </w:r>
    </w:p>
    <w:p>
      <w:pPr>
        <w:keepNext w:val="0"/>
        <w:spacing w:before="0" w:after="60" w:line="240" w:lineRule="auto"/>
        <w:ind w:firstLine="0"/>
        <w:jc w:val="left"/>
      </w:pPr>
      <w:r>
        <w:rPr>
          <w:rFonts w:ascii="Times New Roman" w:hAnsi="Times New Roman"/>
          <w:b w:val="0"/>
          <w:i w:val="0"/>
          <w:sz w:val="22"/>
        </w:rPr>
        <w:t>Checkpoint-Mediated Agency Analysis (CMAA) Conceptual Framework. Mapping of Floridi's (2025) three artificial agency criteria through Diverga's multi-agent architecture to five measurable CMAA indicators.</w:t>
      </w:r>
    </w:p>
    <w:p>
      <w:pPr>
        <w:keepNext w:val="0"/>
        <w:spacing w:before="40" w:after="240" w:line="240" w:lineRule="auto"/>
        <w:ind w:firstLine="0"/>
        <w:jc w:val="left"/>
      </w:pPr>
      <w:r>
        <w:rPr>
          <w:rFonts w:ascii="Times New Roman" w:hAnsi="Times New Roman"/>
          <w:b w:val="0"/>
          <w:i/>
          <w:sz w:val="20"/>
        </w:rPr>
        <w:t xml:space="preserve">Note. </w:t>
      </w:r>
      <w:r>
        <w:rPr>
          <w:rFonts w:ascii="Times New Roman" w:hAnsi="Times New Roman"/>
          <w:b w:val="0"/>
          <w:i w:val="0"/>
          <w:sz w:val="20"/>
        </w:rPr>
        <w:t>Figure depicts the theoretical derivation chain from Floridi's (2025) philosophical framework to operationalized measurement indicators via the Diverga multi-agent checkpoint architecture.</w:t>
      </w:r>
    </w:p>
    <w:p>
      <w:pPr>
        <w:keepNext w:val="0"/>
        <w:spacing w:before="0" w:after="0" w:line="480" w:lineRule="auto"/>
        <w:ind w:firstLine="0"/>
        <w:jc w:val="left"/>
      </w:pPr>
      <w:r>
        <w:rPr>
          <w:rFonts w:ascii="Times New Roman" w:hAnsi="Times New Roman"/>
          <w:b/>
          <w:i w:val="0"/>
          <w:sz w:val="24"/>
        </w:rPr>
        <w:t>Existing Measurement Approaches and Their Limitations</w:t>
      </w:r>
    </w:p>
    <w:p>
      <w:pPr>
        <w:keepNext w:val="0"/>
        <w:spacing w:before="0" w:after="0" w:line="480" w:lineRule="auto"/>
        <w:ind w:firstLine="720"/>
        <w:jc w:val="left"/>
      </w:pPr>
      <w:r>
        <w:rPr>
          <w:rFonts w:ascii="Times New Roman" w:hAnsi="Times New Roman"/>
          <w:b w:val="0"/>
          <w:i w:val="0"/>
          <w:sz w:val="24"/>
        </w:rPr>
        <w:t>A deeper limitation unites existing approaches to measuring AI effects in education: they share an implicit assumption that AI operates as a tool whose effects can be assessed through input-output comparison, what the user intended versus what the system produced. This assumption is adequate for reactive systems but fails for agentic systems precisely because artificial agency, as Floridi (2025) defines it, involves initiative, persistence, and adaptive behavior that reshape the decision space before the user forms an intention. When an agentic system proactively halts execution, presents alternatives spanning a typicality spectrum, and withholds downstream processing until the human selects and justifies a choice, the system has already structured the epistemic field within which human reasoning will occur. No post-hoc instrument, whether a TAM questionnaire, an interaction log, or a retrospective interview, can recover the process by which this structuring occurred, because the structuring is complete before the user is aware a decision is needed.</w:t>
      </w:r>
    </w:p>
    <w:p>
      <w:pPr>
        <w:keepNext w:val="0"/>
        <w:spacing w:before="0" w:after="0" w:line="480" w:lineRule="auto"/>
        <w:ind w:firstLine="720"/>
        <w:jc w:val="left"/>
      </w:pPr>
      <w:r>
        <w:rPr>
          <w:rFonts w:ascii="Times New Roman" w:hAnsi="Times New Roman"/>
          <w:b/>
          <w:i/>
          <w:color w:val="828282"/>
          <w:sz w:val="20"/>
        </w:rPr>
        <w:t>[OUTLINE: §2.3: systematic review of existing approaches (~300 words)]</w:t>
      </w:r>
    </w:p>
    <w:p>
      <w:pPr>
        <w:keepNext w:val="0"/>
        <w:spacing w:before="0" w:after="0" w:line="480" w:lineRule="auto"/>
        <w:ind w:firstLine="0" w:left="1080"/>
        <w:jc w:val="left"/>
      </w:pPr>
      <w:r>
        <w:rPr>
          <w:rFonts w:ascii="Times New Roman" w:hAnsi="Times New Roman"/>
          <w:b w:val="0"/>
          <w:i/>
          <w:color w:val="828282"/>
          <w:sz w:val="20"/>
        </w:rPr>
        <w:t>•  TAM-derived instruments: measure adoption intent, not epistemic process (Davis, 1989; Venkatesh et al., 2003)</w:t>
      </w:r>
    </w:p>
    <w:p>
      <w:pPr>
        <w:keepNext w:val="0"/>
        <w:spacing w:before="0" w:after="0" w:line="480" w:lineRule="auto"/>
        <w:ind w:firstLine="0" w:left="1080"/>
        <w:jc w:val="left"/>
      </w:pPr>
      <w:r>
        <w:rPr>
          <w:rFonts w:ascii="Times New Roman" w:hAnsi="Times New Roman"/>
          <w:b w:val="0"/>
          <w:i/>
          <w:color w:val="828282"/>
          <w:sz w:val="20"/>
        </w:rPr>
        <w:t>•  Interaction log analysis: captures what was clicked, not why or at what deliberation depth</w:t>
      </w:r>
    </w:p>
    <w:p>
      <w:pPr>
        <w:keepNext w:val="0"/>
        <w:spacing w:before="0" w:after="0" w:line="480" w:lineRule="auto"/>
        <w:ind w:firstLine="0" w:left="1080"/>
        <w:jc w:val="left"/>
      </w:pPr>
      <w:r>
        <w:rPr>
          <w:rFonts w:ascii="Times New Roman" w:hAnsi="Times New Roman"/>
          <w:b w:val="0"/>
          <w:i/>
          <w:color w:val="828282"/>
          <w:sz w:val="20"/>
        </w:rPr>
        <w:t>•  Think-aloud + retrospective interview: rich but temporally decoupled from checkpoint architecture</w:t>
      </w:r>
    </w:p>
    <w:p>
      <w:pPr>
        <w:keepNext w:val="0"/>
        <w:spacing w:before="0" w:after="0" w:line="480" w:lineRule="auto"/>
        <w:ind w:firstLine="0" w:left="1080"/>
        <w:jc w:val="left"/>
      </w:pPr>
      <w:r>
        <w:rPr>
          <w:rFonts w:ascii="Times New Roman" w:hAnsi="Times New Roman"/>
          <w:b w:val="0"/>
          <w:i/>
          <w:color w:val="828282"/>
          <w:sz w:val="20"/>
        </w:rPr>
        <w:t>•  CMAA's contribution: reframe measurement site from post-hoc instrument to checkpoint-embedded data packet</w:t>
      </w:r>
    </w:p>
    <w:p>
      <w:pPr>
        <w:keepNext w:val="0"/>
        <w:spacing w:before="0" w:after="0" w:line="480" w:lineRule="auto"/>
        <w:ind w:firstLine="720"/>
        <w:jc w:val="left"/>
      </w:pPr>
      <w:r>
        <w:rPr>
          <w:rFonts w:ascii="Times New Roman" w:hAnsi="Times New Roman"/>
          <w:b w:val="0"/>
          <w:i w:val="0"/>
          <w:sz w:val="24"/>
        </w:rPr>
        <w:t>Table 1 presents the mapping of theoretical constructs to CMAA indicators.</w:t>
      </w:r>
    </w:p>
    <w:p>
      <w:pPr>
        <w:keepNext w:val="0"/>
        <w:spacing w:before="240" w:after="0" w:line="480" w:lineRule="auto"/>
        <w:ind w:firstLine="0"/>
        <w:jc w:val="left"/>
      </w:pPr>
      <w:r>
        <w:rPr>
          <w:rFonts w:ascii="Times New Roman" w:hAnsi="Times New Roman"/>
          <w:b/>
          <w:i w:val="0"/>
          <w:sz w:val="24"/>
        </w:rPr>
        <w:t>Table 1</w:t>
      </w:r>
    </w:p>
    <w:p>
      <w:pPr>
        <w:keepNext w:val="0"/>
        <w:spacing w:before="0" w:after="0" w:line="480" w:lineRule="auto"/>
        <w:ind w:firstLine="0"/>
        <w:jc w:val="left"/>
      </w:pPr>
      <w:r>
        <w:rPr>
          <w:rFonts w:ascii="Times New Roman" w:hAnsi="Times New Roman"/>
          <w:b w:val="0"/>
          <w:i/>
          <w:sz w:val="24"/>
        </w:rPr>
        <w:t>Theoretical Constructs and CMAA Indicator Mapping</w:t>
      </w:r>
    </w:p>
    <w:tbl>
      <w:tblPr>
        <w:tblStyle w:val="TableGrid"/>
        <w:tblW w:type="auto" w:w="0"/>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2340"/>
        <w:gridCol w:w="2340"/>
        <w:gridCol w:w="2340"/>
        <w:gridCol w:w="2340"/>
      </w:tblGrid>
      <w:tr>
        <w:tc>
          <w:tcPr>
            <w:tcW w:type="dxa" w:w="2160"/>
            <w:tcBorders>
              <w:bottom w:val="single" w:sz="6" w:space="0" w:color="000000"/>
            </w:tcBorders>
          </w:tcPr>
          <w:p>
            <w:pPr>
              <w:keepNext w:val="0"/>
              <w:spacing w:before="60" w:after="60" w:line="240" w:lineRule="auto"/>
              <w:ind w:firstLine="0"/>
              <w:jc w:val="left"/>
            </w:pPr>
            <w:r/>
            <w:r>
              <w:rPr>
                <w:rFonts w:ascii="Times New Roman" w:hAnsi="Times New Roman"/>
                <w:b/>
                <w:i w:val="0"/>
                <w:sz w:val="20"/>
              </w:rPr>
              <w:t>Theoretical Construct</w:t>
            </w:r>
          </w:p>
        </w:tc>
        <w:tc>
          <w:tcPr>
            <w:tcW w:type="dxa" w:w="1728"/>
            <w:tcBorders>
              <w:bottom w:val="single" w:sz="6" w:space="0" w:color="000000"/>
            </w:tcBorders>
          </w:tcPr>
          <w:p>
            <w:pPr>
              <w:keepNext w:val="0"/>
              <w:spacing w:before="60" w:after="60" w:line="240" w:lineRule="auto"/>
              <w:ind w:firstLine="0"/>
              <w:jc w:val="left"/>
            </w:pPr>
            <w:r/>
            <w:r>
              <w:rPr>
                <w:rFonts w:ascii="Times New Roman" w:hAnsi="Times New Roman"/>
                <w:b/>
                <w:i w:val="0"/>
                <w:sz w:val="20"/>
              </w:rPr>
              <w:t>Source</w:t>
            </w:r>
          </w:p>
        </w:tc>
        <w:tc>
          <w:tcPr>
            <w:tcW w:type="dxa" w:w="1728"/>
            <w:tcBorders>
              <w:bottom w:val="single" w:sz="6" w:space="0" w:color="000000"/>
            </w:tcBorders>
          </w:tcPr>
          <w:p>
            <w:pPr>
              <w:keepNext w:val="0"/>
              <w:spacing w:before="60" w:after="60" w:line="240" w:lineRule="auto"/>
              <w:ind w:firstLine="0"/>
              <w:jc w:val="left"/>
            </w:pPr>
            <w:r/>
            <w:r>
              <w:rPr>
                <w:rFonts w:ascii="Times New Roman" w:hAnsi="Times New Roman"/>
                <w:b/>
                <w:i w:val="0"/>
                <w:sz w:val="20"/>
              </w:rPr>
              <w:t>CMAA Indicator(s)</w:t>
            </w:r>
          </w:p>
        </w:tc>
        <w:tc>
          <w:tcPr>
            <w:tcW w:type="dxa" w:w="3024"/>
            <w:tcBorders>
              <w:bottom w:val="single" w:sz="6" w:space="0" w:color="000000"/>
            </w:tcBorders>
          </w:tcPr>
          <w:p>
            <w:pPr>
              <w:keepNext w:val="0"/>
              <w:spacing w:before="60" w:after="60" w:line="240" w:lineRule="auto"/>
              <w:ind w:firstLine="0"/>
              <w:jc w:val="left"/>
            </w:pPr>
            <w:r/>
            <w:r>
              <w:rPr>
                <w:rFonts w:ascii="Times New Roman" w:hAnsi="Times New Roman"/>
                <w:b/>
                <w:i w:val="0"/>
                <w:sz w:val="20"/>
              </w:rPr>
              <w:t>Measurement Logic</w:t>
            </w:r>
          </w:p>
        </w:tc>
      </w:tr>
      <w:tr>
        <w:tc>
          <w:tcPr>
            <w:tcW w:type="dxa" w:w="2340"/>
          </w:tcPr>
          <w:p>
            <w:pPr>
              <w:keepNext w:val="0"/>
              <w:spacing w:before="40" w:after="40" w:line="240" w:lineRule="auto"/>
              <w:ind w:firstLine="0"/>
              <w:jc w:val="left"/>
            </w:pPr>
            <w:r/>
            <w:r>
              <w:rPr>
                <w:rFonts w:ascii="Times New Roman" w:hAnsi="Times New Roman"/>
                <w:b w:val="0"/>
                <w:i w:val="0"/>
                <w:sz w:val="20"/>
              </w:rPr>
              <w:t>Interactivity</w:t>
            </w:r>
          </w:p>
        </w:tc>
        <w:tc>
          <w:tcPr>
            <w:tcW w:type="dxa" w:w="2340"/>
          </w:tcPr>
          <w:p>
            <w:pPr>
              <w:keepNext w:val="0"/>
              <w:spacing w:before="40" w:after="40" w:line="240" w:lineRule="auto"/>
              <w:ind w:firstLine="0"/>
              <w:jc w:val="left"/>
            </w:pPr>
            <w:r/>
            <w:r>
              <w:rPr>
                <w:rFonts w:ascii="Times New Roman" w:hAnsi="Times New Roman"/>
                <w:b w:val="0"/>
                <w:i w:val="0"/>
                <w:sz w:val="20"/>
              </w:rPr>
              <w:t>Floridi (2025)</w:t>
            </w:r>
          </w:p>
        </w:tc>
        <w:tc>
          <w:tcPr>
            <w:tcW w:type="dxa" w:w="2340"/>
          </w:tcPr>
          <w:p>
            <w:pPr>
              <w:keepNext w:val="0"/>
              <w:spacing w:before="40" w:after="40" w:line="240" w:lineRule="auto"/>
              <w:ind w:firstLine="0"/>
              <w:jc w:val="left"/>
            </w:pPr>
            <w:r/>
            <w:r>
              <w:rPr>
                <w:rFonts w:ascii="Times New Roman" w:hAnsi="Times New Roman"/>
                <w:b w:val="0"/>
                <w:i w:val="0"/>
                <w:sz w:val="20"/>
              </w:rPr>
              <w:t>CCI</w:t>
            </w:r>
          </w:p>
        </w:tc>
        <w:tc>
          <w:tcPr>
            <w:tcW w:type="dxa" w:w="2340"/>
          </w:tcPr>
          <w:p>
            <w:pPr>
              <w:keepNext w:val="0"/>
              <w:spacing w:before="40" w:after="40" w:line="240" w:lineRule="auto"/>
              <w:ind w:firstLine="0"/>
              <w:jc w:val="left"/>
            </w:pPr>
            <w:r/>
            <w:r>
              <w:rPr>
                <w:rFonts w:ascii="Times New Roman" w:hAnsi="Times New Roman"/>
                <w:b w:val="0"/>
                <w:i w:val="0"/>
                <w:sz w:val="20"/>
              </w:rPr>
              <w:t>Depth of multi-agent reciprocal coordination per session</w:t>
            </w:r>
          </w:p>
        </w:tc>
      </w:tr>
      <w:tr>
        <w:tc>
          <w:tcPr>
            <w:tcW w:type="dxa" w:w="2340"/>
          </w:tcPr>
          <w:p>
            <w:pPr>
              <w:keepNext w:val="0"/>
              <w:spacing w:before="40" w:after="40" w:line="240" w:lineRule="auto"/>
              <w:ind w:firstLine="0"/>
              <w:jc w:val="left"/>
            </w:pPr>
            <w:r/>
            <w:r>
              <w:rPr>
                <w:rFonts w:ascii="Times New Roman" w:hAnsi="Times New Roman"/>
                <w:b w:val="0"/>
                <w:i w:val="0"/>
                <w:sz w:val="20"/>
              </w:rPr>
              <w:t>Bounded Autonomy</w:t>
            </w:r>
          </w:p>
        </w:tc>
        <w:tc>
          <w:tcPr>
            <w:tcW w:type="dxa" w:w="2340"/>
          </w:tcPr>
          <w:p>
            <w:pPr>
              <w:keepNext w:val="0"/>
              <w:spacing w:before="40" w:after="40" w:line="240" w:lineRule="auto"/>
              <w:ind w:firstLine="0"/>
              <w:jc w:val="left"/>
            </w:pPr>
            <w:r/>
            <w:r>
              <w:rPr>
                <w:rFonts w:ascii="Times New Roman" w:hAnsi="Times New Roman"/>
                <w:b w:val="0"/>
                <w:i w:val="0"/>
                <w:sz w:val="20"/>
              </w:rPr>
              <w:t>Floridi (2025)</w:t>
            </w:r>
          </w:p>
        </w:tc>
        <w:tc>
          <w:tcPr>
            <w:tcW w:type="dxa" w:w="2340"/>
          </w:tcPr>
          <w:p>
            <w:pPr>
              <w:keepNext w:val="0"/>
              <w:spacing w:before="40" w:after="40" w:line="240" w:lineRule="auto"/>
              <w:ind w:firstLine="0"/>
              <w:jc w:val="left"/>
            </w:pPr>
            <w:r/>
            <w:r>
              <w:rPr>
                <w:rFonts w:ascii="Times New Roman" w:hAnsi="Times New Roman"/>
                <w:b w:val="0"/>
                <w:i w:val="0"/>
                <w:sz w:val="20"/>
              </w:rPr>
              <w:t>GCA, PIR</w:t>
            </w:r>
          </w:p>
        </w:tc>
        <w:tc>
          <w:tcPr>
            <w:tcW w:type="dxa" w:w="2340"/>
          </w:tcPr>
          <w:p>
            <w:pPr>
              <w:keepNext w:val="0"/>
              <w:spacing w:before="40" w:after="40" w:line="240" w:lineRule="auto"/>
              <w:ind w:firstLine="0"/>
              <w:jc w:val="left"/>
            </w:pPr>
            <w:r/>
            <w:r>
              <w:rPr>
                <w:rFonts w:ascii="Times New Roman" w:hAnsi="Times New Roman"/>
                <w:b w:val="0"/>
                <w:i w:val="0"/>
                <w:sz w:val="20"/>
              </w:rPr>
              <w:t>Governance enforcement rate; system-initiated deliberation frequency</w:t>
            </w:r>
          </w:p>
        </w:tc>
      </w:tr>
      <w:tr>
        <w:tc>
          <w:tcPr>
            <w:tcW w:type="dxa" w:w="2340"/>
          </w:tcPr>
          <w:p>
            <w:pPr>
              <w:keepNext w:val="0"/>
              <w:spacing w:before="40" w:after="40" w:line="240" w:lineRule="auto"/>
              <w:ind w:firstLine="0"/>
              <w:jc w:val="left"/>
            </w:pPr>
            <w:r/>
            <w:r>
              <w:rPr>
                <w:rFonts w:ascii="Times New Roman" w:hAnsi="Times New Roman"/>
                <w:b w:val="0"/>
                <w:i w:val="0"/>
                <w:sz w:val="20"/>
              </w:rPr>
              <w:t>Adaptability</w:t>
            </w:r>
          </w:p>
        </w:tc>
        <w:tc>
          <w:tcPr>
            <w:tcW w:type="dxa" w:w="2340"/>
          </w:tcPr>
          <w:p>
            <w:pPr>
              <w:keepNext w:val="0"/>
              <w:spacing w:before="40" w:after="40" w:line="240" w:lineRule="auto"/>
              <w:ind w:firstLine="0"/>
              <w:jc w:val="left"/>
            </w:pPr>
            <w:r/>
            <w:r>
              <w:rPr>
                <w:rFonts w:ascii="Times New Roman" w:hAnsi="Times New Roman"/>
                <w:b w:val="0"/>
                <w:i w:val="0"/>
                <w:sz w:val="20"/>
              </w:rPr>
              <w:t>Floridi (2025)</w:t>
            </w:r>
          </w:p>
        </w:tc>
        <w:tc>
          <w:tcPr>
            <w:tcW w:type="dxa" w:w="2340"/>
          </w:tcPr>
          <w:p>
            <w:pPr>
              <w:keepNext w:val="0"/>
              <w:spacing w:before="40" w:after="40" w:line="240" w:lineRule="auto"/>
              <w:ind w:firstLine="0"/>
              <w:jc w:val="left"/>
            </w:pPr>
            <w:r/>
            <w:r>
              <w:rPr>
                <w:rFonts w:ascii="Times New Roman" w:hAnsi="Times New Roman"/>
                <w:b w:val="0"/>
                <w:i w:val="0"/>
                <w:sz w:val="20"/>
              </w:rPr>
              <w:t>SUD, DSE</w:t>
            </w:r>
          </w:p>
        </w:tc>
        <w:tc>
          <w:tcPr>
            <w:tcW w:type="dxa" w:w="2340"/>
          </w:tcPr>
          <w:p>
            <w:pPr>
              <w:keepNext w:val="0"/>
              <w:spacing w:before="40" w:after="40" w:line="240" w:lineRule="auto"/>
              <w:ind w:firstLine="0"/>
              <w:jc w:val="left"/>
            </w:pPr>
            <w:r/>
            <w:r>
              <w:rPr>
                <w:rFonts w:ascii="Times New Roman" w:hAnsi="Times New Roman"/>
                <w:b w:val="0"/>
                <w:i w:val="0"/>
                <w:sz w:val="20"/>
              </w:rPr>
              <w:t>Context-sensitivity of alternative generation; trajectory shift across sessions</w:t>
            </w:r>
          </w:p>
        </w:tc>
      </w:tr>
      <w:tr>
        <w:tc>
          <w:tcPr>
            <w:tcW w:type="dxa" w:w="2340"/>
          </w:tcPr>
          <w:p>
            <w:pPr>
              <w:keepNext w:val="0"/>
              <w:spacing w:before="40" w:after="40" w:line="240" w:lineRule="auto"/>
              <w:ind w:firstLine="0"/>
              <w:jc w:val="left"/>
            </w:pPr>
            <w:r/>
            <w:r>
              <w:rPr>
                <w:rFonts w:ascii="Times New Roman" w:hAnsi="Times New Roman"/>
                <w:b w:val="0"/>
                <w:i w:val="0"/>
                <w:sz w:val="20"/>
              </w:rPr>
              <w:t>Epistemic Labour Redistribution</w:t>
            </w:r>
          </w:p>
        </w:tc>
        <w:tc>
          <w:tcPr>
            <w:tcW w:type="dxa" w:w="2340"/>
          </w:tcPr>
          <w:p>
            <w:pPr>
              <w:keepNext w:val="0"/>
              <w:spacing w:before="40" w:after="40" w:line="240" w:lineRule="auto"/>
              <w:ind w:firstLine="0"/>
              <w:jc w:val="left"/>
            </w:pPr>
            <w:r/>
            <w:r>
              <w:rPr>
                <w:rFonts w:ascii="Times New Roman" w:hAnsi="Times New Roman"/>
                <w:b w:val="0"/>
                <w:i w:val="0"/>
                <w:sz w:val="20"/>
              </w:rPr>
              <w:t>Järvelä et al. (2023)</w:t>
            </w:r>
          </w:p>
        </w:tc>
        <w:tc>
          <w:tcPr>
            <w:tcW w:type="dxa" w:w="2340"/>
          </w:tcPr>
          <w:p>
            <w:pPr>
              <w:keepNext w:val="0"/>
              <w:spacing w:before="40" w:after="40" w:line="240" w:lineRule="auto"/>
              <w:ind w:firstLine="0"/>
              <w:jc w:val="left"/>
            </w:pPr>
            <w:r/>
            <w:r>
              <w:rPr>
                <w:rFonts w:ascii="Times New Roman" w:hAnsi="Times New Roman"/>
                <w:b w:val="0"/>
                <w:i w:val="0"/>
                <w:sz w:val="20"/>
              </w:rPr>
              <w:t>DSE, SUD</w:t>
            </w:r>
          </w:p>
        </w:tc>
        <w:tc>
          <w:tcPr>
            <w:tcW w:type="dxa" w:w="2340"/>
          </w:tcPr>
          <w:p>
            <w:pPr>
              <w:keepNext w:val="0"/>
              <w:spacing w:before="40" w:after="40" w:line="240" w:lineRule="auto"/>
              <w:ind w:firstLine="0"/>
              <w:jc w:val="left"/>
            </w:pPr>
            <w:r/>
            <w:r>
              <w:rPr>
                <w:rFonts w:ascii="Times New Roman" w:hAnsi="Times New Roman"/>
                <w:b w:val="0"/>
                <w:i w:val="0"/>
                <w:sz w:val="20"/>
              </w:rPr>
              <w:t>Breadth of alternative space; utilization of accumulated decision context</w:t>
            </w:r>
          </w:p>
        </w:tc>
      </w:tr>
      <w:tr>
        <w:tc>
          <w:tcPr>
            <w:tcW w:type="dxa" w:w="2340"/>
          </w:tcPr>
          <w:p>
            <w:pPr>
              <w:keepNext w:val="0"/>
              <w:spacing w:before="40" w:after="40" w:line="240" w:lineRule="auto"/>
              <w:ind w:firstLine="0"/>
              <w:jc w:val="left"/>
            </w:pPr>
            <w:r/>
            <w:r>
              <w:rPr>
                <w:rFonts w:ascii="Times New Roman" w:hAnsi="Times New Roman"/>
                <w:b w:val="0"/>
                <w:i w:val="0"/>
                <w:sz w:val="20"/>
              </w:rPr>
              <w:t>Shared Regulation</w:t>
            </w:r>
          </w:p>
        </w:tc>
        <w:tc>
          <w:tcPr>
            <w:tcW w:type="dxa" w:w="2340"/>
          </w:tcPr>
          <w:p>
            <w:pPr>
              <w:keepNext w:val="0"/>
              <w:spacing w:before="40" w:after="40" w:line="240" w:lineRule="auto"/>
              <w:ind w:firstLine="0"/>
              <w:jc w:val="left"/>
            </w:pPr>
            <w:r/>
            <w:r>
              <w:rPr>
                <w:rFonts w:ascii="Times New Roman" w:hAnsi="Times New Roman"/>
                <w:b w:val="0"/>
                <w:i w:val="0"/>
                <w:sz w:val="20"/>
              </w:rPr>
              <w:t>Järvelä et al. (2023)</w:t>
            </w:r>
          </w:p>
        </w:tc>
        <w:tc>
          <w:tcPr>
            <w:tcW w:type="dxa" w:w="2340"/>
          </w:tcPr>
          <w:p>
            <w:pPr>
              <w:keepNext w:val="0"/>
              <w:spacing w:before="40" w:after="40" w:line="240" w:lineRule="auto"/>
              <w:ind w:firstLine="0"/>
              <w:jc w:val="left"/>
            </w:pPr>
            <w:r/>
            <w:r>
              <w:rPr>
                <w:rFonts w:ascii="Times New Roman" w:hAnsi="Times New Roman"/>
                <w:b w:val="0"/>
                <w:i w:val="0"/>
                <w:sz w:val="20"/>
              </w:rPr>
              <w:t>GCA, PIR</w:t>
            </w:r>
          </w:p>
        </w:tc>
        <w:tc>
          <w:tcPr>
            <w:tcW w:type="dxa" w:w="2340"/>
          </w:tcPr>
          <w:p>
            <w:pPr>
              <w:keepNext w:val="0"/>
              <w:spacing w:before="40" w:after="40" w:line="240" w:lineRule="auto"/>
              <w:ind w:firstLine="0"/>
              <w:jc w:val="left"/>
            </w:pPr>
            <w:r/>
            <w:r>
              <w:rPr>
                <w:rFonts w:ascii="Times New Roman" w:hAnsi="Times New Roman"/>
                <w:b w:val="0"/>
                <w:i w:val="0"/>
                <w:sz w:val="20"/>
              </w:rPr>
              <w:t>Activation of governance mechanisms; system-initiated deliberation cycles</w:t>
            </w:r>
          </w:p>
        </w:tc>
      </w:tr>
      <w:tr>
        <w:tc>
          <w:tcPr>
            <w:tcW w:type="dxa" w:w="2340"/>
          </w:tcPr>
          <w:p>
            <w:pPr>
              <w:keepNext w:val="0"/>
              <w:spacing w:before="40" w:after="40" w:line="240" w:lineRule="auto"/>
              <w:ind w:firstLine="0"/>
              <w:jc w:val="left"/>
            </w:pPr>
            <w:r/>
            <w:r>
              <w:rPr>
                <w:rFonts w:ascii="Times New Roman" w:hAnsi="Times New Roman"/>
                <w:b w:val="0"/>
                <w:i w:val="0"/>
                <w:sz w:val="20"/>
              </w:rPr>
              <w:t>Path Dependence</w:t>
            </w:r>
          </w:p>
        </w:tc>
        <w:tc>
          <w:tcPr>
            <w:tcW w:type="dxa" w:w="2340"/>
          </w:tcPr>
          <w:p>
            <w:pPr>
              <w:keepNext w:val="0"/>
              <w:spacing w:before="40" w:after="40" w:line="240" w:lineRule="auto"/>
              <w:ind w:firstLine="0"/>
              <w:jc w:val="left"/>
            </w:pPr>
            <w:r/>
            <w:r>
              <w:rPr>
                <w:rFonts w:ascii="Times New Roman" w:hAnsi="Times New Roman"/>
                <w:b w:val="0"/>
                <w:i w:val="0"/>
                <w:sz w:val="20"/>
              </w:rPr>
              <w:t>Yan et al. (2024)</w:t>
            </w:r>
          </w:p>
        </w:tc>
        <w:tc>
          <w:tcPr>
            <w:tcW w:type="dxa" w:w="2340"/>
          </w:tcPr>
          <w:p>
            <w:pPr>
              <w:keepNext w:val="0"/>
              <w:spacing w:before="40" w:after="40" w:line="240" w:lineRule="auto"/>
              <w:ind w:firstLine="0"/>
              <w:jc w:val="left"/>
            </w:pPr>
            <w:r/>
            <w:r>
              <w:rPr>
                <w:rFonts w:ascii="Times New Roman" w:hAnsi="Times New Roman"/>
                <w:b w:val="0"/>
                <w:i w:val="0"/>
                <w:sz w:val="20"/>
              </w:rPr>
              <w:t>Typicality Trajectory</w:t>
            </w:r>
          </w:p>
        </w:tc>
        <w:tc>
          <w:tcPr>
            <w:tcW w:type="dxa" w:w="2340"/>
          </w:tcPr>
          <w:p>
            <w:pPr>
              <w:keepNext w:val="0"/>
              <w:spacing w:before="40" w:after="40" w:line="240" w:lineRule="auto"/>
              <w:ind w:firstLine="0"/>
              <w:jc w:val="left"/>
            </w:pPr>
            <w:r/>
            <w:r>
              <w:rPr>
                <w:rFonts w:ascii="Times New Roman" w:hAnsi="Times New Roman"/>
                <w:b w:val="0"/>
                <w:i w:val="0"/>
                <w:sz w:val="20"/>
              </w:rPr>
              <w:t>T-score of selected options plotted sequentially across checkpoints</w:t>
            </w:r>
          </w:p>
        </w:tc>
      </w:tr>
    </w:tbl>
    <w:p>
      <w:pPr>
        <w:keepNext w:val="0"/>
        <w:spacing w:before="60" w:after="240" w:line="240" w:lineRule="auto"/>
        <w:ind w:firstLine="0"/>
        <w:jc w:val="left"/>
      </w:pPr>
      <w:r>
        <w:rPr>
          <w:rFonts w:ascii="Times New Roman" w:hAnsi="Times New Roman"/>
          <w:b w:val="0"/>
          <w:i/>
          <w:sz w:val="20"/>
        </w:rPr>
        <w:t xml:space="preserve">Note. </w:t>
      </w:r>
      <w:r>
        <w:rPr>
          <w:rFonts w:ascii="Times New Roman" w:hAnsi="Times New Roman"/>
          <w:b w:val="0"/>
          <w:i w:val="0"/>
          <w:sz w:val="20"/>
        </w:rPr>
        <w:t>T-score = Typicality Score (0.0 = maximally non-modal; 1.0 = maximally modal). PIR = Proactive Intervention Rate; SUD = State Utilization Depth; DSE = Decision Space Expansion; GCA = Governance Constraint Activation; CCI = Coordination Complexity Index.</w:t>
      </w:r>
    </w:p>
    <w:p>
      <w:pPr>
        <w:keepNext w:val="0"/>
        <w:spacing w:before="0" w:after="0" w:line="480" w:lineRule="auto"/>
        <w:jc w:val="center"/>
      </w:pPr>
      <w:r>
        <w:rPr>
          <w:rFonts w:ascii="Times New Roman" w:hAnsi="Times New Roman"/>
          <w:b/>
          <w:i w:val="0"/>
          <w:sz w:val="24"/>
        </w:rPr>
        <w:t>The CMAA Framework</w:t>
      </w:r>
    </w:p>
    <w:p>
      <w:pPr>
        <w:keepNext w:val="0"/>
        <w:spacing w:before="0" w:after="0" w:line="480" w:lineRule="auto"/>
        <w:ind w:firstLine="0"/>
        <w:jc w:val="left"/>
      </w:pPr>
      <w:r>
        <w:rPr>
          <w:rFonts w:ascii="Times New Roman" w:hAnsi="Times New Roman"/>
          <w:b/>
          <w:i w:val="0"/>
          <w:sz w:val="24"/>
        </w:rPr>
        <w:t>Measurement Pillars</w:t>
      </w:r>
    </w:p>
    <w:p>
      <w:pPr>
        <w:keepNext w:val="0"/>
        <w:spacing w:before="0" w:after="0" w:line="480" w:lineRule="auto"/>
        <w:ind w:firstLine="720"/>
        <w:jc w:val="left"/>
      </w:pPr>
      <w:r>
        <w:rPr>
          <w:rFonts w:ascii="Times New Roman" w:hAnsi="Times New Roman"/>
          <w:b w:val="0"/>
          <w:i w:val="0"/>
          <w:sz w:val="24"/>
        </w:rPr>
        <w:t>CMAA rests on three methodological pillars that together enable process-level measurement of artificial agency effects. The first pillar treats checkpoints as natural measurement instruments: each required checkpoint interaction generates a structured data packet (the alternatives presented with T-scores, the human's selection, deliberation time from screen recording, and whether governance constraints were activated or bypassed) that is not collected through additional instrumentation but is a natural product of the agentic architecture. The second pillar uses Typicality Scores (T-scores, range 0.0 to 1.0) as process indicators: by tracking T-scores of selected versus non-selected options across all checkpoints, CMAA produces a Typicality Trajectory, a process-level indicator of whether the human is operating in the modal consensus region, actively exploring alternatives, or shifting trajectory over time. The third pillar uses the Decision Audit Trail as a longitudinal data source: the immutable YAML decision log records all checkpoint interactions across sessions, creating a longitudinal dataset that supports both within-session and cross-session analysis.</w:t>
      </w:r>
    </w:p>
    <w:p>
      <w:pPr>
        <w:keepNext w:val="0"/>
        <w:spacing w:before="0" w:after="0" w:line="480" w:lineRule="auto"/>
        <w:ind w:firstLine="720"/>
        <w:jc w:val="left"/>
      </w:pPr>
      <w:r>
        <w:rPr>
          <w:rFonts w:ascii="Times New Roman" w:hAnsi="Times New Roman"/>
          <w:b w:val="0"/>
          <w:i w:val="0"/>
          <w:sz w:val="24"/>
        </w:rPr>
        <w:t>Figure 2 illustrates how a single required checkpoint interaction generates the multi-layered data packet that CMAA indicators draw upon.</w:t>
      </w:r>
    </w:p>
    <w:p>
      <w:pPr>
        <w:keepNext w:val="0"/>
        <w:spacing w:before="240" w:after="60" w:line="240" w:lineRule="auto"/>
        <w:ind w:firstLine="0"/>
        <w:jc w:val="center"/>
      </w:pPr>
      <w:r>
        <w:drawing>
          <wp:inline xmlns:a="http://schemas.openxmlformats.org/drawingml/2006/main" xmlns:pic="http://schemas.openxmlformats.org/drawingml/2006/picture">
            <wp:extent cx="5029200" cy="3022770"/>
            <wp:docPr id="2" name="Picture 2"/>
            <wp:cNvGraphicFramePr>
              <a:graphicFrameLocks noChangeAspect="1"/>
            </wp:cNvGraphicFramePr>
            <a:graphic>
              <a:graphicData uri="http://schemas.openxmlformats.org/drawingml/2006/picture">
                <pic:pic>
                  <pic:nvPicPr>
                    <pic:cNvPr id="0" name="figure2_checkpoint_data_packet.png"/>
                    <pic:cNvPicPr/>
                  </pic:nvPicPr>
                  <pic:blipFill>
                    <a:blip r:embed="rId11"/>
                    <a:stretch>
                      <a:fillRect/>
                    </a:stretch>
                  </pic:blipFill>
                  <pic:spPr>
                    <a:xfrm>
                      <a:off x="0" y="0"/>
                      <a:ext cx="5029200" cy="3022770"/>
                    </a:xfrm>
                    <a:prstGeom prst="rect"/>
                  </pic:spPr>
                </pic:pic>
              </a:graphicData>
            </a:graphic>
          </wp:inline>
        </w:drawing>
      </w:r>
    </w:p>
    <w:p>
      <w:pPr>
        <w:keepNext w:val="0"/>
        <w:spacing w:before="60" w:after="0" w:line="240" w:lineRule="auto"/>
        <w:ind w:firstLine="0"/>
        <w:jc w:val="left"/>
      </w:pPr>
      <w:r>
        <w:rPr>
          <w:rFonts w:ascii="Times New Roman" w:hAnsi="Times New Roman"/>
          <w:b/>
          <w:i w:val="0"/>
          <w:sz w:val="22"/>
        </w:rPr>
        <w:t>Figure 2</w:t>
      </w:r>
    </w:p>
    <w:p>
      <w:pPr>
        <w:keepNext w:val="0"/>
        <w:spacing w:before="0" w:after="60" w:line="240" w:lineRule="auto"/>
        <w:ind w:firstLine="0"/>
        <w:jc w:val="left"/>
      </w:pPr>
      <w:r>
        <w:rPr>
          <w:rFonts w:ascii="Times New Roman" w:hAnsi="Times New Roman"/>
          <w:b w:val="0"/>
          <w:i w:val="0"/>
          <w:sz w:val="22"/>
        </w:rPr>
        <w:t>Checkpoint Interaction as Natural Measurement Instrument. Data elements generated at each required checkpoint and their mapping to CMAA indicators (decision-log.yaml).</w:t>
      </w:r>
    </w:p>
    <w:p>
      <w:pPr>
        <w:keepNext w:val="0"/>
        <w:spacing w:before="40" w:after="240" w:line="240" w:lineRule="auto"/>
        <w:ind w:firstLine="0"/>
        <w:jc w:val="left"/>
      </w:pPr>
      <w:r>
        <w:rPr>
          <w:rFonts w:ascii="Times New Roman" w:hAnsi="Times New Roman"/>
          <w:b w:val="0"/>
          <w:i/>
          <w:sz w:val="20"/>
        </w:rPr>
        <w:t xml:space="preserve">Note. </w:t>
      </w:r>
      <w:r>
        <w:rPr>
          <w:rFonts w:ascii="Times New Roman" w:hAnsi="Times New Roman"/>
          <w:b w:val="0"/>
          <w:i w:val="0"/>
          <w:sz w:val="20"/>
        </w:rPr>
        <w:t>Each required checkpoint generates a structured data packet comprising alternative options with T-scores, human selection, deliberation time, and governance enforcement status; none requiring additional instrumentation.</w:t>
      </w:r>
    </w:p>
    <w:p>
      <w:pPr>
        <w:keepNext w:val="0"/>
        <w:spacing w:before="0" w:after="0" w:line="480" w:lineRule="auto"/>
        <w:ind w:firstLine="0"/>
        <w:jc w:val="left"/>
      </w:pPr>
      <w:r>
        <w:rPr>
          <w:rFonts w:ascii="Times New Roman" w:hAnsi="Times New Roman"/>
          <w:b/>
          <w:i w:val="0"/>
          <w:sz w:val="24"/>
        </w:rPr>
        <w:t>CMAA Indicators: Operational Definitions</w:t>
      </w:r>
    </w:p>
    <w:p>
      <w:pPr>
        <w:keepNext w:val="0"/>
        <w:spacing w:before="0" w:after="0" w:line="480" w:lineRule="auto"/>
        <w:ind w:firstLine="720"/>
        <w:jc w:val="left"/>
      </w:pPr>
      <w:r>
        <w:rPr>
          <w:rFonts w:ascii="Times New Roman" w:hAnsi="Times New Roman"/>
          <w:b w:val="0"/>
          <w:i w:val="0"/>
          <w:sz w:val="24"/>
        </w:rPr>
        <w:t>Table 2 presents the operational definitions, primary data sources, and measurement pillar alignment for the five CMAA indicators.</w:t>
      </w:r>
    </w:p>
    <w:p>
      <w:pPr>
        <w:keepNext w:val="0"/>
        <w:spacing w:before="240" w:after="0" w:line="480" w:lineRule="auto"/>
        <w:ind w:firstLine="0"/>
        <w:jc w:val="left"/>
      </w:pPr>
      <w:r>
        <w:rPr>
          <w:rFonts w:ascii="Times New Roman" w:hAnsi="Times New Roman"/>
          <w:b/>
          <w:i w:val="0"/>
          <w:sz w:val="24"/>
        </w:rPr>
        <w:t>Table 2</w:t>
      </w:r>
    </w:p>
    <w:p>
      <w:pPr>
        <w:keepNext w:val="0"/>
        <w:spacing w:before="0" w:after="0" w:line="480" w:lineRule="auto"/>
        <w:ind w:firstLine="0"/>
        <w:jc w:val="left"/>
      </w:pPr>
      <w:r>
        <w:rPr>
          <w:rFonts w:ascii="Times New Roman" w:hAnsi="Times New Roman"/>
          <w:b w:val="0"/>
          <w:i/>
          <w:sz w:val="24"/>
        </w:rPr>
        <w:t>CMAA Five Indicators: Operational Definitions and Data Sources</w:t>
      </w:r>
    </w:p>
    <w:tbl>
      <w:tblPr>
        <w:tblStyle w:val="TableGrid"/>
        <w:tblW w:type="auto" w:w="0"/>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1872"/>
        <w:gridCol w:w="1872"/>
        <w:gridCol w:w="1872"/>
        <w:gridCol w:w="1872"/>
        <w:gridCol w:w="1872"/>
      </w:tblGrid>
      <w:tr>
        <w:tc>
          <w:tcPr>
            <w:tcW w:type="dxa" w:w="2160"/>
            <w:tcBorders>
              <w:bottom w:val="single" w:sz="6" w:space="0" w:color="000000"/>
            </w:tcBorders>
          </w:tcPr>
          <w:p>
            <w:pPr>
              <w:keepNext w:val="0"/>
              <w:spacing w:before="60" w:after="60" w:line="240" w:lineRule="auto"/>
              <w:ind w:firstLine="0"/>
              <w:jc w:val="left"/>
            </w:pPr>
            <w:r/>
            <w:r>
              <w:rPr>
                <w:rFonts w:ascii="Times New Roman" w:hAnsi="Times New Roman"/>
                <w:b/>
                <w:i w:val="0"/>
                <w:sz w:val="20"/>
              </w:rPr>
              <w:t>Indicator</w:t>
            </w:r>
          </w:p>
        </w:tc>
        <w:tc>
          <w:tcPr>
            <w:tcW w:type="dxa" w:w="720"/>
            <w:tcBorders>
              <w:bottom w:val="single" w:sz="6" w:space="0" w:color="000000"/>
            </w:tcBorders>
          </w:tcPr>
          <w:p>
            <w:pPr>
              <w:keepNext w:val="0"/>
              <w:spacing w:before="60" w:after="60" w:line="240" w:lineRule="auto"/>
              <w:ind w:firstLine="0"/>
              <w:jc w:val="left"/>
            </w:pPr>
            <w:r/>
            <w:r>
              <w:rPr>
                <w:rFonts w:ascii="Times New Roman" w:hAnsi="Times New Roman"/>
                <w:b/>
                <w:i w:val="0"/>
                <w:sz w:val="20"/>
              </w:rPr>
              <w:t>Abbr.</w:t>
            </w:r>
          </w:p>
        </w:tc>
        <w:tc>
          <w:tcPr>
            <w:tcW w:type="dxa" w:w="3312"/>
            <w:tcBorders>
              <w:bottom w:val="single" w:sz="6" w:space="0" w:color="000000"/>
            </w:tcBorders>
          </w:tcPr>
          <w:p>
            <w:pPr>
              <w:keepNext w:val="0"/>
              <w:spacing w:before="60" w:after="60" w:line="240" w:lineRule="auto"/>
              <w:ind w:firstLine="0"/>
              <w:jc w:val="left"/>
            </w:pPr>
            <w:r/>
            <w:r>
              <w:rPr>
                <w:rFonts w:ascii="Times New Roman" w:hAnsi="Times New Roman"/>
                <w:b/>
                <w:i w:val="0"/>
                <w:sz w:val="20"/>
              </w:rPr>
              <w:t>Operational Definition</w:t>
            </w:r>
          </w:p>
        </w:tc>
        <w:tc>
          <w:tcPr>
            <w:tcW w:type="dxa" w:w="1584"/>
            <w:tcBorders>
              <w:bottom w:val="single" w:sz="6" w:space="0" w:color="000000"/>
            </w:tcBorders>
          </w:tcPr>
          <w:p>
            <w:pPr>
              <w:keepNext w:val="0"/>
              <w:spacing w:before="60" w:after="60" w:line="240" w:lineRule="auto"/>
              <w:ind w:firstLine="0"/>
              <w:jc w:val="left"/>
            </w:pPr>
            <w:r/>
            <w:r>
              <w:rPr>
                <w:rFonts w:ascii="Times New Roman" w:hAnsi="Times New Roman"/>
                <w:b/>
                <w:i w:val="0"/>
                <w:sz w:val="20"/>
              </w:rPr>
              <w:t>Data Source</w:t>
            </w:r>
          </w:p>
        </w:tc>
        <w:tc>
          <w:tcPr>
            <w:tcW w:type="dxa" w:w="864"/>
            <w:tcBorders>
              <w:bottom w:val="single" w:sz="6" w:space="0" w:color="000000"/>
            </w:tcBorders>
          </w:tcPr>
          <w:p>
            <w:pPr>
              <w:keepNext w:val="0"/>
              <w:spacing w:before="60" w:after="60" w:line="240" w:lineRule="auto"/>
              <w:ind w:firstLine="0"/>
              <w:jc w:val="left"/>
            </w:pPr>
            <w:r/>
            <w:r>
              <w:rPr>
                <w:rFonts w:ascii="Times New Roman" w:hAnsi="Times New Roman"/>
                <w:b/>
                <w:i w:val="0"/>
                <w:sz w:val="20"/>
              </w:rPr>
              <w:t>Pillar</w:t>
            </w:r>
          </w:p>
        </w:tc>
      </w:tr>
      <w:tr>
        <w:tc>
          <w:tcPr>
            <w:tcW w:type="dxa" w:w="1872"/>
          </w:tcPr>
          <w:p>
            <w:pPr>
              <w:keepNext w:val="0"/>
              <w:spacing w:before="40" w:after="40" w:line="240" w:lineRule="auto"/>
              <w:ind w:firstLine="0"/>
              <w:jc w:val="left"/>
            </w:pPr>
            <w:r/>
            <w:r>
              <w:rPr>
                <w:rFonts w:ascii="Times New Roman" w:hAnsi="Times New Roman"/>
                <w:b w:val="0"/>
                <w:i w:val="0"/>
                <w:sz w:val="20"/>
              </w:rPr>
              <w:t>Proactive Intervention Rate</w:t>
            </w:r>
          </w:p>
        </w:tc>
        <w:tc>
          <w:tcPr>
            <w:tcW w:type="dxa" w:w="1872"/>
          </w:tcPr>
          <w:p>
            <w:pPr>
              <w:keepNext w:val="0"/>
              <w:spacing w:before="40" w:after="40" w:line="240" w:lineRule="auto"/>
              <w:ind w:firstLine="0"/>
              <w:jc w:val="left"/>
            </w:pPr>
            <w:r/>
            <w:r>
              <w:rPr>
                <w:rFonts w:ascii="Times New Roman" w:hAnsi="Times New Roman"/>
                <w:b w:val="0"/>
                <w:i w:val="0"/>
                <w:sz w:val="20"/>
              </w:rPr>
              <w:t>PIR</w:t>
            </w:r>
          </w:p>
        </w:tc>
        <w:tc>
          <w:tcPr>
            <w:tcW w:type="dxa" w:w="1872"/>
          </w:tcPr>
          <w:p>
            <w:pPr>
              <w:keepNext w:val="0"/>
              <w:spacing w:before="40" w:after="40" w:line="240" w:lineRule="auto"/>
              <w:ind w:firstLine="0"/>
              <w:jc w:val="left"/>
            </w:pPr>
            <w:r/>
            <w:r>
              <w:rPr>
                <w:rFonts w:ascii="Times New Roman" w:hAnsi="Times New Roman"/>
                <w:b w:val="0"/>
                <w:i w:val="0"/>
                <w:sz w:val="20"/>
              </w:rPr>
              <w:t>Ratio of system-initiated interactions (checkpoints at which the system halted execution without user prompt) to total agent activations in a session</w:t>
            </w:r>
          </w:p>
        </w:tc>
        <w:tc>
          <w:tcPr>
            <w:tcW w:type="dxa" w:w="1872"/>
          </w:tcPr>
          <w:p>
            <w:pPr>
              <w:keepNext w:val="0"/>
              <w:spacing w:before="40" w:after="40" w:line="240" w:lineRule="auto"/>
              <w:ind w:firstLine="0"/>
              <w:jc w:val="left"/>
            </w:pPr>
            <w:r/>
            <w:r>
              <w:rPr>
                <w:rFonts w:ascii="Times New Roman" w:hAnsi="Times New Roman"/>
                <w:b w:val="0"/>
                <w:i w:val="0"/>
                <w:sz w:val="20"/>
              </w:rPr>
              <w:t>decision-log.yaml (checkpoint_type field)</w:t>
            </w:r>
          </w:p>
        </w:tc>
        <w:tc>
          <w:tcPr>
            <w:tcW w:type="dxa" w:w="1872"/>
          </w:tcPr>
          <w:p>
            <w:pPr>
              <w:keepNext w:val="0"/>
              <w:spacing w:before="40" w:after="40" w:line="240" w:lineRule="auto"/>
              <w:ind w:firstLine="0"/>
              <w:jc w:val="left"/>
            </w:pPr>
            <w:r/>
            <w:r>
              <w:rPr>
                <w:rFonts w:ascii="Times New Roman" w:hAnsi="Times New Roman"/>
                <w:b w:val="0"/>
                <w:i w:val="0"/>
                <w:sz w:val="20"/>
              </w:rPr>
              <w:t>1</w:t>
            </w:r>
          </w:p>
        </w:tc>
      </w:tr>
      <w:tr>
        <w:tc>
          <w:tcPr>
            <w:tcW w:type="dxa" w:w="1872"/>
          </w:tcPr>
          <w:p>
            <w:pPr>
              <w:keepNext w:val="0"/>
              <w:spacing w:before="40" w:after="40" w:line="240" w:lineRule="auto"/>
              <w:ind w:firstLine="0"/>
              <w:jc w:val="left"/>
            </w:pPr>
            <w:r/>
            <w:r>
              <w:rPr>
                <w:rFonts w:ascii="Times New Roman" w:hAnsi="Times New Roman"/>
                <w:b w:val="0"/>
                <w:i w:val="0"/>
                <w:sz w:val="20"/>
              </w:rPr>
              <w:t>State Utilization Depth</w:t>
            </w:r>
          </w:p>
        </w:tc>
        <w:tc>
          <w:tcPr>
            <w:tcW w:type="dxa" w:w="1872"/>
          </w:tcPr>
          <w:p>
            <w:pPr>
              <w:keepNext w:val="0"/>
              <w:spacing w:before="40" w:after="40" w:line="240" w:lineRule="auto"/>
              <w:ind w:firstLine="0"/>
              <w:jc w:val="left"/>
            </w:pPr>
            <w:r/>
            <w:r>
              <w:rPr>
                <w:rFonts w:ascii="Times New Roman" w:hAnsi="Times New Roman"/>
                <w:b w:val="0"/>
                <w:i w:val="0"/>
                <w:sz w:val="20"/>
              </w:rPr>
              <w:t>SUD</w:t>
            </w:r>
          </w:p>
        </w:tc>
        <w:tc>
          <w:tcPr>
            <w:tcW w:type="dxa" w:w="1872"/>
          </w:tcPr>
          <w:p>
            <w:pPr>
              <w:keepNext w:val="0"/>
              <w:spacing w:before="40" w:after="40" w:line="240" w:lineRule="auto"/>
              <w:ind w:firstLine="0"/>
              <w:jc w:val="left"/>
            </w:pPr>
            <w:r/>
            <w:r>
              <w:rPr>
                <w:rFonts w:ascii="Times New Roman" w:hAnsi="Times New Roman"/>
                <w:b w:val="0"/>
                <w:i w:val="0"/>
                <w:sz w:val="20"/>
              </w:rPr>
              <w:t>Mean number of prior Decision Audit Trail entries accessed by agents in subsequent sessions; quantifies whether the system draws on accumulated context or operates statelessly</w:t>
            </w:r>
          </w:p>
        </w:tc>
        <w:tc>
          <w:tcPr>
            <w:tcW w:type="dxa" w:w="1872"/>
          </w:tcPr>
          <w:p>
            <w:pPr>
              <w:keepNext w:val="0"/>
              <w:spacing w:before="40" w:after="40" w:line="240" w:lineRule="auto"/>
              <w:ind w:firstLine="0"/>
              <w:jc w:val="left"/>
            </w:pPr>
            <w:r/>
            <w:r>
              <w:rPr>
                <w:rFonts w:ascii="Times New Roman" w:hAnsi="Times New Roman"/>
                <w:b w:val="0"/>
                <w:i w:val="0"/>
                <w:sz w:val="20"/>
              </w:rPr>
              <w:t>decision-log.yaml + agent activation logs</w:t>
            </w:r>
          </w:p>
        </w:tc>
        <w:tc>
          <w:tcPr>
            <w:tcW w:type="dxa" w:w="1872"/>
          </w:tcPr>
          <w:p>
            <w:pPr>
              <w:keepNext w:val="0"/>
              <w:spacing w:before="40" w:after="40" w:line="240" w:lineRule="auto"/>
              <w:ind w:firstLine="0"/>
              <w:jc w:val="left"/>
            </w:pPr>
            <w:r/>
            <w:r>
              <w:rPr>
                <w:rFonts w:ascii="Times New Roman" w:hAnsi="Times New Roman"/>
                <w:b w:val="0"/>
                <w:i w:val="0"/>
                <w:sz w:val="20"/>
              </w:rPr>
              <w:t>3</w:t>
            </w:r>
          </w:p>
        </w:tc>
      </w:tr>
      <w:tr>
        <w:tc>
          <w:tcPr>
            <w:tcW w:type="dxa" w:w="1872"/>
          </w:tcPr>
          <w:p>
            <w:pPr>
              <w:keepNext w:val="0"/>
              <w:spacing w:before="40" w:after="40" w:line="240" w:lineRule="auto"/>
              <w:ind w:firstLine="0"/>
              <w:jc w:val="left"/>
            </w:pPr>
            <w:r/>
            <w:r>
              <w:rPr>
                <w:rFonts w:ascii="Times New Roman" w:hAnsi="Times New Roman"/>
                <w:b w:val="0"/>
                <w:i w:val="0"/>
                <w:sz w:val="20"/>
              </w:rPr>
              <w:t>Decision Space Expansion</w:t>
            </w:r>
          </w:p>
        </w:tc>
        <w:tc>
          <w:tcPr>
            <w:tcW w:type="dxa" w:w="1872"/>
          </w:tcPr>
          <w:p>
            <w:pPr>
              <w:keepNext w:val="0"/>
              <w:spacing w:before="40" w:after="40" w:line="240" w:lineRule="auto"/>
              <w:ind w:firstLine="0"/>
              <w:jc w:val="left"/>
            </w:pPr>
            <w:r/>
            <w:r>
              <w:rPr>
                <w:rFonts w:ascii="Times New Roman" w:hAnsi="Times New Roman"/>
                <w:b w:val="0"/>
                <w:i w:val="0"/>
                <w:sz w:val="20"/>
              </w:rPr>
              <w:t>DSE</w:t>
            </w:r>
          </w:p>
        </w:tc>
        <w:tc>
          <w:tcPr>
            <w:tcW w:type="dxa" w:w="1872"/>
          </w:tcPr>
          <w:p>
            <w:pPr>
              <w:keepNext w:val="0"/>
              <w:spacing w:before="40" w:after="40" w:line="240" w:lineRule="auto"/>
              <w:ind w:firstLine="0"/>
              <w:jc w:val="left"/>
            </w:pPr>
            <w:r/>
            <w:r>
              <w:rPr>
                <w:rFonts w:ascii="Times New Roman" w:hAnsi="Times New Roman"/>
                <w:b w:val="0"/>
                <w:i w:val="0"/>
                <w:sz w:val="20"/>
              </w:rPr>
              <w:t>Mean T-score range of alternatives presented at each required checkpoint (T_max minus T_min per checkpoint, averaged across session); quantifies breadth of epistemic space constructed for the human</w:t>
            </w:r>
          </w:p>
        </w:tc>
        <w:tc>
          <w:tcPr>
            <w:tcW w:type="dxa" w:w="1872"/>
          </w:tcPr>
          <w:p>
            <w:pPr>
              <w:keepNext w:val="0"/>
              <w:spacing w:before="40" w:after="40" w:line="240" w:lineRule="auto"/>
              <w:ind w:firstLine="0"/>
              <w:jc w:val="left"/>
            </w:pPr>
            <w:r/>
            <w:r>
              <w:rPr>
                <w:rFonts w:ascii="Times New Roman" w:hAnsi="Times New Roman"/>
                <w:b w:val="0"/>
                <w:i w:val="0"/>
                <w:sz w:val="20"/>
              </w:rPr>
              <w:t>decision-log.yaml (T-score arrays)</w:t>
            </w:r>
          </w:p>
        </w:tc>
        <w:tc>
          <w:tcPr>
            <w:tcW w:type="dxa" w:w="1872"/>
          </w:tcPr>
          <w:p>
            <w:pPr>
              <w:keepNext w:val="0"/>
              <w:spacing w:before="40" w:after="40" w:line="240" w:lineRule="auto"/>
              <w:ind w:firstLine="0"/>
              <w:jc w:val="left"/>
            </w:pPr>
            <w:r/>
            <w:r>
              <w:rPr>
                <w:rFonts w:ascii="Times New Roman" w:hAnsi="Times New Roman"/>
                <w:b w:val="0"/>
                <w:i w:val="0"/>
                <w:sz w:val="20"/>
              </w:rPr>
              <w:t>1, 2</w:t>
            </w:r>
          </w:p>
        </w:tc>
      </w:tr>
      <w:tr>
        <w:tc>
          <w:tcPr>
            <w:tcW w:type="dxa" w:w="1872"/>
          </w:tcPr>
          <w:p>
            <w:pPr>
              <w:keepNext w:val="0"/>
              <w:spacing w:before="40" w:after="40" w:line="240" w:lineRule="auto"/>
              <w:ind w:firstLine="0"/>
              <w:jc w:val="left"/>
            </w:pPr>
            <w:r/>
            <w:r>
              <w:rPr>
                <w:rFonts w:ascii="Times New Roman" w:hAnsi="Times New Roman"/>
                <w:b w:val="0"/>
                <w:i w:val="0"/>
                <w:sz w:val="20"/>
              </w:rPr>
              <w:t>Governance Constraint Activation</w:t>
            </w:r>
          </w:p>
        </w:tc>
        <w:tc>
          <w:tcPr>
            <w:tcW w:type="dxa" w:w="1872"/>
          </w:tcPr>
          <w:p>
            <w:pPr>
              <w:keepNext w:val="0"/>
              <w:spacing w:before="40" w:after="40" w:line="240" w:lineRule="auto"/>
              <w:ind w:firstLine="0"/>
              <w:jc w:val="left"/>
            </w:pPr>
            <w:r/>
            <w:r>
              <w:rPr>
                <w:rFonts w:ascii="Times New Roman" w:hAnsi="Times New Roman"/>
                <w:b w:val="0"/>
                <w:i w:val="0"/>
                <w:sz w:val="20"/>
              </w:rPr>
              <w:t>GCA</w:t>
            </w:r>
          </w:p>
        </w:tc>
        <w:tc>
          <w:tcPr>
            <w:tcW w:type="dxa" w:w="1872"/>
          </w:tcPr>
          <w:p>
            <w:pPr>
              <w:keepNext w:val="0"/>
              <w:spacing w:before="40" w:after="40" w:line="240" w:lineRule="auto"/>
              <w:ind w:firstLine="0"/>
              <w:jc w:val="left"/>
            </w:pPr>
            <w:r/>
            <w:r>
              <w:rPr>
                <w:rFonts w:ascii="Times New Roman" w:hAnsi="Times New Roman"/>
                <w:b w:val="0"/>
                <w:i w:val="0"/>
                <w:sz w:val="20"/>
              </w:rPr>
              <w:t>Proportion of required checkpoints at which governance constraints were actively enforced (downstream agents blocked until human selection logged) versus total required checkpoints; GCA &lt; 1.0 indicates architecture-level bypass</w:t>
            </w:r>
          </w:p>
        </w:tc>
        <w:tc>
          <w:tcPr>
            <w:tcW w:type="dxa" w:w="1872"/>
          </w:tcPr>
          <w:p>
            <w:pPr>
              <w:keepNext w:val="0"/>
              <w:spacing w:before="40" w:after="40" w:line="240" w:lineRule="auto"/>
              <w:ind w:firstLine="0"/>
              <w:jc w:val="left"/>
            </w:pPr>
            <w:r/>
            <w:r>
              <w:rPr>
                <w:rFonts w:ascii="Times New Roman" w:hAnsi="Times New Roman"/>
                <w:b w:val="0"/>
                <w:i w:val="0"/>
                <w:sz w:val="20"/>
              </w:rPr>
              <w:t>decision-log.yaml (checkpoint status field)</w:t>
            </w:r>
          </w:p>
        </w:tc>
        <w:tc>
          <w:tcPr>
            <w:tcW w:type="dxa" w:w="1872"/>
          </w:tcPr>
          <w:p>
            <w:pPr>
              <w:keepNext w:val="0"/>
              <w:spacing w:before="40" w:after="40" w:line="240" w:lineRule="auto"/>
              <w:ind w:firstLine="0"/>
              <w:jc w:val="left"/>
            </w:pPr>
            <w:r/>
            <w:r>
              <w:rPr>
                <w:rFonts w:ascii="Times New Roman" w:hAnsi="Times New Roman"/>
                <w:b w:val="0"/>
                <w:i w:val="0"/>
                <w:sz w:val="20"/>
              </w:rPr>
              <w:t>1, 3</w:t>
            </w:r>
          </w:p>
        </w:tc>
      </w:tr>
      <w:tr>
        <w:tc>
          <w:tcPr>
            <w:tcW w:type="dxa" w:w="1872"/>
          </w:tcPr>
          <w:p>
            <w:pPr>
              <w:keepNext w:val="0"/>
              <w:spacing w:before="40" w:after="40" w:line="240" w:lineRule="auto"/>
              <w:ind w:firstLine="0"/>
              <w:jc w:val="left"/>
            </w:pPr>
            <w:r/>
            <w:r>
              <w:rPr>
                <w:rFonts w:ascii="Times New Roman" w:hAnsi="Times New Roman"/>
                <w:b w:val="0"/>
                <w:i w:val="0"/>
                <w:sz w:val="20"/>
              </w:rPr>
              <w:t>Coordination Complexity Index</w:t>
            </w:r>
          </w:p>
        </w:tc>
        <w:tc>
          <w:tcPr>
            <w:tcW w:type="dxa" w:w="1872"/>
          </w:tcPr>
          <w:p>
            <w:pPr>
              <w:keepNext w:val="0"/>
              <w:spacing w:before="40" w:after="40" w:line="240" w:lineRule="auto"/>
              <w:ind w:firstLine="0"/>
              <w:jc w:val="left"/>
            </w:pPr>
            <w:r/>
            <w:r>
              <w:rPr>
                <w:rFonts w:ascii="Times New Roman" w:hAnsi="Times New Roman"/>
                <w:b w:val="0"/>
                <w:i w:val="0"/>
                <w:sz w:val="20"/>
              </w:rPr>
              <w:t>CCI</w:t>
            </w:r>
          </w:p>
        </w:tc>
        <w:tc>
          <w:tcPr>
            <w:tcW w:type="dxa" w:w="1872"/>
          </w:tcPr>
          <w:p>
            <w:pPr>
              <w:keepNext w:val="0"/>
              <w:spacing w:before="40" w:after="40" w:line="240" w:lineRule="auto"/>
              <w:ind w:firstLine="0"/>
              <w:jc w:val="left"/>
            </w:pPr>
            <w:r/>
            <w:r>
              <w:rPr>
                <w:rFonts w:ascii="Times New Roman" w:hAnsi="Times New Roman"/>
                <w:b w:val="0"/>
                <w:i w:val="0"/>
                <w:sz w:val="20"/>
              </w:rPr>
              <w:t>Mean number of active agent dependency chains traversed per session; computed as mean path length from session-initiating agent to terminal agent across all activated pathways</w:t>
            </w:r>
          </w:p>
        </w:tc>
        <w:tc>
          <w:tcPr>
            <w:tcW w:type="dxa" w:w="1872"/>
          </w:tcPr>
          <w:p>
            <w:pPr>
              <w:keepNext w:val="0"/>
              <w:spacing w:before="40" w:after="40" w:line="240" w:lineRule="auto"/>
              <w:ind w:firstLine="0"/>
              <w:jc w:val="left"/>
            </w:pPr>
            <w:r/>
            <w:r>
              <w:rPr>
                <w:rFonts w:ascii="Times New Roman" w:hAnsi="Times New Roman"/>
                <w:b w:val="0"/>
                <w:i w:val="0"/>
                <w:sz w:val="20"/>
              </w:rPr>
              <w:t>Agent activation log + prerequisite dependency graph</w:t>
            </w:r>
          </w:p>
        </w:tc>
        <w:tc>
          <w:tcPr>
            <w:tcW w:type="dxa" w:w="1872"/>
          </w:tcPr>
          <w:p>
            <w:pPr>
              <w:keepNext w:val="0"/>
              <w:spacing w:before="40" w:after="40" w:line="240" w:lineRule="auto"/>
              <w:ind w:firstLine="0"/>
              <w:jc w:val="left"/>
            </w:pPr>
            <w:r/>
            <w:r>
              <w:rPr>
                <w:rFonts w:ascii="Times New Roman" w:hAnsi="Times New Roman"/>
                <w:b w:val="0"/>
                <w:i w:val="0"/>
                <w:sz w:val="20"/>
              </w:rPr>
              <w:t>3</w:t>
            </w:r>
          </w:p>
        </w:tc>
      </w:tr>
    </w:tbl>
    <w:p>
      <w:pPr>
        <w:keepNext w:val="0"/>
        <w:spacing w:before="60" w:after="240" w:line="240" w:lineRule="auto"/>
        <w:ind w:firstLine="0"/>
        <w:jc w:val="left"/>
      </w:pPr>
      <w:r>
        <w:rPr>
          <w:rFonts w:ascii="Times New Roman" w:hAnsi="Times New Roman"/>
          <w:b w:val="0"/>
          <w:i/>
          <w:sz w:val="20"/>
        </w:rPr>
        <w:t xml:space="preserve">Note. </w:t>
      </w:r>
      <w:r>
        <w:rPr>
          <w:rFonts w:ascii="Times New Roman" w:hAnsi="Times New Roman"/>
          <w:b w:val="0"/>
          <w:i w:val="0"/>
          <w:sz w:val="20"/>
        </w:rPr>
        <w:t>T-score range: 0.0 (maximally novel, non-modal) to 1.0 (maximally typical, modal consensus). GCA &lt; 1.0 indicates that architecturally designated governance checkpoints were bypassed without user engagement.</w:t>
      </w:r>
    </w:p>
    <w:p>
      <w:pPr>
        <w:keepNext w:val="0"/>
        <w:spacing w:before="240" w:after="0" w:line="480" w:lineRule="auto"/>
        <w:ind w:firstLine="0"/>
        <w:jc w:val="left"/>
      </w:pPr>
      <w:r>
        <w:rPr>
          <w:rFonts w:ascii="Times New Roman" w:hAnsi="Times New Roman"/>
          <w:b/>
          <w:i w:val="0"/>
          <w:sz w:val="24"/>
        </w:rPr>
        <w:t>Table 3</w:t>
      </w:r>
    </w:p>
    <w:p>
      <w:pPr>
        <w:keepNext w:val="0"/>
        <w:spacing w:before="0" w:after="0" w:line="480" w:lineRule="auto"/>
        <w:ind w:firstLine="0"/>
        <w:jc w:val="left"/>
      </w:pPr>
      <w:r>
        <w:rPr>
          <w:rFonts w:ascii="Times New Roman" w:hAnsi="Times New Roman"/>
          <w:b w:val="0"/>
          <w:i/>
          <w:sz w:val="24"/>
        </w:rPr>
        <w:t>Floridi's Criteria, CMAA Indicators, and Diverga Implementation</w:t>
      </w:r>
    </w:p>
    <w:tbl>
      <w:tblPr>
        <w:tblStyle w:val="TableGrid"/>
        <w:tblW w:type="auto" w:w="0"/>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2340"/>
        <w:gridCol w:w="2340"/>
        <w:gridCol w:w="2340"/>
        <w:gridCol w:w="2340"/>
      </w:tblGrid>
      <w:tr>
        <w:tc>
          <w:tcPr>
            <w:tcW w:type="dxa" w:w="2160"/>
            <w:tcBorders>
              <w:bottom w:val="single" w:sz="6" w:space="0" w:color="000000"/>
            </w:tcBorders>
          </w:tcPr>
          <w:p>
            <w:pPr>
              <w:keepNext w:val="0"/>
              <w:spacing w:before="60" w:after="60" w:line="240" w:lineRule="auto"/>
              <w:ind w:firstLine="0"/>
              <w:jc w:val="left"/>
            </w:pPr>
            <w:r/>
            <w:r>
              <w:rPr>
                <w:rFonts w:ascii="Times New Roman" w:hAnsi="Times New Roman"/>
                <w:b/>
                <w:i w:val="0"/>
                <w:sz w:val="20"/>
              </w:rPr>
              <w:t>Floridi Criterion</w:t>
            </w:r>
          </w:p>
        </w:tc>
        <w:tc>
          <w:tcPr>
            <w:tcW w:type="dxa" w:w="1872"/>
            <w:tcBorders>
              <w:bottom w:val="single" w:sz="6" w:space="0" w:color="000000"/>
            </w:tcBorders>
          </w:tcPr>
          <w:p>
            <w:pPr>
              <w:keepNext w:val="0"/>
              <w:spacing w:before="60" w:after="60" w:line="240" w:lineRule="auto"/>
              <w:ind w:firstLine="0"/>
              <w:jc w:val="left"/>
            </w:pPr>
            <w:r/>
            <w:r>
              <w:rPr>
                <w:rFonts w:ascii="Times New Roman" w:hAnsi="Times New Roman"/>
                <w:b/>
                <w:i w:val="0"/>
                <w:sz w:val="20"/>
              </w:rPr>
              <w:t>CMAA Indicator(s)</w:t>
            </w:r>
          </w:p>
        </w:tc>
        <w:tc>
          <w:tcPr>
            <w:tcW w:type="dxa" w:w="3024"/>
            <w:tcBorders>
              <w:bottom w:val="single" w:sz="6" w:space="0" w:color="000000"/>
            </w:tcBorders>
          </w:tcPr>
          <w:p>
            <w:pPr>
              <w:keepNext w:val="0"/>
              <w:spacing w:before="60" w:after="60" w:line="240" w:lineRule="auto"/>
              <w:ind w:firstLine="0"/>
              <w:jc w:val="left"/>
            </w:pPr>
            <w:r/>
            <w:r>
              <w:rPr>
                <w:rFonts w:ascii="Times New Roman" w:hAnsi="Times New Roman"/>
                <w:b/>
                <w:i w:val="0"/>
                <w:sz w:val="20"/>
              </w:rPr>
              <w:t>Diverga Implementation</w:t>
            </w:r>
          </w:p>
        </w:tc>
        <w:tc>
          <w:tcPr>
            <w:tcW w:type="dxa" w:w="2304"/>
            <w:tcBorders>
              <w:bottom w:val="single" w:sz="6" w:space="0" w:color="000000"/>
            </w:tcBorders>
          </w:tcPr>
          <w:p>
            <w:pPr>
              <w:keepNext w:val="0"/>
              <w:spacing w:before="60" w:after="60" w:line="240" w:lineRule="auto"/>
              <w:ind w:firstLine="0"/>
              <w:jc w:val="left"/>
            </w:pPr>
            <w:r/>
            <w:r>
              <w:rPr>
                <w:rFonts w:ascii="Times New Roman" w:hAnsi="Times New Roman"/>
                <w:b/>
                <w:i w:val="0"/>
                <w:sz w:val="20"/>
              </w:rPr>
              <w:t>Measurement Evidence</w:t>
            </w:r>
          </w:p>
        </w:tc>
      </w:tr>
      <w:tr>
        <w:tc>
          <w:tcPr>
            <w:tcW w:type="dxa" w:w="2340"/>
          </w:tcPr>
          <w:p>
            <w:pPr>
              <w:keepNext w:val="0"/>
              <w:spacing w:before="40" w:after="40" w:line="240" w:lineRule="auto"/>
              <w:ind w:firstLine="0"/>
              <w:jc w:val="left"/>
            </w:pPr>
            <w:r/>
            <w:r>
              <w:rPr>
                <w:rFonts w:ascii="Times New Roman" w:hAnsi="Times New Roman"/>
                <w:b w:val="0"/>
                <w:i w:val="0"/>
                <w:sz w:val="20"/>
              </w:rPr>
              <w:t>Interactivity</w:t>
            </w:r>
          </w:p>
        </w:tc>
        <w:tc>
          <w:tcPr>
            <w:tcW w:type="dxa" w:w="2340"/>
          </w:tcPr>
          <w:p>
            <w:pPr>
              <w:keepNext w:val="0"/>
              <w:spacing w:before="40" w:after="40" w:line="240" w:lineRule="auto"/>
              <w:ind w:firstLine="0"/>
              <w:jc w:val="left"/>
            </w:pPr>
            <w:r/>
            <w:r>
              <w:rPr>
                <w:rFonts w:ascii="Times New Roman" w:hAnsi="Times New Roman"/>
                <w:b w:val="0"/>
                <w:i w:val="0"/>
                <w:sz w:val="20"/>
              </w:rPr>
              <w:t>CCI</w:t>
            </w:r>
          </w:p>
        </w:tc>
        <w:tc>
          <w:tcPr>
            <w:tcW w:type="dxa" w:w="2340"/>
          </w:tcPr>
          <w:p>
            <w:pPr>
              <w:keepNext w:val="0"/>
              <w:spacing w:before="40" w:after="40" w:line="240" w:lineRule="auto"/>
              <w:ind w:firstLine="0"/>
              <w:jc w:val="left"/>
            </w:pPr>
            <w:r/>
            <w:r>
              <w:rPr>
                <w:rFonts w:ascii="Times New Roman" w:hAnsi="Times New Roman"/>
                <w:b w:val="0"/>
                <w:i w:val="0"/>
                <w:sz w:val="20"/>
              </w:rPr>
              <w:t>Agent Prerequisite Map; 24-agent dependency graph</w:t>
            </w:r>
          </w:p>
        </w:tc>
        <w:tc>
          <w:tcPr>
            <w:tcW w:type="dxa" w:w="2340"/>
          </w:tcPr>
          <w:p>
            <w:pPr>
              <w:keepNext w:val="0"/>
              <w:spacing w:before="40" w:after="40" w:line="240" w:lineRule="auto"/>
              <w:ind w:firstLine="0"/>
              <w:jc w:val="left"/>
            </w:pPr>
            <w:r/>
            <w:r>
              <w:rPr>
                <w:rFonts w:ascii="Times New Roman" w:hAnsi="Times New Roman"/>
                <w:b w:val="0"/>
                <w:i w:val="0"/>
                <w:sz w:val="20"/>
              </w:rPr>
              <w:t>Dependency chain length in activation log</w:t>
            </w:r>
          </w:p>
        </w:tc>
      </w:tr>
      <w:tr>
        <w:tc>
          <w:tcPr>
            <w:tcW w:type="dxa" w:w="2340"/>
          </w:tcPr>
          <w:p>
            <w:pPr>
              <w:keepNext w:val="0"/>
              <w:spacing w:before="40" w:after="40" w:line="240" w:lineRule="auto"/>
              <w:ind w:firstLine="0"/>
              <w:jc w:val="left"/>
            </w:pPr>
            <w:r/>
            <w:r>
              <w:rPr>
                <w:rFonts w:ascii="Times New Roman" w:hAnsi="Times New Roman"/>
                <w:b w:val="0"/>
                <w:i w:val="0"/>
                <w:sz w:val="20"/>
              </w:rPr>
              <w:t>Bounded Autonomy</w:t>
            </w:r>
          </w:p>
        </w:tc>
        <w:tc>
          <w:tcPr>
            <w:tcW w:type="dxa" w:w="2340"/>
          </w:tcPr>
          <w:p>
            <w:pPr>
              <w:keepNext w:val="0"/>
              <w:spacing w:before="40" w:after="40" w:line="240" w:lineRule="auto"/>
              <w:ind w:firstLine="0"/>
              <w:jc w:val="left"/>
            </w:pPr>
            <w:r/>
            <w:r>
              <w:rPr>
                <w:rFonts w:ascii="Times New Roman" w:hAnsi="Times New Roman"/>
                <w:b w:val="0"/>
                <w:i w:val="0"/>
                <w:sz w:val="20"/>
              </w:rPr>
              <w:t>GCA, PIR</w:t>
            </w:r>
          </w:p>
        </w:tc>
        <w:tc>
          <w:tcPr>
            <w:tcW w:type="dxa" w:w="2340"/>
          </w:tcPr>
          <w:p>
            <w:pPr>
              <w:keepNext w:val="0"/>
              <w:spacing w:before="40" w:after="40" w:line="240" w:lineRule="auto"/>
              <w:ind w:firstLine="0"/>
              <w:jc w:val="left"/>
            </w:pPr>
            <w:r/>
            <w:r>
              <w:rPr>
                <w:rFonts w:ascii="Times New Roman" w:hAnsi="Times New Roman"/>
                <w:b w:val="0"/>
                <w:i w:val="0"/>
                <w:sz w:val="20"/>
              </w:rPr>
              <w:t>Human Checkpoint System (required/advisory enforcement); Override Refusal mechanism</w:t>
            </w:r>
          </w:p>
        </w:tc>
        <w:tc>
          <w:tcPr>
            <w:tcW w:type="dxa" w:w="2340"/>
          </w:tcPr>
          <w:p>
            <w:pPr>
              <w:keepNext w:val="0"/>
              <w:spacing w:before="40" w:after="40" w:line="240" w:lineRule="auto"/>
              <w:ind w:firstLine="0"/>
              <w:jc w:val="left"/>
            </w:pPr>
            <w:r/>
            <w:r>
              <w:rPr>
                <w:rFonts w:ascii="Times New Roman" w:hAnsi="Times New Roman"/>
                <w:b w:val="0"/>
                <w:i w:val="0"/>
                <w:sz w:val="20"/>
              </w:rPr>
              <w:t>Proportion of required checkpoints with status = enforced in decision-log.yaml</w:t>
            </w:r>
          </w:p>
        </w:tc>
      </w:tr>
      <w:tr>
        <w:tc>
          <w:tcPr>
            <w:tcW w:type="dxa" w:w="2340"/>
          </w:tcPr>
          <w:p>
            <w:pPr>
              <w:keepNext w:val="0"/>
              <w:spacing w:before="40" w:after="40" w:line="240" w:lineRule="auto"/>
              <w:ind w:firstLine="0"/>
              <w:jc w:val="left"/>
            </w:pPr>
            <w:r/>
            <w:r>
              <w:rPr>
                <w:rFonts w:ascii="Times New Roman" w:hAnsi="Times New Roman"/>
                <w:b w:val="0"/>
                <w:i w:val="0"/>
                <w:sz w:val="20"/>
              </w:rPr>
              <w:t>Adaptability</w:t>
            </w:r>
          </w:p>
        </w:tc>
        <w:tc>
          <w:tcPr>
            <w:tcW w:type="dxa" w:w="2340"/>
          </w:tcPr>
          <w:p>
            <w:pPr>
              <w:keepNext w:val="0"/>
              <w:spacing w:before="40" w:after="40" w:line="240" w:lineRule="auto"/>
              <w:ind w:firstLine="0"/>
              <w:jc w:val="left"/>
            </w:pPr>
            <w:r/>
            <w:r>
              <w:rPr>
                <w:rFonts w:ascii="Times New Roman" w:hAnsi="Times New Roman"/>
                <w:b w:val="0"/>
                <w:i w:val="0"/>
                <w:sz w:val="20"/>
              </w:rPr>
              <w:t>SUD, DSE</w:t>
            </w:r>
          </w:p>
        </w:tc>
        <w:tc>
          <w:tcPr>
            <w:tcW w:type="dxa" w:w="2340"/>
          </w:tcPr>
          <w:p>
            <w:pPr>
              <w:keepNext w:val="0"/>
              <w:spacing w:before="40" w:after="40" w:line="240" w:lineRule="auto"/>
              <w:ind w:firstLine="0"/>
              <w:jc w:val="left"/>
            </w:pPr>
            <w:r/>
            <w:r>
              <w:rPr>
                <w:rFonts w:ascii="Times New Roman" w:hAnsi="Times New Roman"/>
                <w:b w:val="0"/>
                <w:i w:val="0"/>
                <w:sz w:val="20"/>
              </w:rPr>
              <w:t>3-Layer Memory System; VS/T-score engine; Decision Audit Trail</w:t>
            </w:r>
          </w:p>
        </w:tc>
        <w:tc>
          <w:tcPr>
            <w:tcW w:type="dxa" w:w="2340"/>
          </w:tcPr>
          <w:p>
            <w:pPr>
              <w:keepNext w:val="0"/>
              <w:spacing w:before="40" w:after="40" w:line="240" w:lineRule="auto"/>
              <w:ind w:firstLine="0"/>
              <w:jc w:val="left"/>
            </w:pPr>
            <w:r/>
            <w:r>
              <w:rPr>
                <w:rFonts w:ascii="Times New Roman" w:hAnsi="Times New Roman"/>
                <w:b w:val="0"/>
                <w:i w:val="0"/>
                <w:sz w:val="20"/>
              </w:rPr>
              <w:t>Session-to-session DAT entry references; T-score array range per checkpoint</w:t>
            </w:r>
          </w:p>
        </w:tc>
      </w:tr>
    </w:tbl>
    <w:p>
      <w:pPr>
        <w:keepNext w:val="0"/>
        <w:spacing w:before="60" w:after="240" w:line="240" w:lineRule="auto"/>
        <w:ind w:firstLine="0"/>
        <w:jc w:val="left"/>
      </w:pPr>
      <w:r>
        <w:rPr>
          <w:rFonts w:ascii="Times New Roman" w:hAnsi="Times New Roman"/>
          <w:b w:val="0"/>
          <w:i/>
          <w:sz w:val="20"/>
        </w:rPr>
        <w:t xml:space="preserve">Note. </w:t>
      </w:r>
      <w:r>
        <w:rPr>
          <w:rFonts w:ascii="Times New Roman" w:hAnsi="Times New Roman"/>
          <w:b w:val="0"/>
          <w:i w:val="0"/>
          <w:sz w:val="20"/>
        </w:rPr>
        <w:t>VS = Verbalized Sampling. DAT = Decision Audit Trail. Diverga v12.0 implementation details in [Author(s), in preparation].</w:t>
      </w:r>
    </w:p>
    <w:p>
      <w:pPr>
        <w:keepNext w:val="0"/>
        <w:spacing w:before="0" w:after="0" w:line="480" w:lineRule="auto"/>
        <w:ind w:firstLine="0"/>
        <w:jc w:val="left"/>
      </w:pPr>
      <w:r>
        <w:rPr>
          <w:rFonts w:ascii="Times New Roman" w:hAnsi="Times New Roman"/>
          <w:b/>
          <w:i w:val="0"/>
          <w:sz w:val="24"/>
        </w:rPr>
        <w:t>Typicality Trajectory Analysis</w:t>
      </w:r>
    </w:p>
    <w:p>
      <w:pPr>
        <w:keepNext w:val="0"/>
        <w:spacing w:before="0" w:after="0" w:line="480" w:lineRule="auto"/>
        <w:ind w:firstLine="720"/>
        <w:jc w:val="left"/>
      </w:pPr>
      <w:r>
        <w:rPr>
          <w:rFonts w:ascii="Times New Roman" w:hAnsi="Times New Roman"/>
          <w:b/>
          <w:i/>
          <w:color w:val="828282"/>
          <w:sz w:val="20"/>
        </w:rPr>
        <w:t>[OUTLINE: §3.3: Typicality Trajectory (~300 words)]</w:t>
      </w:r>
    </w:p>
    <w:p>
      <w:pPr>
        <w:keepNext w:val="0"/>
        <w:spacing w:before="0" w:after="0" w:line="480" w:lineRule="auto"/>
        <w:ind w:firstLine="0" w:left="1080"/>
        <w:jc w:val="left"/>
      </w:pPr>
      <w:r>
        <w:rPr>
          <w:rFonts w:ascii="Times New Roman" w:hAnsi="Times New Roman"/>
          <w:b w:val="0"/>
          <w:i/>
          <w:color w:val="828282"/>
          <w:sz w:val="20"/>
        </w:rPr>
        <w:t>•  Definition: T-score of selected option plotted sequentially across all required checkpoints in a session</w:t>
      </w:r>
    </w:p>
    <w:p>
      <w:pPr>
        <w:keepNext w:val="0"/>
        <w:spacing w:before="0" w:after="0" w:line="480" w:lineRule="auto"/>
        <w:ind w:firstLine="0" w:left="1080"/>
        <w:jc w:val="left"/>
      </w:pPr>
      <w:r>
        <w:rPr>
          <w:rFonts w:ascii="Times New Roman" w:hAnsi="Times New Roman"/>
          <w:b w:val="0"/>
          <w:i/>
          <w:color w:val="828282"/>
          <w:sz w:val="20"/>
        </w:rPr>
        <w:t>•  Three trajectory patterns: Modal Persistence (T &gt; 0.8 sustained), Deliberate Exploration (mixed T-score range), Guided Departure (T &lt; 0.5 following GCA activation)</w:t>
      </w:r>
    </w:p>
    <w:p>
      <w:pPr>
        <w:keepNext w:val="0"/>
        <w:spacing w:before="0" w:after="0" w:line="480" w:lineRule="auto"/>
        <w:ind w:firstLine="0" w:left="1080"/>
        <w:jc w:val="left"/>
      </w:pPr>
      <w:r>
        <w:rPr>
          <w:rFonts w:ascii="Times New Roman" w:hAnsi="Times New Roman"/>
          <w:b w:val="0"/>
          <w:i/>
          <w:color w:val="828282"/>
          <w:sz w:val="20"/>
        </w:rPr>
        <w:t>•  Combined with think-aloud data (qualitative) to explain why trajectories differ across participants</w:t>
      </w:r>
    </w:p>
    <w:p>
      <w:pPr>
        <w:keepNext w:val="0"/>
        <w:spacing w:before="0" w:after="0" w:line="480" w:lineRule="auto"/>
        <w:ind w:firstLine="0" w:left="1080"/>
        <w:jc w:val="left"/>
      </w:pPr>
      <w:r>
        <w:rPr>
          <w:rFonts w:ascii="Times New Roman" w:hAnsi="Times New Roman"/>
          <w:b w:val="0"/>
          <w:i/>
          <w:color w:val="828282"/>
          <w:sz w:val="20"/>
        </w:rPr>
        <w:t>•  Path dependence implications: early modal selections constrain downstream option space</w:t>
      </w:r>
    </w:p>
    <w:p>
      <w:pPr>
        <w:keepNext w:val="0"/>
        <w:spacing w:before="0" w:after="0" w:line="480" w:lineRule="auto"/>
        <w:jc w:val="center"/>
      </w:pPr>
      <w:r>
        <w:rPr>
          <w:rFonts w:ascii="Times New Roman" w:hAnsi="Times New Roman"/>
          <w:b/>
          <w:i w:val="0"/>
          <w:sz w:val="24"/>
        </w:rPr>
        <w:t>Diverga as Design-Based Empirical Case</w:t>
      </w:r>
    </w:p>
    <w:p>
      <w:pPr>
        <w:keepNext w:val="0"/>
        <w:spacing w:before="0" w:after="0" w:line="480" w:lineRule="auto"/>
        <w:ind w:firstLine="720"/>
        <w:jc w:val="left"/>
      </w:pPr>
      <w:r>
        <w:rPr>
          <w:rFonts w:ascii="Times New Roman" w:hAnsi="Times New Roman"/>
          <w:b w:val="0"/>
          <w:i w:val="0"/>
          <w:sz w:val="24"/>
        </w:rPr>
        <w:t>CMAA is not derived from theoretical speculation alone; it is grounded in systematic analysis of a system specifically designed to instantiate artificial agency as Floridi defines it. Diverga's development through five iterative design cycles (McKenney &amp; Reeves, 2012), spanning 224 version-controlled commits over 57 days, provides design-based empirical evidence for each CMAA indicator's necessity, measurability, and theoretical grounding.</w:t>
      </w:r>
    </w:p>
    <w:p>
      <w:pPr>
        <w:keepNext w:val="0"/>
        <w:spacing w:before="0" w:after="0" w:line="480" w:lineRule="auto"/>
        <w:ind w:firstLine="0"/>
        <w:jc w:val="left"/>
      </w:pPr>
      <w:r>
        <w:rPr>
          <w:rFonts w:ascii="Times New Roman" w:hAnsi="Times New Roman"/>
          <w:b/>
          <w:i w:val="0"/>
          <w:sz w:val="24"/>
        </w:rPr>
        <w:t>Critical Incident 1: The Checkpoint Bypass Problem and GCA</w:t>
      </w:r>
    </w:p>
    <w:p>
      <w:pPr>
        <w:keepNext w:val="0"/>
        <w:spacing w:before="0" w:after="0" w:line="480" w:lineRule="auto"/>
        <w:ind w:firstLine="720"/>
        <w:jc w:val="left"/>
      </w:pPr>
      <w:r>
        <w:rPr>
          <w:rFonts w:ascii="Times New Roman" w:hAnsi="Times New Roman"/>
          <w:b w:val="0"/>
          <w:i w:val="0"/>
          <w:sz w:val="24"/>
        </w:rPr>
        <w:t>System audit logs from Diverga v11.0 revealed that architecturally designated required checkpoints were being programmatically bypassed, generating approval tokens without user engagement, while the system's interface presented no evidence of the bypass. This incident made concrete a measurement problem that had been theoretically anticipated but not yet operationalized: the distinction between architecturally claimed oversight and actual epistemic participation cannot be inferred from system architecture documentation alone. It requires direct measurement of whether governance constraints were activated at the decision juncture. The GCA indicator was formalized in direct response to this critical incident.</w:t>
      </w:r>
    </w:p>
    <w:p>
      <w:pPr>
        <w:keepNext w:val="0"/>
        <w:spacing w:before="0" w:after="0" w:line="480" w:lineRule="auto"/>
        <w:ind w:firstLine="0"/>
        <w:jc w:val="left"/>
      </w:pPr>
      <w:r>
        <w:rPr>
          <w:rFonts w:ascii="Times New Roman" w:hAnsi="Times New Roman"/>
          <w:b/>
          <w:i w:val="0"/>
          <w:sz w:val="24"/>
        </w:rPr>
        <w:t>Critical Incident 2: Autonomous Mode Removal and PIR, DSE</w:t>
      </w:r>
    </w:p>
    <w:p>
      <w:pPr>
        <w:keepNext w:val="0"/>
        <w:spacing w:before="0" w:after="0" w:line="480" w:lineRule="auto"/>
        <w:ind w:firstLine="720"/>
        <w:jc w:val="left"/>
      </w:pPr>
      <w:r>
        <w:rPr>
          <w:rFonts w:ascii="Times New Roman" w:hAnsi="Times New Roman"/>
          <w:b w:val="0"/>
          <w:i w:val="0"/>
          <w:sz w:val="24"/>
        </w:rPr>
        <w:t>An autonomous operation mode introduced during Cycle 2, enabling the system to proceed through multiple agent stages without checkpoint interruption, was removed within 24 hours upon recognition that initiative without structured pause at decision junctures eliminates the epistemic labour redistribution that constitutes artificial agency's educational value. The system could produce research design outputs, but the human researcher exercised no deliberate evaluation of alternatives along the way. This incident grounds the PIR and DSE indicators: what matters is not whether the system produces outputs, but whether it creates structured opportunities for human epistemic engagement at each decision juncture.</w:t>
      </w:r>
    </w:p>
    <w:p>
      <w:pPr>
        <w:keepNext w:val="0"/>
        <w:spacing w:before="0" w:after="0" w:line="480" w:lineRule="auto"/>
        <w:ind w:firstLine="720"/>
        <w:jc w:val="left"/>
      </w:pPr>
      <w:r>
        <w:rPr>
          <w:rFonts w:ascii="Times New Roman" w:hAnsi="Times New Roman"/>
          <w:b/>
          <w:i/>
          <w:color w:val="828282"/>
          <w:sz w:val="20"/>
        </w:rPr>
        <w:t>[OUTLINE: §4: remaining critical incidents (~300 words)]</w:t>
      </w:r>
    </w:p>
    <w:p>
      <w:pPr>
        <w:keepNext w:val="0"/>
        <w:spacing w:before="0" w:after="0" w:line="480" w:lineRule="auto"/>
        <w:ind w:firstLine="0" w:left="1080"/>
        <w:jc w:val="left"/>
      </w:pPr>
      <w:r>
        <w:rPr>
          <w:rFonts w:ascii="Times New Roman" w:hAnsi="Times New Roman"/>
          <w:b w:val="0"/>
          <w:i/>
          <w:color w:val="828282"/>
          <w:sz w:val="20"/>
        </w:rPr>
        <w:t>•  Critical Incident 3: Agent consolidation (44 to 24 agents) → CCI tractability: overlapping domains eliminated to ensure each checkpoint represents a distinguishable epistemic decision juncture</w:t>
      </w:r>
    </w:p>
    <w:p>
      <w:pPr>
        <w:keepNext w:val="0"/>
        <w:spacing w:before="0" w:after="0" w:line="480" w:lineRule="auto"/>
        <w:ind w:firstLine="0" w:left="1080"/>
        <w:jc w:val="left"/>
      </w:pPr>
      <w:r>
        <w:rPr>
          <w:rFonts w:ascii="Times New Roman" w:hAnsi="Times New Roman"/>
          <w:b w:val="0"/>
          <w:i/>
          <w:color w:val="828282"/>
          <w:sz w:val="20"/>
        </w:rPr>
        <w:t>•  Critical Incident 4: 3-Layer Memory introduction → SUD: agents begin drawing on prior session context across sessions</w:t>
      </w:r>
    </w:p>
    <w:p>
      <w:pPr>
        <w:keepNext w:val="0"/>
        <w:spacing w:before="0" w:after="0" w:line="480" w:lineRule="auto"/>
        <w:ind w:firstLine="0" w:left="1080"/>
        <w:jc w:val="left"/>
      </w:pPr>
      <w:r>
        <w:rPr>
          <w:rFonts w:ascii="Times New Roman" w:hAnsi="Times New Roman"/>
          <w:b w:val="0"/>
          <w:i/>
          <w:color w:val="828282"/>
          <w:sz w:val="20"/>
        </w:rPr>
        <w:t>•  Critical Incident 5: VS T-score formalization → DSE: typicality made explicitly visible to human at checkpoint</w:t>
      </w:r>
    </w:p>
    <w:p>
      <w:pPr>
        <w:keepNext w:val="0"/>
        <w:spacing w:before="0" w:after="0" w:line="480" w:lineRule="auto"/>
        <w:ind w:firstLine="720"/>
        <w:jc w:val="left"/>
      </w:pPr>
      <w:r>
        <w:rPr>
          <w:rFonts w:ascii="Times New Roman" w:hAnsi="Times New Roman"/>
          <w:b w:val="0"/>
          <w:i w:val="0"/>
          <w:sz w:val="24"/>
        </w:rPr>
        <w:t>Table 4 summarizes the design cycle evidence supporting each CMAA indicator.</w:t>
      </w:r>
    </w:p>
    <w:p>
      <w:pPr>
        <w:keepNext w:val="0"/>
        <w:spacing w:before="240" w:after="0" w:line="480" w:lineRule="auto"/>
        <w:ind w:firstLine="0"/>
        <w:jc w:val="left"/>
      </w:pPr>
      <w:r>
        <w:rPr>
          <w:rFonts w:ascii="Times New Roman" w:hAnsi="Times New Roman"/>
          <w:b/>
          <w:i w:val="0"/>
          <w:sz w:val="24"/>
        </w:rPr>
        <w:t>Table 4</w:t>
      </w:r>
    </w:p>
    <w:p>
      <w:pPr>
        <w:keepNext w:val="0"/>
        <w:spacing w:before="0" w:after="0" w:line="480" w:lineRule="auto"/>
        <w:ind w:firstLine="0"/>
        <w:jc w:val="left"/>
      </w:pPr>
      <w:r>
        <w:rPr>
          <w:rFonts w:ascii="Times New Roman" w:hAnsi="Times New Roman"/>
          <w:b w:val="0"/>
          <w:i/>
          <w:sz w:val="24"/>
        </w:rPr>
        <w:t>Design Cycle Evidence for CMAA Indicators</w:t>
      </w:r>
    </w:p>
    <w:tbl>
      <w:tblPr>
        <w:tblStyle w:val="TableGrid"/>
        <w:tblW w:type="auto" w:w="0"/>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2340"/>
        <w:gridCol w:w="2340"/>
        <w:gridCol w:w="2340"/>
        <w:gridCol w:w="2340"/>
      </w:tblGrid>
      <w:tr>
        <w:tc>
          <w:tcPr>
            <w:tcW w:type="dxa" w:w="1296"/>
            <w:tcBorders>
              <w:bottom w:val="single" w:sz="6" w:space="0" w:color="000000"/>
            </w:tcBorders>
          </w:tcPr>
          <w:p>
            <w:pPr>
              <w:keepNext w:val="0"/>
              <w:spacing w:before="60" w:after="60" w:line="240" w:lineRule="auto"/>
              <w:ind w:firstLine="0"/>
              <w:jc w:val="left"/>
            </w:pPr>
            <w:r/>
            <w:r>
              <w:rPr>
                <w:rFonts w:ascii="Times New Roman" w:hAnsi="Times New Roman"/>
                <w:b/>
                <w:i w:val="0"/>
                <w:sz w:val="20"/>
              </w:rPr>
              <w:t>Design Cycle</w:t>
            </w:r>
          </w:p>
        </w:tc>
        <w:tc>
          <w:tcPr>
            <w:tcW w:type="dxa" w:w="3456"/>
            <w:tcBorders>
              <w:bottom w:val="single" w:sz="6" w:space="0" w:color="000000"/>
            </w:tcBorders>
          </w:tcPr>
          <w:p>
            <w:pPr>
              <w:keepNext w:val="0"/>
              <w:spacing w:before="60" w:after="60" w:line="240" w:lineRule="auto"/>
              <w:ind w:firstLine="0"/>
              <w:jc w:val="left"/>
            </w:pPr>
            <w:r/>
            <w:r>
              <w:rPr>
                <w:rFonts w:ascii="Times New Roman" w:hAnsi="Times New Roman"/>
                <w:b/>
                <w:i w:val="0"/>
                <w:sz w:val="20"/>
              </w:rPr>
              <w:t>Key Incident</w:t>
            </w:r>
          </w:p>
        </w:tc>
        <w:tc>
          <w:tcPr>
            <w:tcW w:type="dxa" w:w="1584"/>
            <w:tcBorders>
              <w:bottom w:val="single" w:sz="6" w:space="0" w:color="000000"/>
            </w:tcBorders>
          </w:tcPr>
          <w:p>
            <w:pPr>
              <w:keepNext w:val="0"/>
              <w:spacing w:before="60" w:after="60" w:line="240" w:lineRule="auto"/>
              <w:ind w:firstLine="0"/>
              <w:jc w:val="left"/>
            </w:pPr>
            <w:r/>
            <w:r>
              <w:rPr>
                <w:rFonts w:ascii="Times New Roman" w:hAnsi="Times New Roman"/>
                <w:b/>
                <w:i w:val="0"/>
                <w:sz w:val="20"/>
              </w:rPr>
              <w:t>CMAA Indicator</w:t>
            </w:r>
          </w:p>
        </w:tc>
        <w:tc>
          <w:tcPr>
            <w:tcW w:type="dxa" w:w="2304"/>
            <w:tcBorders>
              <w:bottom w:val="single" w:sz="6" w:space="0" w:color="000000"/>
            </w:tcBorders>
          </w:tcPr>
          <w:p>
            <w:pPr>
              <w:keepNext w:val="0"/>
              <w:spacing w:before="60" w:after="60" w:line="240" w:lineRule="auto"/>
              <w:ind w:firstLine="0"/>
              <w:jc w:val="left"/>
            </w:pPr>
            <w:r/>
            <w:r>
              <w:rPr>
                <w:rFonts w:ascii="Times New Roman" w:hAnsi="Times New Roman"/>
                <w:b/>
                <w:i w:val="0"/>
                <w:sz w:val="20"/>
              </w:rPr>
              <w:t>Evidence Type</w:t>
            </w:r>
          </w:p>
        </w:tc>
      </w:tr>
      <w:tr>
        <w:tc>
          <w:tcPr>
            <w:tcW w:type="dxa" w:w="2340"/>
          </w:tcPr>
          <w:p>
            <w:pPr>
              <w:keepNext w:val="0"/>
              <w:spacing w:before="40" w:after="40" w:line="240" w:lineRule="auto"/>
              <w:ind w:firstLine="0"/>
              <w:jc w:val="left"/>
            </w:pPr>
            <w:r/>
            <w:r>
              <w:rPr>
                <w:rFonts w:ascii="Times New Roman" w:hAnsi="Times New Roman"/>
                <w:b w:val="0"/>
                <w:i w:val="0"/>
                <w:sz w:val="20"/>
              </w:rPr>
              <w:t>Cycle 2</w:t>
            </w:r>
          </w:p>
        </w:tc>
        <w:tc>
          <w:tcPr>
            <w:tcW w:type="dxa" w:w="2340"/>
          </w:tcPr>
          <w:p>
            <w:pPr>
              <w:keepNext w:val="0"/>
              <w:spacing w:before="40" w:after="40" w:line="240" w:lineRule="auto"/>
              <w:ind w:firstLine="0"/>
              <w:jc w:val="left"/>
            </w:pPr>
            <w:r/>
            <w:r>
              <w:rPr>
                <w:rFonts w:ascii="Times New Roman" w:hAnsi="Times New Roman"/>
                <w:b w:val="0"/>
                <w:i w:val="0"/>
                <w:sz w:val="20"/>
              </w:rPr>
              <w:t>Autonomous mode removed (24 hours): initiative without checkpoints eliminates epistemic redistribution</w:t>
            </w:r>
          </w:p>
        </w:tc>
        <w:tc>
          <w:tcPr>
            <w:tcW w:type="dxa" w:w="2340"/>
          </w:tcPr>
          <w:p>
            <w:pPr>
              <w:keepNext w:val="0"/>
              <w:spacing w:before="40" w:after="40" w:line="240" w:lineRule="auto"/>
              <w:ind w:firstLine="0"/>
              <w:jc w:val="left"/>
            </w:pPr>
            <w:r/>
            <w:r>
              <w:rPr>
                <w:rFonts w:ascii="Times New Roman" w:hAnsi="Times New Roman"/>
                <w:b w:val="0"/>
                <w:i w:val="0"/>
                <w:sz w:val="20"/>
              </w:rPr>
              <w:t>PIR, DSE</w:t>
            </w:r>
          </w:p>
        </w:tc>
        <w:tc>
          <w:tcPr>
            <w:tcW w:type="dxa" w:w="2340"/>
          </w:tcPr>
          <w:p>
            <w:pPr>
              <w:keepNext w:val="0"/>
              <w:spacing w:before="40" w:after="40" w:line="240" w:lineRule="auto"/>
              <w:ind w:firstLine="0"/>
              <w:jc w:val="left"/>
            </w:pPr>
            <w:r/>
            <w:r>
              <w:rPr>
                <w:rFonts w:ascii="Times New Roman" w:hAnsi="Times New Roman"/>
                <w:b w:val="0"/>
                <w:i w:val="0"/>
                <w:sz w:val="20"/>
              </w:rPr>
              <w:t>Critical incident log; architectural decision record</w:t>
            </w:r>
          </w:p>
        </w:tc>
      </w:tr>
      <w:tr>
        <w:tc>
          <w:tcPr>
            <w:tcW w:type="dxa" w:w="2340"/>
          </w:tcPr>
          <w:p>
            <w:pPr>
              <w:keepNext w:val="0"/>
              <w:spacing w:before="40" w:after="40" w:line="240" w:lineRule="auto"/>
              <w:ind w:firstLine="0"/>
              <w:jc w:val="left"/>
            </w:pPr>
            <w:r/>
            <w:r>
              <w:rPr>
                <w:rFonts w:ascii="Times New Roman" w:hAnsi="Times New Roman"/>
                <w:b w:val="0"/>
                <w:i w:val="0"/>
                <w:sz w:val="20"/>
              </w:rPr>
              <w:t>Cycle 3</w:t>
            </w:r>
          </w:p>
        </w:tc>
        <w:tc>
          <w:tcPr>
            <w:tcW w:type="dxa" w:w="2340"/>
          </w:tcPr>
          <w:p>
            <w:pPr>
              <w:keepNext w:val="0"/>
              <w:spacing w:before="40" w:after="40" w:line="240" w:lineRule="auto"/>
              <w:ind w:firstLine="0"/>
              <w:jc w:val="left"/>
            </w:pPr>
            <w:r/>
            <w:r>
              <w:rPr>
                <w:rFonts w:ascii="Times New Roman" w:hAnsi="Times New Roman"/>
                <w:b w:val="0"/>
                <w:i w:val="0"/>
                <w:sz w:val="20"/>
              </w:rPr>
              <w:t>v11.0 checkpoint bypass: required checkpoints bypassed silently via approval token generation</w:t>
            </w:r>
          </w:p>
        </w:tc>
        <w:tc>
          <w:tcPr>
            <w:tcW w:type="dxa" w:w="2340"/>
          </w:tcPr>
          <w:p>
            <w:pPr>
              <w:keepNext w:val="0"/>
              <w:spacing w:before="40" w:after="40" w:line="240" w:lineRule="auto"/>
              <w:ind w:firstLine="0"/>
              <w:jc w:val="left"/>
            </w:pPr>
            <w:r/>
            <w:r>
              <w:rPr>
                <w:rFonts w:ascii="Times New Roman" w:hAnsi="Times New Roman"/>
                <w:b w:val="0"/>
                <w:i w:val="0"/>
                <w:sz w:val="20"/>
              </w:rPr>
              <w:t>GCA</w:t>
            </w:r>
          </w:p>
        </w:tc>
        <w:tc>
          <w:tcPr>
            <w:tcW w:type="dxa" w:w="2340"/>
          </w:tcPr>
          <w:p>
            <w:pPr>
              <w:keepNext w:val="0"/>
              <w:spacing w:before="40" w:after="40" w:line="240" w:lineRule="auto"/>
              <w:ind w:firstLine="0"/>
              <w:jc w:val="left"/>
            </w:pPr>
            <w:r/>
            <w:r>
              <w:rPr>
                <w:rFonts w:ascii="Times New Roman" w:hAnsi="Times New Roman"/>
                <w:b w:val="0"/>
                <w:i w:val="0"/>
                <w:sz w:val="20"/>
              </w:rPr>
              <w:t>System audit log; version diff analysis</w:t>
            </w:r>
          </w:p>
        </w:tc>
      </w:tr>
      <w:tr>
        <w:tc>
          <w:tcPr>
            <w:tcW w:type="dxa" w:w="2340"/>
          </w:tcPr>
          <w:p>
            <w:pPr>
              <w:keepNext w:val="0"/>
              <w:spacing w:before="40" w:after="40" w:line="240" w:lineRule="auto"/>
              <w:ind w:firstLine="0"/>
              <w:jc w:val="left"/>
            </w:pPr>
            <w:r/>
            <w:r>
              <w:rPr>
                <w:rFonts w:ascii="Times New Roman" w:hAnsi="Times New Roman"/>
                <w:b w:val="0"/>
                <w:i w:val="0"/>
                <w:sz w:val="20"/>
              </w:rPr>
              <w:t>Cycle 4</w:t>
            </w:r>
          </w:p>
        </w:tc>
        <w:tc>
          <w:tcPr>
            <w:tcW w:type="dxa" w:w="2340"/>
          </w:tcPr>
          <w:p>
            <w:pPr>
              <w:keepNext w:val="0"/>
              <w:spacing w:before="40" w:after="40" w:line="240" w:lineRule="auto"/>
              <w:ind w:firstLine="0"/>
              <w:jc w:val="left"/>
            </w:pPr>
            <w:r/>
            <w:r>
              <w:rPr>
                <w:rFonts w:ascii="Times New Roman" w:hAnsi="Times New Roman"/>
                <w:b w:val="0"/>
                <w:i w:val="0"/>
                <w:sz w:val="20"/>
              </w:rPr>
              <w:t>3-Layer Memory introduced: agents begin drawing on prior session context across sessions</w:t>
            </w:r>
          </w:p>
        </w:tc>
        <w:tc>
          <w:tcPr>
            <w:tcW w:type="dxa" w:w="2340"/>
          </w:tcPr>
          <w:p>
            <w:pPr>
              <w:keepNext w:val="0"/>
              <w:spacing w:before="40" w:after="40" w:line="240" w:lineRule="auto"/>
              <w:ind w:firstLine="0"/>
              <w:jc w:val="left"/>
            </w:pPr>
            <w:r/>
            <w:r>
              <w:rPr>
                <w:rFonts w:ascii="Times New Roman" w:hAnsi="Times New Roman"/>
                <w:b w:val="0"/>
                <w:i w:val="0"/>
                <w:sz w:val="20"/>
              </w:rPr>
              <w:t>SUD</w:t>
            </w:r>
          </w:p>
        </w:tc>
        <w:tc>
          <w:tcPr>
            <w:tcW w:type="dxa" w:w="2340"/>
          </w:tcPr>
          <w:p>
            <w:pPr>
              <w:keepNext w:val="0"/>
              <w:spacing w:before="40" w:after="40" w:line="240" w:lineRule="auto"/>
              <w:ind w:firstLine="0"/>
              <w:jc w:val="left"/>
            </w:pPr>
            <w:r/>
            <w:r>
              <w:rPr>
                <w:rFonts w:ascii="Times New Roman" w:hAnsi="Times New Roman"/>
                <w:b w:val="0"/>
                <w:i w:val="0"/>
                <w:sz w:val="20"/>
              </w:rPr>
              <w:t>Feature commit history; agent behavior change log</w:t>
            </w:r>
          </w:p>
        </w:tc>
      </w:tr>
      <w:tr>
        <w:tc>
          <w:tcPr>
            <w:tcW w:type="dxa" w:w="2340"/>
          </w:tcPr>
          <w:p>
            <w:pPr>
              <w:keepNext w:val="0"/>
              <w:spacing w:before="40" w:after="40" w:line="240" w:lineRule="auto"/>
              <w:ind w:firstLine="0"/>
              <w:jc w:val="left"/>
            </w:pPr>
            <w:r/>
            <w:r>
              <w:rPr>
                <w:rFonts w:ascii="Times New Roman" w:hAnsi="Times New Roman"/>
                <w:b w:val="0"/>
                <w:i w:val="0"/>
                <w:sz w:val="20"/>
              </w:rPr>
              <w:t>Cycle 5</w:t>
            </w:r>
          </w:p>
        </w:tc>
        <w:tc>
          <w:tcPr>
            <w:tcW w:type="dxa" w:w="2340"/>
          </w:tcPr>
          <w:p>
            <w:pPr>
              <w:keepNext w:val="0"/>
              <w:spacing w:before="40" w:after="40" w:line="240" w:lineRule="auto"/>
              <w:ind w:firstLine="0"/>
              <w:jc w:val="left"/>
            </w:pPr>
            <w:r/>
            <w:r>
              <w:rPr>
                <w:rFonts w:ascii="Times New Roman" w:hAnsi="Times New Roman"/>
                <w:b w:val="0"/>
                <w:i w:val="0"/>
                <w:sz w:val="20"/>
              </w:rPr>
              <w:t>44 to 24 agent consolidation: overlapping domains eliminated for measurement tractability</w:t>
            </w:r>
          </w:p>
        </w:tc>
        <w:tc>
          <w:tcPr>
            <w:tcW w:type="dxa" w:w="2340"/>
          </w:tcPr>
          <w:p>
            <w:pPr>
              <w:keepNext w:val="0"/>
              <w:spacing w:before="40" w:after="40" w:line="240" w:lineRule="auto"/>
              <w:ind w:firstLine="0"/>
              <w:jc w:val="left"/>
            </w:pPr>
            <w:r/>
            <w:r>
              <w:rPr>
                <w:rFonts w:ascii="Times New Roman" w:hAnsi="Times New Roman"/>
                <w:b w:val="0"/>
                <w:i w:val="0"/>
                <w:sz w:val="20"/>
              </w:rPr>
              <w:t>CCI</w:t>
            </w:r>
          </w:p>
        </w:tc>
        <w:tc>
          <w:tcPr>
            <w:tcW w:type="dxa" w:w="2340"/>
          </w:tcPr>
          <w:p>
            <w:pPr>
              <w:keepNext w:val="0"/>
              <w:spacing w:before="40" w:after="40" w:line="240" w:lineRule="auto"/>
              <w:ind w:firstLine="0"/>
              <w:jc w:val="left"/>
            </w:pPr>
            <w:r/>
            <w:r>
              <w:rPr>
                <w:rFonts w:ascii="Times New Roman" w:hAnsi="Times New Roman"/>
                <w:b w:val="0"/>
                <w:i w:val="0"/>
                <w:sz w:val="20"/>
              </w:rPr>
              <w:t>Commit history; architecture comparison</w:t>
            </w:r>
          </w:p>
        </w:tc>
      </w:tr>
      <w:tr>
        <w:tc>
          <w:tcPr>
            <w:tcW w:type="dxa" w:w="2340"/>
          </w:tcPr>
          <w:p>
            <w:pPr>
              <w:keepNext w:val="0"/>
              <w:spacing w:before="40" w:after="40" w:line="240" w:lineRule="auto"/>
              <w:ind w:firstLine="0"/>
              <w:jc w:val="left"/>
            </w:pPr>
            <w:r/>
            <w:r>
              <w:rPr>
                <w:rFonts w:ascii="Times New Roman" w:hAnsi="Times New Roman"/>
                <w:b w:val="0"/>
                <w:i w:val="0"/>
                <w:sz w:val="20"/>
              </w:rPr>
              <w:t>Cycle 5</w:t>
            </w:r>
          </w:p>
        </w:tc>
        <w:tc>
          <w:tcPr>
            <w:tcW w:type="dxa" w:w="2340"/>
          </w:tcPr>
          <w:p>
            <w:pPr>
              <w:keepNext w:val="0"/>
              <w:spacing w:before="40" w:after="40" w:line="240" w:lineRule="auto"/>
              <w:ind w:firstLine="0"/>
              <w:jc w:val="left"/>
            </w:pPr>
            <w:r/>
            <w:r>
              <w:rPr>
                <w:rFonts w:ascii="Times New Roman" w:hAnsi="Times New Roman"/>
                <w:b w:val="0"/>
                <w:i w:val="0"/>
                <w:sz w:val="20"/>
              </w:rPr>
              <w:t>VS T-score range formalized: typicality made explicitly visible to human at checkpoint</w:t>
            </w:r>
          </w:p>
        </w:tc>
        <w:tc>
          <w:tcPr>
            <w:tcW w:type="dxa" w:w="2340"/>
          </w:tcPr>
          <w:p>
            <w:pPr>
              <w:keepNext w:val="0"/>
              <w:spacing w:before="40" w:after="40" w:line="240" w:lineRule="auto"/>
              <w:ind w:firstLine="0"/>
              <w:jc w:val="left"/>
            </w:pPr>
            <w:r/>
            <w:r>
              <w:rPr>
                <w:rFonts w:ascii="Times New Roman" w:hAnsi="Times New Roman"/>
                <w:b w:val="0"/>
                <w:i w:val="0"/>
                <w:sz w:val="20"/>
              </w:rPr>
              <w:t>DSE</w:t>
            </w:r>
          </w:p>
        </w:tc>
        <w:tc>
          <w:tcPr>
            <w:tcW w:type="dxa" w:w="2340"/>
          </w:tcPr>
          <w:p>
            <w:pPr>
              <w:keepNext w:val="0"/>
              <w:spacing w:before="40" w:after="40" w:line="240" w:lineRule="auto"/>
              <w:ind w:firstLine="0"/>
              <w:jc w:val="left"/>
            </w:pPr>
            <w:r/>
            <w:r>
              <w:rPr>
                <w:rFonts w:ascii="Times New Roman" w:hAnsi="Times New Roman"/>
                <w:b w:val="0"/>
                <w:i w:val="0"/>
                <w:sz w:val="20"/>
              </w:rPr>
              <w:t>VS methodology specification commit</w:t>
            </w:r>
          </w:p>
        </w:tc>
      </w:tr>
    </w:tbl>
    <w:p>
      <w:pPr>
        <w:keepNext w:val="0"/>
        <w:spacing w:before="60" w:after="240" w:line="240" w:lineRule="auto"/>
        <w:ind w:firstLine="0"/>
        <w:jc w:val="left"/>
      </w:pPr>
      <w:r>
        <w:rPr>
          <w:rFonts w:ascii="Times New Roman" w:hAnsi="Times New Roman"/>
          <w:b w:val="0"/>
          <w:i/>
          <w:sz w:val="20"/>
        </w:rPr>
        <w:t xml:space="preserve">Note. </w:t>
      </w:r>
      <w:r>
        <w:rPr>
          <w:rFonts w:ascii="Times New Roman" w:hAnsi="Times New Roman"/>
          <w:b w:val="0"/>
          <w:i w:val="0"/>
          <w:sz w:val="20"/>
        </w:rPr>
        <w:t>Design cycles span 57 days, 224 version-controlled commits. Evidence types are retrievable from the version control history of the Diverga repository.</w:t>
      </w:r>
    </w:p>
    <w:p>
      <w:pPr>
        <w:keepNext w:val="0"/>
        <w:spacing w:before="0" w:after="0" w:line="480" w:lineRule="auto"/>
        <w:jc w:val="center"/>
      </w:pPr>
      <w:r>
        <w:rPr>
          <w:rFonts w:ascii="Times New Roman" w:hAnsi="Times New Roman"/>
          <w:b/>
          <w:i w:val="0"/>
          <w:sz w:val="24"/>
        </w:rPr>
        <w:t>Proposed Proof-of-Concept Study</w:t>
      </w:r>
    </w:p>
    <w:p>
      <w:pPr>
        <w:keepNext w:val="0"/>
        <w:spacing w:before="120" w:after="120" w:line="240" w:lineRule="auto"/>
        <w:ind w:firstLine="432" w:left="432"/>
        <w:jc w:val="left"/>
        <w:shd w:val="clear" w:color="auto" w:fill="FFF8DC"/>
      </w:pPr>
      <w:r>
        <w:rPr>
          <w:rFonts w:ascii="Times New Roman" w:hAnsi="Times New Roman"/>
          <w:b w:val="0"/>
          <w:i/>
          <w:color w:val="644600"/>
          <w:sz w:val="20"/>
        </w:rPr>
        <w:t>Note for Draft Review: This section presents the proposed empirical validation design. The study has not yet been conducted. IRB preparation is planned for April–May 2026; data collection is planned for August–September 2026. Section content is outlined below and will be developed into prose for the full manuscript following IRB approval.</w:t>
      </w:r>
    </w:p>
    <w:p>
      <w:pPr>
        <w:keepNext w:val="0"/>
        <w:spacing w:before="0" w:after="0" w:line="480" w:lineRule="auto"/>
        <w:ind w:firstLine="0"/>
        <w:jc w:val="left"/>
      </w:pPr>
      <w:r>
        <w:rPr>
          <w:rFonts w:ascii="Times New Roman" w:hAnsi="Times New Roman"/>
          <w:b/>
          <w:i w:val="0"/>
          <w:sz w:val="24"/>
        </w:rPr>
        <w:t>Study Design</w:t>
      </w:r>
    </w:p>
    <w:p>
      <w:pPr>
        <w:keepNext w:val="0"/>
        <w:spacing w:before="0" w:after="0" w:line="480" w:lineRule="auto"/>
        <w:ind w:firstLine="720"/>
        <w:jc w:val="left"/>
      </w:pPr>
      <w:r>
        <w:rPr>
          <w:rFonts w:ascii="Times New Roman" w:hAnsi="Times New Roman"/>
          <w:b/>
          <w:i/>
          <w:color w:val="828282"/>
          <w:sz w:val="20"/>
        </w:rPr>
        <w:t>[OUTLINE: §5.1 Study Design]</w:t>
      </w:r>
    </w:p>
    <w:p>
      <w:pPr>
        <w:keepNext w:val="0"/>
        <w:spacing w:before="0" w:after="0" w:line="480" w:lineRule="auto"/>
        <w:ind w:firstLine="0" w:left="1080"/>
        <w:jc w:val="left"/>
      </w:pPr>
      <w:r>
        <w:rPr>
          <w:rFonts w:ascii="Times New Roman" w:hAnsi="Times New Roman"/>
          <w:b w:val="0"/>
          <w:i/>
          <w:color w:val="828282"/>
          <w:sz w:val="20"/>
        </w:rPr>
        <w:t>•  Within-subject counterbalanced; embedded mixed methods (CMAA quantitative strand + think-aloud qualitative strand)</w:t>
      </w:r>
    </w:p>
    <w:p>
      <w:pPr>
        <w:keepNext w:val="0"/>
        <w:spacing w:before="0" w:after="0" w:line="480" w:lineRule="auto"/>
        <w:ind w:firstLine="0" w:left="1080"/>
        <w:jc w:val="left"/>
      </w:pPr>
      <w:r>
        <w:rPr>
          <w:rFonts w:ascii="Times New Roman" w:hAnsi="Times New Roman"/>
          <w:b w:val="0"/>
          <w:i/>
          <w:color w:val="828282"/>
          <w:sz w:val="20"/>
        </w:rPr>
        <w:t>•  N = 5 doctoral students, purposeful maximum variation sampling (AI knowledge, methodology expertise, disposition, discipline)</w:t>
      </w:r>
    </w:p>
    <w:p>
      <w:pPr>
        <w:keepNext w:val="0"/>
        <w:spacing w:before="0" w:after="0" w:line="480" w:lineRule="auto"/>
        <w:ind w:firstLine="0" w:left="1080"/>
        <w:jc w:val="left"/>
      </w:pPr>
      <w:r>
        <w:rPr>
          <w:rFonts w:ascii="Times New Roman" w:hAnsi="Times New Roman"/>
          <w:b w:val="0"/>
          <w:i/>
          <w:color w:val="828282"/>
          <w:sz w:val="20"/>
        </w:rPr>
        <w:t>•  Conditions: unaided baseline (Phase 0) → Diverga-assisted (Phases 2–3)</w:t>
      </w:r>
    </w:p>
    <w:p>
      <w:pPr>
        <w:keepNext w:val="0"/>
        <w:spacing w:before="0" w:after="0" w:line="480" w:lineRule="auto"/>
        <w:ind w:firstLine="0" w:left="1080"/>
        <w:jc w:val="left"/>
      </w:pPr>
      <w:r>
        <w:rPr>
          <w:rFonts w:ascii="Times New Roman" w:hAnsi="Times New Roman"/>
          <w:b w:val="0"/>
          <w:i/>
          <w:color w:val="828282"/>
          <w:sz w:val="20"/>
        </w:rPr>
        <w:t>•  Single 1:1 Zoom session per participant (~2.5–3 hours); Zoom cloud recording; concurrent think-aloud</w:t>
      </w:r>
    </w:p>
    <w:p>
      <w:pPr>
        <w:keepNext w:val="0"/>
        <w:spacing w:before="0" w:after="0" w:line="480" w:lineRule="auto"/>
        <w:ind w:firstLine="0"/>
        <w:jc w:val="left"/>
      </w:pPr>
      <w:r>
        <w:rPr>
          <w:rFonts w:ascii="Times New Roman" w:hAnsi="Times New Roman"/>
          <w:b/>
          <w:i w:val="0"/>
          <w:sz w:val="24"/>
        </w:rPr>
        <w:t>Research Scenarios</w:t>
      </w:r>
    </w:p>
    <w:p>
      <w:pPr>
        <w:keepNext w:val="0"/>
        <w:spacing w:before="0" w:after="0" w:line="480" w:lineRule="auto"/>
        <w:ind w:firstLine="720"/>
        <w:jc w:val="left"/>
      </w:pPr>
      <w:r>
        <w:rPr>
          <w:rFonts w:ascii="Times New Roman" w:hAnsi="Times New Roman"/>
          <w:b/>
          <w:i/>
          <w:color w:val="828282"/>
          <w:sz w:val="20"/>
        </w:rPr>
        <w:t>[OUTLINE: §5.2 Research Scenarios]</w:t>
      </w:r>
    </w:p>
    <w:p>
      <w:pPr>
        <w:keepNext w:val="0"/>
        <w:spacing w:before="0" w:after="0" w:line="480" w:lineRule="auto"/>
        <w:ind w:firstLine="0" w:left="1080"/>
        <w:jc w:val="left"/>
      </w:pPr>
      <w:r>
        <w:rPr>
          <w:rFonts w:ascii="Times New Roman" w:hAnsi="Times New Roman"/>
          <w:b w:val="0"/>
          <w:i/>
          <w:color w:val="828282"/>
          <w:sz w:val="20"/>
        </w:rPr>
        <w:t>•  Scenario A: "The impact of AI tools on K-12 student academic achievement", modal trap: Davis (1989) TAM, UTAUT variants</w:t>
      </w:r>
    </w:p>
    <w:p>
      <w:pPr>
        <w:keepNext w:val="0"/>
        <w:spacing w:before="0" w:after="0" w:line="480" w:lineRule="auto"/>
        <w:ind w:firstLine="0" w:left="1080"/>
        <w:jc w:val="left"/>
      </w:pPr>
      <w:r>
        <w:rPr>
          <w:rFonts w:ascii="Times New Roman" w:hAnsi="Times New Roman"/>
          <w:b w:val="0"/>
          <w:i/>
          <w:color w:val="828282"/>
          <w:sz w:val="20"/>
        </w:rPr>
        <w:t>•  Scenario B: "What factors shape academic socialization and research identity formation among first-generation doctoral students from racially underrepresented groups in STEM fields?", modal trap: Bandura (1986) SCT, Bronfenbrenner (1979); VS alternatives: Yosso (2005) Cultural Wealth Model, Communities of Practice (Wenger, 1998), Critical Race Theory in higher education, intersectionality frameworks</w:t>
      </w:r>
    </w:p>
    <w:p>
      <w:pPr>
        <w:keepNext w:val="0"/>
        <w:spacing w:before="0" w:after="0" w:line="480" w:lineRule="auto"/>
        <w:ind w:firstLine="0" w:left="1080"/>
        <w:jc w:val="left"/>
      </w:pPr>
      <w:r>
        <w:rPr>
          <w:rFonts w:ascii="Times New Roman" w:hAnsi="Times New Roman"/>
          <w:b w:val="0"/>
          <w:i/>
          <w:color w:val="828282"/>
          <w:sz w:val="20"/>
        </w:rPr>
        <w:t>•  Counterbalancing: 3 participants Scenario A → B; 2 participants Scenario B → A</w:t>
      </w:r>
    </w:p>
    <w:p>
      <w:pPr>
        <w:keepNext w:val="0"/>
        <w:spacing w:before="0" w:after="0" w:line="480" w:lineRule="auto"/>
        <w:ind w:firstLine="0"/>
        <w:jc w:val="left"/>
      </w:pPr>
      <w:r>
        <w:rPr>
          <w:rFonts w:ascii="Times New Roman" w:hAnsi="Times New Roman"/>
          <w:b/>
          <w:i w:val="0"/>
          <w:sz w:val="24"/>
        </w:rPr>
        <w:t>CMAA Application</w:t>
      </w:r>
    </w:p>
    <w:p>
      <w:pPr>
        <w:keepNext w:val="0"/>
        <w:spacing w:before="0" w:after="0" w:line="480" w:lineRule="auto"/>
        <w:ind w:firstLine="720"/>
        <w:jc w:val="left"/>
      </w:pPr>
      <w:r>
        <w:rPr>
          <w:rFonts w:ascii="Times New Roman" w:hAnsi="Times New Roman"/>
          <w:b/>
          <w:i/>
          <w:color w:val="828282"/>
          <w:sz w:val="20"/>
        </w:rPr>
        <w:t>[OUTLINE: §5.3 CMAA Application]</w:t>
      </w:r>
    </w:p>
    <w:p>
      <w:pPr>
        <w:keepNext w:val="0"/>
        <w:spacing w:before="0" w:after="0" w:line="480" w:lineRule="auto"/>
        <w:ind w:firstLine="0" w:left="1080"/>
        <w:jc w:val="left"/>
      </w:pPr>
      <w:r>
        <w:rPr>
          <w:rFonts w:ascii="Times New Roman" w:hAnsi="Times New Roman"/>
          <w:b w:val="0"/>
          <w:i/>
          <w:color w:val="828282"/>
          <w:sz w:val="20"/>
        </w:rPr>
        <w:t>•  PIR, GCA: computed from decision-log.yaml per session</w:t>
      </w:r>
    </w:p>
    <w:p>
      <w:pPr>
        <w:keepNext w:val="0"/>
        <w:spacing w:before="0" w:after="0" w:line="480" w:lineRule="auto"/>
        <w:ind w:firstLine="0" w:left="1080"/>
        <w:jc w:val="left"/>
      </w:pPr>
      <w:r>
        <w:rPr>
          <w:rFonts w:ascii="Times New Roman" w:hAnsi="Times New Roman"/>
          <w:b w:val="0"/>
          <w:i/>
          <w:color w:val="828282"/>
          <w:sz w:val="20"/>
        </w:rPr>
        <w:t>•  DSE: T-score array analysis per checkpoint per participant</w:t>
      </w:r>
    </w:p>
    <w:p>
      <w:pPr>
        <w:keepNext w:val="0"/>
        <w:spacing w:before="0" w:after="0" w:line="480" w:lineRule="auto"/>
        <w:ind w:firstLine="0" w:left="1080"/>
        <w:jc w:val="left"/>
      </w:pPr>
      <w:r>
        <w:rPr>
          <w:rFonts w:ascii="Times New Roman" w:hAnsi="Times New Roman"/>
          <w:b w:val="0"/>
          <w:i/>
          <w:color w:val="828282"/>
          <w:sz w:val="20"/>
        </w:rPr>
        <w:t>•  SUD: cross-session DAT entry reference count</w:t>
      </w:r>
    </w:p>
    <w:p>
      <w:pPr>
        <w:keepNext w:val="0"/>
        <w:spacing w:before="0" w:after="0" w:line="480" w:lineRule="auto"/>
        <w:ind w:firstLine="0" w:left="1080"/>
        <w:jc w:val="left"/>
      </w:pPr>
      <w:r>
        <w:rPr>
          <w:rFonts w:ascii="Times New Roman" w:hAnsi="Times New Roman"/>
          <w:b w:val="0"/>
          <w:i/>
          <w:color w:val="828282"/>
          <w:sz w:val="20"/>
        </w:rPr>
        <w:t>•  Typicality Trajectory: plotted per participant, contextualized by concurrent think-aloud</w:t>
      </w:r>
    </w:p>
    <w:p>
      <w:pPr>
        <w:keepNext w:val="0"/>
        <w:spacing w:before="0" w:after="0" w:line="480" w:lineRule="auto"/>
        <w:ind w:firstLine="0" w:left="1080"/>
        <w:jc w:val="left"/>
      </w:pPr>
      <w:r>
        <w:rPr>
          <w:rFonts w:ascii="Times New Roman" w:hAnsi="Times New Roman"/>
          <w:b w:val="0"/>
          <w:i/>
          <w:color w:val="828282"/>
          <w:sz w:val="20"/>
        </w:rPr>
        <w:t>•  Full study design, participant profiles, and analysis plan reported in [Author(s), in preparation] (ETR&amp;D)</w:t>
      </w:r>
    </w:p>
    <w:p>
      <w:pPr>
        <w:keepNext w:val="0"/>
        <w:spacing w:before="0" w:after="0" w:line="480" w:lineRule="auto"/>
        <w:jc w:val="center"/>
      </w:pPr>
      <w:r>
        <w:rPr>
          <w:rFonts w:ascii="Times New Roman" w:hAnsi="Times New Roman"/>
          <w:b/>
          <w:i w:val="0"/>
          <w:sz w:val="24"/>
        </w:rPr>
        <w:t>Discussion</w:t>
      </w:r>
    </w:p>
    <w:p>
      <w:pPr>
        <w:keepNext w:val="0"/>
        <w:spacing w:before="0" w:after="0" w:line="480" w:lineRule="auto"/>
        <w:ind w:firstLine="720"/>
        <w:jc w:val="left"/>
      </w:pPr>
      <w:r>
        <w:rPr>
          <w:rFonts w:ascii="Times New Roman" w:hAnsi="Times New Roman"/>
          <w:b/>
          <w:i/>
          <w:color w:val="828282"/>
          <w:sz w:val="20"/>
        </w:rPr>
        <w:t>[OUTLINE: §6 Discussion (~700 words target)]</w:t>
      </w:r>
    </w:p>
    <w:p>
      <w:pPr>
        <w:keepNext w:val="0"/>
        <w:spacing w:before="0" w:after="0" w:line="480" w:lineRule="auto"/>
        <w:ind w:firstLine="0" w:left="1080"/>
        <w:jc w:val="left"/>
      </w:pPr>
      <w:r>
        <w:rPr>
          <w:rFonts w:ascii="Times New Roman" w:hAnsi="Times New Roman"/>
          <w:b w:val="0"/>
          <w:i/>
          <w:color w:val="828282"/>
          <w:sz w:val="20"/>
        </w:rPr>
        <w:t>•  6.1 Theoretical contributions: first operationalization of Floridi's (2025) artificial agency criteria as educational measurement instruments; checkpoint as natural measurement instrument; CMAA as response to CFP Theme 7 requirement</w:t>
      </w:r>
    </w:p>
    <w:p>
      <w:pPr>
        <w:keepNext w:val="0"/>
        <w:spacing w:before="0" w:after="0" w:line="480" w:lineRule="auto"/>
        <w:ind w:firstLine="0" w:left="1080"/>
        <w:jc w:val="left"/>
      </w:pPr>
      <w:r>
        <w:rPr>
          <w:rFonts w:ascii="Times New Roman" w:hAnsi="Times New Roman"/>
          <w:b w:val="0"/>
          <w:i/>
          <w:color w:val="828282"/>
          <w:sz w:val="20"/>
        </w:rPr>
        <w:t>•  6.2 Transferability: CMAA indicators are system-agnostic where checkpoint data is available; minimum architectural requirements; implications for design of future agentic educational AI systems</w:t>
      </w:r>
    </w:p>
    <w:p>
      <w:pPr>
        <w:keepNext w:val="0"/>
        <w:spacing w:before="0" w:after="0" w:line="480" w:lineRule="auto"/>
        <w:ind w:firstLine="0" w:left="1080"/>
        <w:jc w:val="left"/>
      </w:pPr>
      <w:r>
        <w:rPr>
          <w:rFonts w:ascii="Times New Roman" w:hAnsi="Times New Roman"/>
          <w:b w:val="0"/>
          <w:i/>
          <w:color w:val="828282"/>
          <w:sz w:val="20"/>
        </w:rPr>
        <w:t>•  6.3 Limitations: CMAA derived from single system; design-based evidence precedes controlled empirical validation; T-score as uncalibrated typicality proxy; circularity in Diverga-CMAA-Diverga validation chain</w:t>
      </w:r>
    </w:p>
    <w:p>
      <w:pPr>
        <w:keepNext w:val="0"/>
        <w:spacing w:before="0" w:after="0" w:line="480" w:lineRule="auto"/>
        <w:ind w:firstLine="0" w:left="1080"/>
        <w:jc w:val="left"/>
      </w:pPr>
      <w:r>
        <w:rPr>
          <w:rFonts w:ascii="Times New Roman" w:hAnsi="Times New Roman"/>
          <w:b w:val="0"/>
          <w:i/>
          <w:color w:val="828282"/>
          <w:sz w:val="20"/>
        </w:rPr>
        <w:t>•  6.4 Future directions: N = 5 proof-of-concept → N = 20+ comparative study; application to other agentic AI systems; cross-cultural validation</w:t>
      </w:r>
    </w:p>
    <w:p>
      <w:pPr>
        <w:keepNext w:val="0"/>
        <w:spacing w:before="0" w:after="0" w:line="480" w:lineRule="auto"/>
        <w:jc w:val="center"/>
      </w:pPr>
      <w:r>
        <w:rPr>
          <w:rFonts w:ascii="Times New Roman" w:hAnsi="Times New Roman"/>
          <w:b/>
          <w:i w:val="0"/>
          <w:sz w:val="24"/>
        </w:rPr>
        <w:t>Conclusion</w:t>
      </w:r>
    </w:p>
    <w:p>
      <w:pPr>
        <w:keepNext w:val="0"/>
        <w:spacing w:before="0" w:after="0" w:line="480" w:lineRule="auto"/>
        <w:ind w:firstLine="720"/>
        <w:jc w:val="left"/>
      </w:pPr>
      <w:r>
        <w:rPr>
          <w:rFonts w:ascii="Times New Roman" w:hAnsi="Times New Roman"/>
          <w:b/>
          <w:i/>
          <w:color w:val="828282"/>
          <w:sz w:val="20"/>
        </w:rPr>
        <w:t>[OUTLINE: §7 Conclusion (~300 words target)]</w:t>
      </w:r>
    </w:p>
    <w:p>
      <w:pPr>
        <w:keepNext w:val="0"/>
        <w:spacing w:before="0" w:after="0" w:line="480" w:lineRule="auto"/>
        <w:ind w:firstLine="0" w:left="1080"/>
        <w:jc w:val="left"/>
      </w:pPr>
      <w:r>
        <w:rPr>
          <w:rFonts w:ascii="Times New Roman" w:hAnsi="Times New Roman"/>
          <w:b w:val="0"/>
          <w:i/>
          <w:color w:val="828282"/>
          <w:sz w:val="20"/>
        </w:rPr>
        <w:t>•  CMAA as methodological contribution to the emerging field of artificial agency measurement in education</w:t>
      </w:r>
    </w:p>
    <w:p>
      <w:pPr>
        <w:keepNext w:val="0"/>
        <w:spacing w:before="0" w:after="0" w:line="480" w:lineRule="auto"/>
        <w:ind w:firstLine="0" w:left="1080"/>
        <w:jc w:val="left"/>
      </w:pPr>
      <w:r>
        <w:rPr>
          <w:rFonts w:ascii="Times New Roman" w:hAnsi="Times New Roman"/>
          <w:b w:val="0"/>
          <w:i/>
          <w:color w:val="828282"/>
          <w:sz w:val="20"/>
        </w:rPr>
        <w:t>•  Three key claims: checkpoints as natural instruments, five indicators operationalizing Floridi, design-based grounding from five development cycles</w:t>
      </w:r>
    </w:p>
    <w:p>
      <w:pPr>
        <w:keepNext w:val="0"/>
        <w:spacing w:before="0" w:after="0" w:line="480" w:lineRule="auto"/>
        <w:ind w:firstLine="0" w:left="1080"/>
        <w:jc w:val="left"/>
      </w:pPr>
      <w:r>
        <w:rPr>
          <w:rFonts w:ascii="Times New Roman" w:hAnsi="Times New Roman"/>
          <w:b w:val="0"/>
          <w:i/>
          <w:color w:val="828282"/>
          <w:sz w:val="20"/>
        </w:rPr>
        <w:t>•  Call to the research community: adopt and adapt CMAA indicators as agentic AI systems multiply in educational contexts</w:t>
      </w:r>
    </w:p>
    <w:p>
      <w:pPr>
        <w:keepNext w:val="0"/>
        <w:spacing w:before="0" w:after="0" w:line="480" w:lineRule="auto"/>
        <w:jc w:val="center"/>
      </w:pPr>
      <w:r>
        <w:rPr>
          <w:rFonts w:ascii="Times New Roman" w:hAnsi="Times New Roman"/>
          <w:b/>
          <w:i w:val="0"/>
          <w:sz w:val="24"/>
        </w:rPr>
        <w:t>References</w:t>
      </w:r>
    </w:p>
    <w:p>
      <w:pPr>
        <w:spacing w:line="480" w:lineRule="auto" w:before="0" w:after="0"/>
        <w:ind w:hanging="720" w:left="720"/>
      </w:pPr>
      <w:r>
        <w:rPr>
          <w:rFonts w:ascii="Times New Roman" w:hAnsi="Times New Roman"/>
          <w:b w:val="0"/>
          <w:i w:val="0"/>
          <w:sz w:val="24"/>
        </w:rPr>
        <w:t xml:space="preserve">Floridi, L. (2025). AI as agency without intelligence: On artificial intelligence as a new form of artificial agency and the multiple realisability of agency thesis. </w:t>
      </w:r>
      <w:r>
        <w:rPr>
          <w:rFonts w:ascii="Times New Roman" w:hAnsi="Times New Roman"/>
          <w:b w:val="0"/>
          <w:i/>
          <w:sz w:val="24"/>
        </w:rPr>
        <w:t>Philosophy &amp; Technology, 38</w:t>
      </w:r>
      <w:r>
        <w:rPr>
          <w:rFonts w:ascii="Times New Roman" w:hAnsi="Times New Roman"/>
          <w:b w:val="0"/>
          <w:i w:val="0"/>
          <w:sz w:val="24"/>
        </w:rPr>
        <w:t>, 30.</w:t>
      </w:r>
    </w:p>
    <w:p>
      <w:pPr>
        <w:spacing w:line="480" w:lineRule="auto" w:before="0" w:after="0"/>
        <w:ind w:hanging="720" w:left="720"/>
      </w:pPr>
      <w:r>
        <w:rPr>
          <w:rFonts w:ascii="Times New Roman" w:hAnsi="Times New Roman"/>
          <w:b w:val="0"/>
          <w:i w:val="0"/>
          <w:sz w:val="24"/>
        </w:rPr>
        <w:t xml:space="preserve">Giannakos, M., Azevedo, R., Brusilovsky, P., Cukurova, M., Dimitriadis, Y., Hernandez-Leo, D., Järvelä, S., Mavrikis, M., &amp; Rienties, B. (2025). The promise and challenges of generative AI in education. </w:t>
      </w:r>
      <w:r>
        <w:rPr>
          <w:rFonts w:ascii="Times New Roman" w:hAnsi="Times New Roman"/>
          <w:b w:val="0"/>
          <w:i/>
          <w:sz w:val="24"/>
        </w:rPr>
        <w:t>Behaviour &amp; Information Technology, 44</w:t>
      </w:r>
      <w:r>
        <w:rPr>
          <w:rFonts w:ascii="Times New Roman" w:hAnsi="Times New Roman"/>
          <w:b w:val="0"/>
          <w:i w:val="0"/>
          <w:sz w:val="24"/>
        </w:rPr>
        <w:t>(11), 2518–2544.</w:t>
      </w:r>
    </w:p>
    <w:p>
      <w:pPr>
        <w:spacing w:line="480" w:lineRule="auto" w:before="0" w:after="0"/>
        <w:ind w:hanging="720" w:left="720"/>
      </w:pPr>
      <w:r>
        <w:rPr>
          <w:rFonts w:ascii="Times New Roman" w:hAnsi="Times New Roman"/>
          <w:b w:val="0"/>
          <w:i w:val="0"/>
          <w:sz w:val="24"/>
        </w:rPr>
        <w:t xml:space="preserve">Järvelä, S., Nguyen, A., &amp; Hadwin, A. (2023). Human and artificial intelligence collaboration for socially shared regulation in learning. </w:t>
      </w:r>
      <w:r>
        <w:rPr>
          <w:rFonts w:ascii="Times New Roman" w:hAnsi="Times New Roman"/>
          <w:b w:val="0"/>
          <w:i/>
          <w:sz w:val="24"/>
        </w:rPr>
        <w:t>British Journal of Educational Technology, 54</w:t>
      </w:r>
      <w:r>
        <w:rPr>
          <w:rFonts w:ascii="Times New Roman" w:hAnsi="Times New Roman"/>
          <w:b w:val="0"/>
          <w:i w:val="0"/>
          <w:sz w:val="24"/>
        </w:rPr>
        <w:t>(5), 1057–1076.</w:t>
      </w:r>
    </w:p>
    <w:p>
      <w:pPr>
        <w:spacing w:line="480" w:lineRule="auto" w:before="0" w:after="0"/>
        <w:ind w:hanging="720" w:left="720"/>
      </w:pPr>
      <w:r>
        <w:rPr>
          <w:rFonts w:ascii="Times New Roman" w:hAnsi="Times New Roman"/>
          <w:b w:val="0"/>
          <w:i w:val="0"/>
          <w:sz w:val="24"/>
        </w:rPr>
        <w:t xml:space="preserve">McKenney, S., &amp; Reeves, T. C. (2012). </w:t>
      </w:r>
      <w:r>
        <w:rPr>
          <w:rFonts w:ascii="Times New Roman" w:hAnsi="Times New Roman"/>
          <w:b w:val="0"/>
          <w:i/>
          <w:sz w:val="24"/>
        </w:rPr>
        <w:t>Conducting educational design research</w:t>
      </w:r>
      <w:r>
        <w:rPr>
          <w:rFonts w:ascii="Times New Roman" w:hAnsi="Times New Roman"/>
          <w:b w:val="0"/>
          <w:i w:val="0"/>
          <w:sz w:val="24"/>
        </w:rPr>
        <w:t>. Routledge.</w:t>
      </w:r>
    </w:p>
    <w:p>
      <w:pPr>
        <w:spacing w:line="480" w:lineRule="auto" w:before="0" w:after="0"/>
        <w:ind w:hanging="720" w:left="720"/>
      </w:pPr>
      <w:r>
        <w:rPr>
          <w:rFonts w:ascii="Times New Roman" w:hAnsi="Times New Roman"/>
          <w:b w:val="0"/>
          <w:i w:val="0"/>
          <w:sz w:val="24"/>
        </w:rPr>
        <w:t xml:space="preserve">Ouyang, F., &amp; Jiao, P. (2021). Artificial intelligence in education: The three paradigms. </w:t>
      </w:r>
      <w:r>
        <w:rPr>
          <w:rFonts w:ascii="Times New Roman" w:hAnsi="Times New Roman"/>
          <w:b w:val="0"/>
          <w:i/>
          <w:sz w:val="24"/>
        </w:rPr>
        <w:t>Computers and Education: Artificial Intelligence, 2</w:t>
      </w:r>
      <w:r>
        <w:rPr>
          <w:rFonts w:ascii="Times New Roman" w:hAnsi="Times New Roman"/>
          <w:b w:val="0"/>
          <w:i w:val="0"/>
          <w:sz w:val="24"/>
        </w:rPr>
        <w:t>, 100020.</w:t>
      </w:r>
    </w:p>
    <w:p>
      <w:pPr>
        <w:spacing w:line="480" w:lineRule="auto" w:before="0" w:after="0"/>
        <w:ind w:hanging="720" w:left="720"/>
      </w:pPr>
      <w:r>
        <w:rPr>
          <w:rFonts w:ascii="Times New Roman" w:hAnsi="Times New Roman"/>
          <w:b w:val="0"/>
          <w:i w:val="0"/>
          <w:sz w:val="24"/>
        </w:rPr>
        <w:t xml:space="preserve">Vaccaro, M., Almaatouq, A., &amp; Malone, T. (2024). When combinations of humans and AI are useful: A systematic review and meta-analysis. </w:t>
      </w:r>
      <w:r>
        <w:rPr>
          <w:rFonts w:ascii="Times New Roman" w:hAnsi="Times New Roman"/>
          <w:b w:val="0"/>
          <w:i/>
          <w:sz w:val="24"/>
        </w:rPr>
        <w:t>Nature Human Behaviour, 8</w:t>
      </w:r>
      <w:r>
        <w:rPr>
          <w:rFonts w:ascii="Times New Roman" w:hAnsi="Times New Roman"/>
          <w:b w:val="0"/>
          <w:i w:val="0"/>
          <w:sz w:val="24"/>
        </w:rPr>
        <w:t>(12), 2293–2303.</w:t>
      </w:r>
    </w:p>
    <w:p>
      <w:pPr>
        <w:spacing w:line="480" w:lineRule="auto" w:before="0" w:after="0"/>
        <w:ind w:hanging="720" w:left="720"/>
      </w:pPr>
      <w:r>
        <w:rPr>
          <w:rFonts w:ascii="Times New Roman" w:hAnsi="Times New Roman"/>
          <w:b w:val="0"/>
          <w:i w:val="0"/>
          <w:sz w:val="24"/>
        </w:rPr>
        <w:t xml:space="preserve">Wang, L., Ma, C., Feng, X., Zhang, Z., Yang, H., Zhang, J., Chen, Z., Tang, J., Chen, X., &amp; Lin, Y. (2024). A survey on large language model based autonomous agents. </w:t>
      </w:r>
      <w:r>
        <w:rPr>
          <w:rFonts w:ascii="Times New Roman" w:hAnsi="Times New Roman"/>
          <w:b w:val="0"/>
          <w:i/>
          <w:sz w:val="24"/>
        </w:rPr>
        <w:t>Frontiers of Computer Science, 18</w:t>
      </w:r>
      <w:r>
        <w:rPr>
          <w:rFonts w:ascii="Times New Roman" w:hAnsi="Times New Roman"/>
          <w:b w:val="0"/>
          <w:i w:val="0"/>
          <w:sz w:val="24"/>
        </w:rPr>
        <w:t>(6), 186345.</w:t>
      </w:r>
    </w:p>
    <w:p>
      <w:pPr>
        <w:spacing w:line="480" w:lineRule="auto" w:before="0" w:after="0"/>
        <w:ind w:hanging="720" w:left="720"/>
      </w:pPr>
      <w:r>
        <w:rPr>
          <w:rFonts w:ascii="Times New Roman" w:hAnsi="Times New Roman"/>
          <w:b w:val="0"/>
          <w:i w:val="0"/>
          <w:sz w:val="24"/>
        </w:rPr>
        <w:t xml:space="preserve">Yan, L., Sha, L., Zhao, L., Li, Y., Martinez-Maldonado, R., Chen, G., &amp; Gašević, D. (2024). Practical and ethical challenges of large language models in education: A systematic scoping review. </w:t>
      </w:r>
      <w:r>
        <w:rPr>
          <w:rFonts w:ascii="Times New Roman" w:hAnsi="Times New Roman"/>
          <w:b w:val="0"/>
          <w:i/>
          <w:sz w:val="24"/>
        </w:rPr>
        <w:t>British Journal of Educational Technology, 55</w:t>
      </w:r>
      <w:r>
        <w:rPr>
          <w:rFonts w:ascii="Times New Roman" w:hAnsi="Times New Roman"/>
          <w:b w:val="0"/>
          <w:i w:val="0"/>
          <w:sz w:val="24"/>
        </w:rPr>
        <w:t>(1), 90–112.</w:t>
      </w:r>
    </w:p>
    <w:p>
      <w:pPr>
        <w:spacing w:line="480" w:lineRule="auto" w:before="0" w:after="0"/>
        <w:ind w:hanging="720" w:left="720"/>
      </w:pPr>
      <w:r>
        <w:rPr>
          <w:rFonts w:ascii="Times New Roman" w:hAnsi="Times New Roman"/>
          <w:b w:val="0"/>
          <w:i w:val="0"/>
          <w:sz w:val="24"/>
        </w:rPr>
        <w:t xml:space="preserve">[Author(s)]. (in preparation). [Title removed for review: Paper 1, design case]. </w:t>
      </w:r>
      <w:r>
        <w:rPr>
          <w:rFonts w:ascii="Times New Roman" w:hAnsi="Times New Roman"/>
          <w:b w:val="0"/>
          <w:i/>
          <w:sz w:val="24"/>
        </w:rPr>
        <w:t>International Journal of Designs for Learning</w:t>
      </w:r>
      <w:r>
        <w:rPr>
          <w:rFonts w:ascii="Times New Roman" w:hAnsi="Times New Roman"/>
          <w:b w:val="0"/>
          <w:i w:val="0"/>
          <w:sz w:val="24"/>
        </w:rPr>
        <w:t>.</w:t>
      </w:r>
    </w:p>
    <w:p>
      <w:pPr>
        <w:spacing w:line="480" w:lineRule="auto" w:before="0" w:after="0"/>
        <w:ind w:hanging="720" w:left="720"/>
      </w:pPr>
      <w:r>
        <w:rPr>
          <w:rFonts w:ascii="Times New Roman" w:hAnsi="Times New Roman"/>
          <w:b w:val="0"/>
          <w:i w:val="0"/>
          <w:sz w:val="24"/>
        </w:rPr>
        <w:t xml:space="preserve">[Author(s)]. (in preparation). [Title removed for review: Paper 3, empirical application]. </w:t>
      </w:r>
      <w:r>
        <w:rPr>
          <w:rFonts w:ascii="Times New Roman" w:hAnsi="Times New Roman"/>
          <w:b w:val="0"/>
          <w:i/>
          <w:sz w:val="24"/>
        </w:rPr>
        <w:t>Educational Technology Research and Development</w:t>
      </w:r>
      <w:r>
        <w:rPr>
          <w:rFonts w:ascii="Times New Roman" w:hAnsi="Times New Roman"/>
          <w:b w:val="0"/>
          <w:i w:val="0"/>
          <w:sz w:val="24"/>
        </w:rPr>
        <w: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spacing w:before="0" w:after="0" w:line="240" w:lineRule="auto"/>
      <w:jc w:val="left"/>
      <w:tabs>
        <w:tab w:val="right" w:pos="8640"/>
      </w:tabs>
    </w:pPr>
    <w:r>
      <w:rPr>
        <w:rFonts w:ascii="Times New Roman" w:hAnsi="Times New Roman"/>
        <w:b w:val="0"/>
        <w:i w:val="0"/>
        <w:sz w:val="24"/>
      </w:rPr>
      <w:t>CHECKPOINT-MEDIATED AGENCY ANALYSIS</w:t>
    </w:r>
    <w:r>
      <w:tab/>
    </w:r>
    <w:r>
      <w:rPr>
        <w:rFonts w:ascii="Times New Roman" w:hAnsi="Times New Roman"/>
        <w:b w:val="0"/>
        <w:i w:val="0"/>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