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24"/>
        </w:rPr>
        <w:t>LLM-Assisted Data Extraction for Meta-Analytic Structural Equation Modeling:</w:t>
        <w:br/>
        <w:t>A Multi-Model Comparative Framework with Human Gold-Standard Validation</w:t>
      </w:r>
    </w:p>
    <w:p/>
    <w:p>
      <w:pPr>
        <w:jc w:val="center"/>
      </w:pPr>
      <w:r>
        <w:rPr>
          <w:sz w:val="24"/>
        </w:rPr>
        <w:t>Hosung You</w:t>
      </w:r>
    </w:p>
    <w:p>
      <w:pPr>
        <w:jc w:val="center"/>
      </w:pPr>
      <w:r>
        <w:rPr>
          <w:sz w:val="24"/>
        </w:rPr>
        <w:t>College of Education, Pennsylvania State University</w:t>
      </w:r>
    </w:p>
    <w:p/>
    <w:p>
      <w:pPr>
        <w:jc w:val="center"/>
      </w:pPr>
      <w:r>
        <w:rPr>
          <w:sz w:val="24"/>
        </w:rPr>
        <w:t>Date: April 2026</w:t>
      </w:r>
    </w:p>
    <w:p/>
    <w:p>
      <w:pPr>
        <w:jc w:val="center"/>
      </w:pPr>
      <w:r>
        <w:rPr>
          <w:i/>
          <w:sz w:val="20"/>
        </w:rPr>
        <w:t>PROPOSAL BRIEF FOR JOURNAL VENUE SELECTION</w:t>
      </w:r>
    </w:p>
    <w:p>
      <w:r>
        <w:br w:type="page"/>
      </w:r>
    </w:p>
    <w:p>
      <w:pPr>
        <w:spacing w:before="240" w:after="120"/>
        <w:jc w:val="center"/>
      </w:pPr>
      <w:r>
        <w:rPr>
          <w:b/>
          <w:sz w:val="24"/>
        </w:rPr>
        <w:t>Abstract</w:t>
      </w:r>
    </w:p>
    <w:p>
      <w:pPr>
        <w:spacing w:after="0" w:line="480" w:lineRule="auto"/>
      </w:pPr>
      <w:r>
        <w:rPr>
          <w:sz w:val="24"/>
        </w:rPr>
        <w:t>Data extraction remains the most time-intensive and error-prone phase of systematic reviews and meta-analyses. This study evaluates the accuracy, reliability, and cost-effectiveness of large language model (LLM)-assisted data extraction for meta-analytic structural equation modeling (MASEM), a methodologically demanding synthesis technique requiring extraction of full inter-construct correlation matrices from primary studies. Using a 100-study gold-standard subsample from a parent meta-analysis of AI adoption in higher education (N = 224 studies), three LLM models (Claude Sonnet 4.6, Gemini 2.5-Flash, Codex) independently extract four categories of data: bibliographic metadata, correlation matrices, construct operationalizations, and moderator variables (approximately 30 data elements per study; 3,000 total). Extraction accuracy is evaluated against a human gold standard produced by four independent coders (two pairs with cross-pair adjudication; target kappa &gt;= .85). The study tests whether multi-model consensus (majority voting across three LLMs) outperforms single-model extraction and identifies the optimal human-AI hybrid workflow that maximizes accuracy while minimizing researcher time investment. Reporting follows PRISMA-trAIce (2025) and TRIPOD-LLM guidelines.</w:t>
      </w:r>
    </w:p>
    <w:p/>
    <w:p>
      <w:pPr>
        <w:ind w:firstLine="720"/>
      </w:pPr>
      <w:r>
        <w:rPr>
          <w:i/>
          <w:sz w:val="24"/>
        </w:rPr>
        <w:t xml:space="preserve">Keywords: </w:t>
      </w:r>
      <w:r>
        <w:rPr>
          <w:sz w:val="24"/>
        </w:rPr>
        <w:t>large language models, data extraction, meta-analysis, systematic review methodology, inter-rater reliability, automation, MASEM, correlation matrix extraction, multi-model consensus</w:t>
      </w:r>
    </w:p>
    <w:p>
      <w:r>
        <w:br w:type="page"/>
      </w:r>
    </w:p>
    <w:p>
      <w:pPr>
        <w:spacing w:before="240" w:after="120"/>
        <w:jc w:val="center"/>
      </w:pPr>
      <w:r>
        <w:rPr>
          <w:b/>
          <w:sz w:val="24"/>
        </w:rPr>
        <w:t>Introduction and Problem Statement</w:t>
      </w:r>
    </w:p>
    <w:p>
      <w:pPr>
        <w:spacing w:after="0" w:line="480" w:lineRule="auto"/>
        <w:ind w:firstLine="720"/>
      </w:pPr>
      <w:r>
        <w:rPr>
          <w:sz w:val="24"/>
        </w:rPr>
        <w:t>Systematic reviews and meta-analyses are foundational to evidence-based practice, yet their production is bottlenecked by manual data extraction, which accounts for approximately 30-60% of total researcher time (Borah et al., 2017). In meta-analytic structural equation modeling (MASEM), the extraction burden is amplified: rather than extracting a single effect size per study, MASEM requires the full inter-construct correlation matrix (often 10-20 pairwise correlations per study), along with construct operationalization details, sample sizes, and reliability coefficients. For a 200-study MASEM with 10 constructs, this implies approximately 6,000 individual data elements to be located, verified, and coded.</w:t>
      </w:r>
    </w:p>
    <w:p>
      <w:pPr>
        <w:spacing w:after="0" w:line="480" w:lineRule="auto"/>
        <w:ind w:firstLine="720"/>
      </w:pPr>
      <w:r>
        <w:rPr>
          <w:sz w:val="24"/>
        </w:rPr>
        <w:t>The emergence of large language models (LLMs) with extended context windows (100K-1M tokens) and multimodal capabilities (PDF/table parsing) offers a potential solution. Several recent studies have explored LLM-assisted extraction for standard meta-analyses (e.g., Wang et al., 2024; Khraisha et al., 2024), but none has evaluated LLM performance on the methodologically demanding task of correlation matrix extraction for MASEM, which requires: (a) identifying the correct correlation table format (Pearson, Fornell-Larcker, HTMT); (b) mapping study-specific construct labels to standardized constructs; (c) distinguishing latent correlations from observed correlations; and (d) handling PLS-SEM studies that report only square-root AVE on the diagonal rather than raw correlations.</w:t>
      </w:r>
    </w:p>
    <w:p>
      <w:pPr>
        <w:spacing w:before="240" w:after="120"/>
      </w:pPr>
      <w:r>
        <w:rPr>
          <w:b/>
          <w:sz w:val="24"/>
        </w:rPr>
        <w:t>Research Gap</w:t>
      </w:r>
    </w:p>
    <w:p>
      <w:pPr>
        <w:spacing w:after="0" w:line="480" w:lineRule="auto"/>
        <w:ind w:firstLine="720"/>
      </w:pPr>
      <w:r>
        <w:rPr>
          <w:sz w:val="24"/>
        </w:rPr>
        <w:t>No published study has: (a) compared multiple LLMs head-to-head on MASEM-specific extraction tasks, (b) evaluated multi-model consensus as an error-reduction strategy for correlation matrix extraction, or (c) established benchmarks for LLM accuracy by data type (bibliographic vs. statistical vs. classificatory). This study fills these gaps using a rigorous gold-standard design with four human coders and three LLM models.</w:t>
      </w:r>
    </w:p>
    <w:p>
      <w:pPr>
        <w:spacing w:before="240" w:after="120"/>
        <w:jc w:val="center"/>
      </w:pPr>
      <w:r>
        <w:rPr>
          <w:b/>
          <w:sz w:val="24"/>
        </w:rPr>
        <w:t>Research Questions</w:t>
      </w:r>
    </w:p>
    <w:p>
      <w:pPr>
        <w:ind w:left="720" w:hanging="720"/>
      </w:pPr>
      <w:r>
        <w:rPr>
          <w:b/>
          <w:sz w:val="24"/>
        </w:rPr>
        <w:t xml:space="preserve">RQ1: </w:t>
      </w:r>
      <w:r>
        <w:rPr>
          <w:sz w:val="24"/>
        </w:rPr>
        <w:t>What is the extraction accuracy of each LLM model (Claude, Gemini, Codex) for MASEM-specific data elements, compared to the human gold standard? (Element-level precision, recall, F1)</w:t>
      </w:r>
    </w:p>
    <w:p>
      <w:pPr>
        <w:ind w:left="720" w:hanging="720"/>
      </w:pPr>
      <w:r>
        <w:rPr>
          <w:b/>
          <w:sz w:val="24"/>
        </w:rPr>
        <w:t xml:space="preserve">RQ2: </w:t>
      </w:r>
      <w:r>
        <w:rPr>
          <w:sz w:val="24"/>
        </w:rPr>
        <w:t>Does extraction accuracy vary by data type: bibliographic metadata (title, year, sample size) vs. statistical data (correlations, reliability) vs. classificatory data (construct mapping, moderator coding)?</w:t>
      </w:r>
    </w:p>
    <w:p>
      <w:pPr>
        <w:ind w:left="720" w:hanging="720"/>
      </w:pPr>
      <w:r>
        <w:rPr>
          <w:b/>
          <w:sz w:val="24"/>
        </w:rPr>
        <w:t xml:space="preserve">RQ3: </w:t>
      </w:r>
      <w:r>
        <w:rPr>
          <w:sz w:val="24"/>
        </w:rPr>
        <w:t>Does multi-model consensus (3-model majority voting) produce higher accuracy than any single model alone? What is the optimal consensus threshold?</w:t>
      </w:r>
    </w:p>
    <w:p>
      <w:pPr>
        <w:ind w:left="720" w:hanging="720"/>
      </w:pPr>
      <w:r>
        <w:rPr>
          <w:b/>
          <w:sz w:val="24"/>
        </w:rPr>
        <w:t xml:space="preserve">RQ4: </w:t>
      </w:r>
      <w:r>
        <w:rPr>
          <w:sz w:val="24"/>
        </w:rPr>
        <w:t>What is the optimal human-AI hybrid workflow that achieves &gt;= 95% accuracy while minimizing researcher time? (Full AI, AI + spot-check, AI + full verify)</w:t>
      </w:r>
    </w:p>
    <w:p>
      <w:pPr>
        <w:spacing w:before="240" w:after="120"/>
        <w:jc w:val="center"/>
      </w:pPr>
      <w:r>
        <w:rPr>
          <w:b/>
          <w:sz w:val="24"/>
        </w:rPr>
        <w:t>Method</w:t>
      </w:r>
    </w:p>
    <w:p>
      <w:pPr>
        <w:spacing w:before="240" w:after="120"/>
      </w:pPr>
      <w:r>
        <w:rPr>
          <w:b/>
          <w:sz w:val="24"/>
        </w:rPr>
        <w:t>Study Design</w:t>
      </w:r>
    </w:p>
    <w:p>
      <w:pPr>
        <w:spacing w:after="0" w:line="480" w:lineRule="auto"/>
        <w:ind w:firstLine="720"/>
      </w:pPr>
      <w:r>
        <w:rPr>
          <w:sz w:val="24"/>
        </w:rPr>
        <w:t>A comparative accuracy study evaluating three LLM models against a human gold standard on a 100-study stratified subsample drawn from the parent meta-analysis corpus (N = 224). The design is fully crossed: all three LLMs and all four human coders process the same 100 studies, enabling direct within-study comparison of extraction quality.</w:t>
      </w:r>
    </w:p>
    <w:p>
      <w:pPr>
        <w:spacing w:before="240" w:after="120"/>
      </w:pPr>
      <w:r>
        <w:rPr>
          <w:b/>
          <w:sz w:val="24"/>
        </w:rPr>
        <w:t>Gold Standard Construction</w:t>
      </w:r>
    </w:p>
    <w:p>
      <w:pPr>
        <w:spacing w:after="0" w:line="480" w:lineRule="auto"/>
        <w:ind w:firstLine="720"/>
      </w:pPr>
      <w:r>
        <w:rPr>
          <w:sz w:val="24"/>
        </w:rPr>
        <w:t>Four human coders (R1-R4) independently extract data in two pairs. Pair A (R1 + R2) codes 50 studies; Pair B (R3 + R4) codes 50 studies. Within each pair, coders work independently (blinded to each other's extractions). Inter-coder reliability is assessed using Cohen's kappa (categorical variables) and ICC(2,1) (continuous variables). Discrepancies are resolved through cross-pair adjudication: R1 adjudicates Pair B disagreements; R3 adjudicates Pair A disagreements. The final gold standard comprises consensus values for all 3,000 data elements (30 elements per study x 100 studies).</w:t>
      </w:r>
    </w:p>
    <w:p>
      <w:pPr>
        <w:spacing w:before="240" w:after="120"/>
      </w:pPr>
      <w:r>
        <w:rPr>
          <w:b/>
          <w:sz w:val="24"/>
        </w:rPr>
        <w:t>LLM Extraction Pipeline</w:t>
      </w:r>
    </w:p>
    <w:p>
      <w:pPr>
        <w:spacing w:after="0" w:line="480" w:lineRule="auto"/>
        <w:ind w:firstLine="720"/>
      </w:pPr>
      <w:r>
        <w:rPr>
          <w:sz w:val="24"/>
        </w:rPr>
        <w:t>Each study PDF is processed by three LLMs independently using standardized extraction prompts organized into four modules: Module A (bibliographic metadata), Module B (correlation matrix extraction), Module C (construct operationalization), and Module D (moderator variable coding). Prompts include few-shot examples, output schema specifications, and explicit instructions for handling edge cases (e.g., PLS-SEM Fornell-Larcker tables, split-sample studies, beta-only reporting). Each LLM receives the full PDF as context (utilizing extended context windows) and returns structured JSON output.</w:t>
      </w:r>
    </w:p>
    <w:p>
      <w:pPr>
        <w:spacing w:before="240" w:after="120"/>
      </w:pPr>
      <w:r>
        <w:rPr>
          <w:b/>
          <w:sz w:val="24"/>
        </w:rPr>
        <w:t>Multi-Model Consensus Algorithm</w:t>
      </w:r>
    </w:p>
    <w:p>
      <w:pPr>
        <w:spacing w:after="0" w:line="480" w:lineRule="auto"/>
        <w:ind w:firstLine="720"/>
      </w:pPr>
      <w:r>
        <w:rPr>
          <w:sz w:val="24"/>
        </w:rPr>
        <w:t>For each data element, the consensus algorithm applies majority voting: if 2/3 or 3/3 models agree, the consensus value is adopted. When all three models disagree (three-way split), the element is flagged for human adjudication. The study evaluates consensus performance at two thresholds: 2/3 majority and 3/3 unanimity. Cost and time metrics are recorded for each workflow variant.</w:t>
      </w:r>
    </w:p>
    <w:p>
      <w:pPr>
        <w:spacing w:before="240" w:after="120"/>
      </w:pPr>
      <w:r>
        <w:rPr>
          <w:b/>
          <w:sz w:val="24"/>
        </w:rPr>
        <w:t>Analysis Plan</w:t>
      </w:r>
    </w:p>
    <w:p>
      <w:pPr>
        <w:spacing w:after="0" w:line="480" w:lineRule="auto"/>
        <w:ind w:firstLine="720"/>
      </w:pPr>
      <w:r>
        <w:rPr>
          <w:sz w:val="24"/>
        </w:rPr>
        <w:t>Accuracy is evaluated at the element level using precision, recall, and F1 score (treating the human gold standard as ground truth). For continuous variables (correlations), accuracy is assessed using mean absolute error (MAE) and proportion within +/- .02 tolerance. Statistical comparisons use McNemar's test (paired categorical) and paired t-tests (continuous). Effect sizes (Cohen's d, odds ratios) are reported for all comparisons. Cost-effectiveness is assessed as accuracy per dollar and accuracy per researcher-hour.</w:t>
      </w:r>
    </w:p>
    <w:p>
      <w:pPr>
        <w:spacing w:before="240" w:after="120"/>
        <w:jc w:val="center"/>
      </w:pPr>
      <w:r>
        <w:rPr>
          <w:b/>
          <w:sz w:val="24"/>
        </w:rPr>
        <w:t>Expected Contributions</w:t>
      </w:r>
    </w:p>
    <w:p>
      <w:pPr>
        <w:ind w:firstLine="720"/>
      </w:pPr>
      <w:r>
        <w:rPr>
          <w:b/>
          <w:i/>
          <w:sz w:val="24"/>
        </w:rPr>
        <w:t xml:space="preserve">Methodological. </w:t>
      </w:r>
      <w:r>
        <w:rPr>
          <w:sz w:val="24"/>
        </w:rPr>
        <w:t>Establishes the first empirical benchmark for LLM accuracy on MASEM-specific extraction tasks. Provides a reproducible framework for evaluating AI extraction tools in any quantitative synthesis context.</w:t>
      </w:r>
    </w:p>
    <w:p>
      <w:pPr>
        <w:ind w:firstLine="720"/>
      </w:pPr>
      <w:r>
        <w:rPr>
          <w:b/>
          <w:i/>
          <w:sz w:val="24"/>
        </w:rPr>
        <w:t xml:space="preserve">Practical. </w:t>
      </w:r>
      <w:r>
        <w:rPr>
          <w:sz w:val="24"/>
        </w:rPr>
        <w:t>Identifies the optimal human-AI hybrid workflow for MASEM data extraction, quantifying the time savings and accuracy trade-offs. Expected time reduction: 60-80% compared to fully manual extraction, at &gt;= 95% accuracy.</w:t>
      </w:r>
    </w:p>
    <w:p>
      <w:pPr>
        <w:ind w:firstLine="720"/>
      </w:pPr>
      <w:r>
        <w:rPr>
          <w:b/>
          <w:i/>
          <w:sz w:val="24"/>
        </w:rPr>
        <w:t xml:space="preserve">Reporting Standards. </w:t>
      </w:r>
      <w:r>
        <w:rPr>
          <w:sz w:val="24"/>
        </w:rPr>
        <w:t>Demonstrates application of PRISMA-trAIce (2025) guidelines for transparent reporting of AI-assisted systematic review processes. Provides a template for future studies using LLMs in evidence synthesis.</w:t>
      </w:r>
    </w:p>
    <w:p>
      <w:pPr>
        <w:spacing w:before="240" w:after="120"/>
        <w:jc w:val="center"/>
      </w:pPr>
      <w:r>
        <w:rPr>
          <w:b/>
          <w:sz w:val="24"/>
        </w:rPr>
        <w:t>Target Audience and Venue Characteristics</w:t>
      </w:r>
    </w:p>
    <w:p>
      <w:pPr>
        <w:spacing w:after="0" w:line="480" w:lineRule="auto"/>
      </w:pPr>
      <w:r>
        <w:rPr>
          <w:sz w:val="24"/>
        </w:rPr>
        <w:t>This paper targets journals specializing in: (a) research synthesis methodology, (b) meta-analysis methods, (c) AI applications in research, or (d) information science methodology. Ideal venues should have published on automation in systematic reviews, machine learning for evidence synthesis, or methodological innovations in meta-analysis. Key characteristics:</w:t>
      </w:r>
    </w:p>
    <w:p>
      <w:pPr>
        <w:ind w:left="1440" w:hanging="720"/>
      </w:pPr>
      <w:r>
        <w:rPr>
          <w:sz w:val="24"/>
        </w:rPr>
        <w:t xml:space="preserve">- </w:t>
      </w:r>
      <w:r>
        <w:rPr>
          <w:sz w:val="24"/>
        </w:rPr>
        <w:t>Publishes methodological innovations in systematic review / meta-analysis</w:t>
      </w:r>
    </w:p>
    <w:p>
      <w:pPr>
        <w:ind w:left="1440" w:hanging="720"/>
      </w:pPr>
      <w:r>
        <w:rPr>
          <w:sz w:val="24"/>
        </w:rPr>
        <w:t xml:space="preserve">- </w:t>
      </w:r>
      <w:r>
        <w:rPr>
          <w:sz w:val="24"/>
        </w:rPr>
        <w:t>Readership includes researchers conducting quantitative evidence synthesis</w:t>
      </w:r>
    </w:p>
    <w:p>
      <w:pPr>
        <w:ind w:left="1440" w:hanging="720"/>
      </w:pPr>
      <w:r>
        <w:rPr>
          <w:sz w:val="24"/>
        </w:rPr>
        <w:t xml:space="preserve">- </w:t>
      </w:r>
      <w:r>
        <w:rPr>
          <w:sz w:val="24"/>
        </w:rPr>
        <w:t>Open to AI/LLM applications in research methodology</w:t>
      </w:r>
    </w:p>
    <w:p>
      <w:pPr>
        <w:ind w:left="1440" w:hanging="720"/>
      </w:pPr>
      <w:r>
        <w:rPr>
          <w:sz w:val="24"/>
        </w:rPr>
        <w:t xml:space="preserve">- </w:t>
      </w:r>
      <w:r>
        <w:rPr>
          <w:sz w:val="24"/>
        </w:rPr>
        <w:t>Accepts papers of 6,000-10,000 words with technical detail</w:t>
      </w:r>
    </w:p>
    <w:p>
      <w:pPr>
        <w:ind w:left="1440" w:hanging="720"/>
      </w:pPr>
      <w:r>
        <w:rPr>
          <w:sz w:val="24"/>
        </w:rPr>
        <w:t xml:space="preserve">- </w:t>
      </w:r>
      <w:r>
        <w:rPr>
          <w:sz w:val="24"/>
        </w:rPr>
        <w:t>Impact Factor &gt;= 3.0 preferred</w:t>
      </w:r>
    </w:p>
    <w:p>
      <w:pPr>
        <w:ind w:left="1440" w:hanging="720"/>
      </w:pPr>
      <w:r>
        <w:rPr>
          <w:sz w:val="24"/>
        </w:rPr>
        <w:t xml:space="preserve">- </w:t>
      </w:r>
      <w:r>
        <w:rPr>
          <w:sz w:val="24"/>
        </w:rPr>
        <w:t>Has published on automation, machine learning, or NLP in systematic reviews</w:t>
      </w:r>
    </w:p>
    <w:p>
      <w:pPr>
        <w:ind w:left="1440" w:hanging="720"/>
      </w:pPr>
      <w:r>
        <w:rPr>
          <w:sz w:val="24"/>
        </w:rPr>
        <w:t xml:space="preserve">- </w:t>
      </w:r>
      <w:r>
        <w:rPr>
          <w:sz w:val="24"/>
        </w:rPr>
        <w:t>Values reproducibility and open-science reporting (code/data sharing)</w:t>
      </w:r>
    </w:p>
    <w:p>
      <w:pPr>
        <w:spacing w:before="240" w:after="120"/>
      </w:pPr>
      <w:r>
        <w:rPr>
          <w:b/>
          <w:sz w:val="24"/>
        </w:rPr>
        <w:t>Suggested Search Terms for Venue Identification</w:t>
      </w:r>
    </w:p>
    <w:p>
      <w:pPr>
        <w:ind w:left="1440"/>
      </w:pPr>
      <w:r>
        <w:rPr>
          <w:i/>
          <w:sz w:val="22"/>
        </w:rPr>
        <w:t>"systematic review AND (automation OR machine learning OR NLP) AND data extraction"</w:t>
      </w:r>
    </w:p>
    <w:p>
      <w:pPr>
        <w:ind w:left="1440"/>
      </w:pPr>
      <w:r>
        <w:rPr>
          <w:i/>
          <w:sz w:val="22"/>
        </w:rPr>
        <w:t>"meta-analysis AND (large language model OR LLM OR GPT OR AI)"</w:t>
      </w:r>
    </w:p>
    <w:p>
      <w:pPr>
        <w:ind w:left="1440"/>
      </w:pPr>
      <w:r>
        <w:rPr>
          <w:i/>
          <w:sz w:val="22"/>
        </w:rPr>
        <w:t>"research synthesis methods AND technology"</w:t>
      </w:r>
    </w:p>
    <w:p>
      <w:pPr>
        <w:ind w:left="1440"/>
      </w:pPr>
      <w:r>
        <w:rPr>
          <w:i/>
          <w:sz w:val="22"/>
        </w:rPr>
        <w:t>"inter-rater reliability AND automated coding"</w:t>
      </w:r>
    </w:p>
    <w:p>
      <w:pPr>
        <w:ind w:left="1440"/>
      </w:pPr>
      <w:r>
        <w:rPr>
          <w:i/>
          <w:sz w:val="22"/>
        </w:rPr>
        <w:t>"PRISMA AND artificial intelligence"</w:t>
      </w:r>
    </w:p>
    <w:p>
      <w:pPr>
        <w:spacing w:before="240" w:after="120"/>
        <w:jc w:val="center"/>
      </w:pPr>
      <w:r>
        <w:rPr>
          <w:b/>
          <w:sz w:val="24"/>
        </w:rPr>
        <w:t>Key Numbers at a Glance</w:t>
      </w:r>
    </w:p>
    <w:tbl>
      <w:tblPr>
        <w:tblStyle w:val="TableGrid"/>
        <w:tblW w:type="auto" w:w="0"/>
        <w:tblLook w:firstColumn="1" w:firstRow="1" w:lastColumn="0" w:lastRow="0" w:noHBand="0" w:noVBand="1" w:val="04A0"/>
      </w:tblPr>
      <w:tblGrid>
        <w:gridCol w:w="4680"/>
        <w:gridCol w:w="4680"/>
      </w:tblGrid>
      <w:tr>
        <w:tc>
          <w:tcPr>
            <w:tcW w:type="dxa" w:w="4680"/>
            <w:shd w:val="clear" w:color="auto" w:fill="D9E2F3"/>
          </w:tcPr>
          <w:p>
            <w:r>
              <w:rPr>
                <w:b/>
                <w:sz w:val="22"/>
              </w:rPr>
              <w:t>Parameter</w:t>
            </w:r>
          </w:p>
        </w:tc>
        <w:tc>
          <w:tcPr>
            <w:tcW w:type="dxa" w:w="4680"/>
            <w:shd w:val="clear" w:color="auto" w:fill="D9E2F3"/>
          </w:tcPr>
          <w:p>
            <w:r>
              <w:rPr>
                <w:b/>
                <w:sz w:val="22"/>
              </w:rPr>
              <w:t>Value</w:t>
            </w:r>
          </w:p>
        </w:tc>
      </w:tr>
      <w:tr>
        <w:tc>
          <w:tcPr>
            <w:tcW w:type="dxa" w:w="4680"/>
          </w:tcPr>
          <w:p>
            <w:r>
              <w:rPr>
                <w:sz w:val="22"/>
              </w:rPr>
              <w:t>Gold standard sample</w:t>
            </w:r>
          </w:p>
        </w:tc>
        <w:tc>
          <w:tcPr>
            <w:tcW w:type="dxa" w:w="4680"/>
          </w:tcPr>
          <w:p>
            <w:r>
              <w:rPr>
                <w:sz w:val="22"/>
              </w:rPr>
              <w:t>100 studies (stratified from N = 224)</w:t>
            </w:r>
          </w:p>
        </w:tc>
      </w:tr>
      <w:tr>
        <w:tc>
          <w:tcPr>
            <w:tcW w:type="dxa" w:w="4680"/>
          </w:tcPr>
          <w:p>
            <w:r>
              <w:rPr>
                <w:sz w:val="22"/>
              </w:rPr>
              <w:t>Human coders</w:t>
            </w:r>
          </w:p>
        </w:tc>
        <w:tc>
          <w:tcPr>
            <w:tcW w:type="dxa" w:w="4680"/>
          </w:tcPr>
          <w:p>
            <w:r>
              <w:rPr>
                <w:sz w:val="22"/>
              </w:rPr>
              <w:t>4 (two independent pairs + cross-adjudication)</w:t>
            </w:r>
          </w:p>
        </w:tc>
      </w:tr>
      <w:tr>
        <w:tc>
          <w:tcPr>
            <w:tcW w:type="dxa" w:w="4680"/>
          </w:tcPr>
          <w:p>
            <w:r>
              <w:rPr>
                <w:sz w:val="22"/>
              </w:rPr>
              <w:t>LLM models tested</w:t>
            </w:r>
          </w:p>
        </w:tc>
        <w:tc>
          <w:tcPr>
            <w:tcW w:type="dxa" w:w="4680"/>
          </w:tcPr>
          <w:p>
            <w:r>
              <w:rPr>
                <w:sz w:val="22"/>
              </w:rPr>
              <w:t>3 (Claude Sonnet 4.6, Gemini 2.5-Flash, Codex)</w:t>
            </w:r>
          </w:p>
        </w:tc>
      </w:tr>
      <w:tr>
        <w:tc>
          <w:tcPr>
            <w:tcW w:type="dxa" w:w="4680"/>
          </w:tcPr>
          <w:p>
            <w:r>
              <w:rPr>
                <w:sz w:val="22"/>
              </w:rPr>
              <w:t>Data elements per study</w:t>
            </w:r>
          </w:p>
        </w:tc>
        <w:tc>
          <w:tcPr>
            <w:tcW w:type="dxa" w:w="4680"/>
          </w:tcPr>
          <w:p>
            <w:r>
              <w:rPr>
                <w:sz w:val="22"/>
              </w:rPr>
              <w:t>~30 (bibliographic + statistical + classificatory)</w:t>
            </w:r>
          </w:p>
        </w:tc>
      </w:tr>
      <w:tr>
        <w:tc>
          <w:tcPr>
            <w:tcW w:type="dxa" w:w="4680"/>
          </w:tcPr>
          <w:p>
            <w:r>
              <w:rPr>
                <w:sz w:val="22"/>
              </w:rPr>
              <w:t>Total data elements</w:t>
            </w:r>
          </w:p>
        </w:tc>
        <w:tc>
          <w:tcPr>
            <w:tcW w:type="dxa" w:w="4680"/>
          </w:tcPr>
          <w:p>
            <w:r>
              <w:rPr>
                <w:sz w:val="22"/>
              </w:rPr>
              <w:t>~3,000</w:t>
            </w:r>
          </w:p>
        </w:tc>
      </w:tr>
      <w:tr>
        <w:tc>
          <w:tcPr>
            <w:tcW w:type="dxa" w:w="4680"/>
          </w:tcPr>
          <w:p>
            <w:r>
              <w:rPr>
                <w:sz w:val="22"/>
              </w:rPr>
              <w:t>ICR target</w:t>
            </w:r>
          </w:p>
        </w:tc>
        <w:tc>
          <w:tcPr>
            <w:tcW w:type="dxa" w:w="4680"/>
          </w:tcPr>
          <w:p>
            <w:r>
              <w:rPr>
                <w:sz w:val="22"/>
              </w:rPr>
              <w:t>Cohen's kappa &gt;= .85</w:t>
            </w:r>
          </w:p>
        </w:tc>
      </w:tr>
      <w:tr>
        <w:tc>
          <w:tcPr>
            <w:tcW w:type="dxa" w:w="4680"/>
          </w:tcPr>
          <w:p>
            <w:r>
              <w:rPr>
                <w:sz w:val="22"/>
              </w:rPr>
              <w:t>Accuracy target</w:t>
            </w:r>
          </w:p>
        </w:tc>
        <w:tc>
          <w:tcPr>
            <w:tcW w:type="dxa" w:w="4680"/>
          </w:tcPr>
          <w:p>
            <w:r>
              <w:rPr>
                <w:sz w:val="22"/>
              </w:rPr>
              <w:t>&gt;= 95% element-level agreement with gold standard</w:t>
            </w:r>
          </w:p>
        </w:tc>
      </w:tr>
      <w:tr>
        <w:tc>
          <w:tcPr>
            <w:tcW w:type="dxa" w:w="4680"/>
          </w:tcPr>
          <w:p>
            <w:r>
              <w:rPr>
                <w:sz w:val="22"/>
              </w:rPr>
              <w:t>Extraction modules</w:t>
            </w:r>
          </w:p>
        </w:tc>
        <w:tc>
          <w:tcPr>
            <w:tcW w:type="dxa" w:w="4680"/>
          </w:tcPr>
          <w:p>
            <w:r>
              <w:rPr>
                <w:sz w:val="22"/>
              </w:rPr>
              <w:t>4 (bibliographic, correlation, construct, moderator)</w:t>
            </w:r>
          </w:p>
        </w:tc>
      </w:tr>
      <w:tr>
        <w:tc>
          <w:tcPr>
            <w:tcW w:type="dxa" w:w="4680"/>
          </w:tcPr>
          <w:p>
            <w:r>
              <w:rPr>
                <w:sz w:val="22"/>
              </w:rPr>
              <w:t>Reporting standards</w:t>
            </w:r>
          </w:p>
        </w:tc>
        <w:tc>
          <w:tcPr>
            <w:tcW w:type="dxa" w:w="4680"/>
          </w:tcPr>
          <w:p>
            <w:r>
              <w:rPr>
                <w:sz w:val="22"/>
              </w:rPr>
              <w:t>PRISMA-trAIce (2025), TRIPOD-LLM</w:t>
            </w:r>
          </w:p>
        </w:tc>
      </w:tr>
      <w:tr>
        <w:tc>
          <w:tcPr>
            <w:tcW w:type="dxa" w:w="4680"/>
          </w:tcPr>
          <w:p>
            <w:r>
              <w:rPr>
                <w:sz w:val="22"/>
              </w:rPr>
              <w:t>Expected word count</w:t>
            </w:r>
          </w:p>
        </w:tc>
        <w:tc>
          <w:tcPr>
            <w:tcW w:type="dxa" w:w="4680"/>
          </w:tcPr>
          <w:p>
            <w:r>
              <w:rPr>
                <w:sz w:val="22"/>
              </w:rPr>
              <w:t>6,000-10,000 (excluding supplementary)</w:t>
            </w:r>
          </w:p>
        </w:tc>
      </w:tr>
      <w:tr>
        <w:tc>
          <w:tcPr>
            <w:tcW w:type="dxa" w:w="4680"/>
          </w:tcPr>
          <w:p/>
        </w:tc>
        <w:tc>
          <w:tcPr>
            <w:tcW w:type="dxa" w:w="4680"/>
          </w:tcPr>
          <w:p/>
        </w:tc>
      </w:tr>
    </w:tbl>
    <w:p>
      <w:r>
        <w:br w:type="page"/>
      </w:r>
    </w:p>
    <w:p>
      <w:pPr>
        <w:spacing w:before="240" w:after="120"/>
        <w:jc w:val="center"/>
      </w:pPr>
      <w:r>
        <w:rPr>
          <w:b/>
          <w:sz w:val="24"/>
        </w:rPr>
        <w:t>References</w:t>
      </w:r>
    </w:p>
    <w:p>
      <w:pPr>
        <w:spacing w:after="0" w:line="480" w:lineRule="auto"/>
        <w:ind w:left="720" w:hanging="720"/>
      </w:pPr>
      <w:r>
        <w:rPr>
          <w:sz w:val="24"/>
        </w:rPr>
        <w:t>Borah, R., Brown, A. W., Capers, P. L., &amp; Allison, D. B. (2017). Analysis of the time and workers needed to conduct systematic reviews of medical interventions using data from the PROSPERO registry. BMJ Open, 7(2), e012545.</w:t>
      </w:r>
    </w:p>
    <w:p>
      <w:pPr>
        <w:spacing w:after="0" w:line="480" w:lineRule="auto"/>
        <w:ind w:left="720" w:hanging="720"/>
      </w:pPr>
      <w:r>
        <w:rPr>
          <w:sz w:val="24"/>
        </w:rPr>
        <w:t>Cheung, M. W.-L. (2015). Meta-analysis: A structural equation modeling approach. Wiley.</w:t>
      </w:r>
    </w:p>
    <w:p>
      <w:pPr>
        <w:spacing w:after="0" w:line="480" w:lineRule="auto"/>
        <w:ind w:left="720" w:hanging="720"/>
      </w:pPr>
      <w:r>
        <w:rPr>
          <w:sz w:val="24"/>
        </w:rPr>
        <w:t>Collins, G. S., et al. (2025). TRIPOD-LLM: Transparent reporting of LLM-assisted prediction model development. BMJ.</w:t>
      </w:r>
    </w:p>
    <w:p>
      <w:pPr>
        <w:spacing w:after="0" w:line="480" w:lineRule="auto"/>
        <w:ind w:left="720" w:hanging="720"/>
      </w:pPr>
      <w:r>
        <w:rPr>
          <w:sz w:val="24"/>
        </w:rPr>
        <w:t>Jak, S., &amp; Cheung, M. W.-L. (2020). Meta-analytic structural equation modeling with moderating effects on SEM parameters. Psychological Methods, 25(4), 430-449.</w:t>
      </w:r>
    </w:p>
    <w:p>
      <w:pPr>
        <w:spacing w:after="0" w:line="480" w:lineRule="auto"/>
        <w:ind w:left="720" w:hanging="720"/>
      </w:pPr>
      <w:r>
        <w:rPr>
          <w:sz w:val="24"/>
        </w:rPr>
        <w:t>Khraisha, Q., et al. (2024). Can large language models replace humans in systematic reviews? A study on screening and data extraction. arXiv preprint.</w:t>
      </w:r>
    </w:p>
    <w:p>
      <w:pPr>
        <w:spacing w:after="0" w:line="480" w:lineRule="auto"/>
        <w:ind w:left="720" w:hanging="720"/>
      </w:pPr>
      <w:r>
        <w:rPr>
          <w:sz w:val="24"/>
        </w:rPr>
        <w:t>Marshall, I. J., &amp; Wallace, B. C. (2019). Toward systematic review automation: A practical guide to using machine learning tools in research synthesis. Systematic Reviews, 8, 163.</w:t>
      </w:r>
    </w:p>
    <w:p>
      <w:pPr>
        <w:spacing w:after="0" w:line="480" w:lineRule="auto"/>
        <w:ind w:left="720" w:hanging="720"/>
      </w:pPr>
      <w:r>
        <w:rPr>
          <w:sz w:val="24"/>
        </w:rPr>
        <w:t>Page, M. J., et al. (2021). The PRISMA 2020 statement: An updated guideline for reporting systematic reviews. BMJ, 372, n71.</w:t>
      </w:r>
    </w:p>
    <w:p>
      <w:pPr>
        <w:spacing w:after="0" w:line="480" w:lineRule="auto"/>
        <w:ind w:left="720" w:hanging="720"/>
      </w:pPr>
      <w:r>
        <w:rPr>
          <w:sz w:val="24"/>
        </w:rPr>
        <w:t>Tsafnat, G., Glasziou, P., Choong, M. K., Dunn, A., Galgani, F., &amp; Coiera, E. (2014). Systematic review automation technologies. Systematic Reviews, 3, 74.</w:t>
      </w:r>
    </w:p>
    <w:p>
      <w:pPr>
        <w:spacing w:after="0" w:line="480" w:lineRule="auto"/>
        <w:ind w:left="720" w:hanging="720"/>
      </w:pPr>
      <w:r>
        <w:rPr>
          <w:sz w:val="24"/>
        </w:rPr>
        <w:t>Viswesvaran, C., &amp; Ones, D. S. (1995). Theory testing: Combining psychometric meta-analysis and structural equations modeling. Personnel Psychology, 48(4), 865-885.</w:t>
      </w:r>
    </w:p>
    <w:p>
      <w:pPr>
        <w:spacing w:after="0" w:line="480" w:lineRule="auto"/>
        <w:ind w:left="720" w:hanging="720"/>
      </w:pPr>
      <w:r>
        <w:rPr>
          <w:sz w:val="24"/>
        </w:rPr>
        <w:t>Wang, S., et al. (2024). GPT-4 for systematic review screening: Performance evaluation and prompt engineering. Journal of Medical Internet Research, 26, e52758.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