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</w:pPr>
      <w:r>
        <w:rPr>
          <w:rFonts w:ascii="Calibri" w:hAnsi="Calibri" w:eastAsia="Malgun Gothic"/>
          <w:b/>
          <w:color w:val="0B2545"/>
          <w:sz w:val="42"/>
        </w:rPr>
        <w:t>Paper 2 초안: LLM-assisted MASEM-ready Extraction</w:t>
      </w:r>
    </w:p>
    <w:p>
      <w:pPr>
        <w:spacing w:after="200"/>
      </w:pPr>
      <w:r>
        <w:rPr>
          <w:rFonts w:ascii="Calibri" w:hAnsi="Calibri" w:eastAsia="Malgun Gothic"/>
          <w:color w:val="595959"/>
          <w:sz w:val="22"/>
        </w:rPr>
        <w:t>팀 공유용 working draft | Research Synthesis Methods 방향 | 2026-05-30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type="dxa" w:w="120"/>
      </w:tblPr>
      <w:tblGrid>
        <w:gridCol w:w="9360"/>
      </w:tblGrid>
      <w:tr>
        <w:tc>
          <w:tcPr>
            <w:tcW w:type="dxa" w:w="93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4F6F9"/>
          </w:tcPr>
          <w:p>
            <w:pPr>
              <w:spacing w:after="0"/>
            </w:pPr>
            <w:r>
              <w:rPr>
                <w:b/>
                <w:color w:val="1F4D78"/>
              </w:rPr>
              <w:t xml:space="preserve">핵심 메시지: </w:t>
            </w:r>
            <w:r>
              <w:t>Paper 2는 LLM이 인간을 대체하는지 평가하는 논문이 아니라, MASEM-ready extraction에서 LLM이 어떤 task family에서는 prefill/triage를 돕고, 어떤 task family에서는 expert adjudication이 필요한지를 검증하는 methods paper이다.</w:t>
            </w:r>
          </w:p>
        </w:tc>
      </w:tr>
    </w:tbl>
    <w:p>
      <w:pPr>
        <w:pStyle w:val="Heading1"/>
      </w:pPr>
      <w:r>
        <w:t>1. 논문 방향</w:t>
      </w:r>
    </w:p>
    <w:p>
      <w:r>
        <w:t>현재 framing은 task-contingent LLM augmentation이다. 즉, LLM의 전체 정확도 하나를 보고 자동 대체 가능성을 주장하지 않는다. 대신 raw human-human disagreement, source-document adjudication, source-anchored adjudicated human reference standard, LLM comparison, downstream MASEM substitution stability를 순서대로 분리한다.</w:t>
      </w:r>
    </w:p>
    <w:p>
      <w:pPr>
        <w:pStyle w:val="ListBullet"/>
      </w:pPr>
      <w:r>
        <w:t>RQ0: 인간 코더들이 adjudication 전에 어디서 왜 불일치하는가?</w:t>
      </w:r>
    </w:p>
    <w:p>
      <w:pPr>
        <w:pStyle w:val="ListBullet"/>
      </w:pPr>
      <w:r>
        <w:t>RQ1: frozen human reference와 비교했을 때 LLM workflow가 task family별로 얼마나 정확한가?</w:t>
      </w:r>
    </w:p>
    <w:p>
      <w:pPr>
        <w:pStyle w:val="ListBullet"/>
      </w:pPr>
      <w:r>
        <w:t>RQ2: 어떤 source format, construct ambiguity, sample definition이 오류를 설명하는가?</w:t>
      </w:r>
    </w:p>
    <w:p>
      <w:pPr>
        <w:pStyle w:val="ListBullet"/>
      </w:pPr>
      <w:r>
        <w:t>RQ3: human disagreement와 LLM flags가 expert review triage에 도움이 되는가?</w:t>
      </w:r>
    </w:p>
    <w:p>
      <w:pPr>
        <w:pStyle w:val="ListBullet"/>
      </w:pPr>
      <w:r>
        <w:t>RQ4: human-supervised LLM-assisted input이 MASEM pooled correlations/path conclusions를 보존하는가?</w:t>
      </w:r>
    </w:p>
    <w:p>
      <w:pPr>
        <w:pStyle w:val="Heading1"/>
      </w:pPr>
      <w:r>
        <w:t>2. 현재까지 모인 데이터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type="dxa" w:w="120"/>
      </w:tblPr>
      <w:tblGrid>
        <w:gridCol w:w="3120"/>
        <w:gridCol w:w="3120"/>
        <w:gridCol w:w="3120"/>
      </w:tblGrid>
      <w:tr>
        <w:trPr>
          <w:tblHeader w:val="true"/>
          <w:cantSplit/>
        </w:trPr>
        <w:tc>
          <w:tcPr>
            <w:tcW w:type="dxa" w:w="288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2F4F7"/>
          </w:tcPr>
          <w:p>
            <w:pPr>
              <w:spacing w:after="0"/>
            </w:pPr>
            <w:r>
              <w:rPr>
                <w:b/>
                <w:color w:val="000000"/>
              </w:rPr>
              <w:t>데이터 상태</w:t>
            </w:r>
          </w:p>
        </w:tc>
        <w:tc>
          <w:tcPr>
            <w:tcW w:type="dxa" w:w="1872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2F4F7"/>
          </w:tcPr>
          <w:p>
            <w:pPr>
              <w:spacing w:after="0"/>
            </w:pPr>
            <w:r>
              <w:rPr>
                <w:b/>
                <w:color w:val="000000"/>
              </w:rPr>
              <w:t>현재 값</w:t>
            </w:r>
          </w:p>
        </w:tc>
        <w:tc>
          <w:tcPr>
            <w:tcW w:type="dxa" w:w="4608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2F4F7"/>
          </w:tcPr>
          <w:p>
            <w:pPr>
              <w:spacing w:after="0"/>
            </w:pPr>
            <w:r>
              <w:rPr>
                <w:b/>
                <w:color w:val="000000"/>
              </w:rPr>
              <w:t>의미</w:t>
            </w:r>
          </w:p>
        </w:tc>
      </w:tr>
      <w:tr>
        <w:trPr>
          <w:cantSplit/>
        </w:trPr>
        <w:tc>
          <w:tcPr>
            <w:tcW w:type="dxa" w:w="312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t>Validation corpus</w:t>
            </w:r>
          </w:p>
        </w:tc>
        <w:tc>
          <w:tcPr>
            <w:tcW w:type="dxa" w:w="312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t>213 studies</w:t>
            </w:r>
          </w:p>
        </w:tc>
        <w:tc>
          <w:tcPr>
            <w:tcW w:type="dxa" w:w="312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t>Phase 1+2 Paper B validation corpus</w:t>
            </w:r>
          </w:p>
        </w:tc>
      </w:tr>
      <w:tr>
        <w:trPr>
          <w:cantSplit/>
        </w:trPr>
        <w:tc>
          <w:tcPr>
            <w:tcW w:type="dxa" w:w="312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t>Phase 1</w:t>
            </w:r>
          </w:p>
        </w:tc>
        <w:tc>
          <w:tcPr>
            <w:tcW w:type="dxa" w:w="312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t>100 studies</w:t>
            </w:r>
          </w:p>
        </w:tc>
        <w:tc>
          <w:tcPr>
            <w:tcW w:type="dxa" w:w="312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t>Pair A(R1+R2) 50; Pair B(R3+R4) 50</w:t>
            </w:r>
          </w:p>
        </w:tc>
      </w:tr>
      <w:tr>
        <w:trPr>
          <w:cantSplit/>
        </w:trPr>
        <w:tc>
          <w:tcPr>
            <w:tcW w:type="dxa" w:w="312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t>Phase 2</w:t>
            </w:r>
          </w:p>
        </w:tc>
        <w:tc>
          <w:tcPr>
            <w:tcW w:type="dxa" w:w="312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t>113 studies</w:t>
            </w:r>
          </w:p>
        </w:tc>
        <w:tc>
          <w:tcPr>
            <w:tcW w:type="dxa" w:w="312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t>Pair C(R1+R4) 57; Pair D(R2+R3) 56</w:t>
            </w:r>
          </w:p>
        </w:tc>
      </w:tr>
      <w:tr>
        <w:trPr>
          <w:cantSplit/>
        </w:trPr>
        <w:tc>
          <w:tcPr>
            <w:tcW w:type="dxa" w:w="312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t>Calibration block</w:t>
            </w:r>
          </w:p>
        </w:tc>
        <w:tc>
          <w:tcPr>
            <w:tcW w:type="dxa" w:w="312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t>10 studies</w:t>
            </w:r>
          </w:p>
        </w:tc>
        <w:tc>
          <w:tcPr>
            <w:tcW w:type="dxa" w:w="312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t>training/calibration으로 별도 취급</w:t>
            </w:r>
          </w:p>
        </w:tc>
      </w:tr>
      <w:tr>
        <w:trPr>
          <w:cantSplit/>
        </w:trPr>
        <w:tc>
          <w:tcPr>
            <w:tcW w:type="dxa" w:w="312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t>Current adjudication stage</w:t>
            </w:r>
          </w:p>
        </w:tc>
        <w:tc>
          <w:tcPr>
            <w:tcW w:type="dxa" w:w="312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t>Step 3 active</w:t>
            </w:r>
          </w:p>
        </w:tc>
        <w:tc>
          <w:tcPr>
            <w:tcW w:type="dxa" w:w="312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t>source-document adjudication 진행 중; Step 4 reference freeze 전</w:t>
            </w:r>
          </w:p>
        </w:tc>
      </w:tr>
      <w:tr>
        <w:trPr>
          <w:cantSplit/>
        </w:trPr>
        <w:tc>
          <w:tcPr>
            <w:tcW w:type="dxa" w:w="312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t>Correlation review queue</w:t>
            </w:r>
          </w:p>
        </w:tc>
        <w:tc>
          <w:tcPr>
            <w:tcW w:type="dxa" w:w="312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t>164</w:t>
            </w:r>
          </w:p>
        </w:tc>
        <w:tc>
          <w:tcPr>
            <w:tcW w:type="dxa" w:w="312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t>source-type/numeric/coder-only issue가 있는 study-level review rows</w:t>
            </w:r>
          </w:p>
        </w:tc>
      </w:tr>
    </w:tbl>
    <w:p>
      <w:pPr>
        <w:spacing w:before="80" w:after="80"/>
      </w:pPr>
      <w:r>
        <w:rPr>
          <w:color w:val="595959"/>
          <w:sz w:val="18"/>
        </w:rPr>
        <w:t>근거 파일: data/04_extraction/README.md; WORKFLOW_STATUS_LOG.md; combined_study_review_queue_20260525.csv; combined_correlation_review_queue_20260525.csv.</w:t>
      </w:r>
    </w:p>
    <w:p>
      <w:pPr>
        <w:pStyle w:val="Heading1"/>
      </w:pPr>
      <w:r>
        <w:t>3. Pre-adjudication disagreement snapshot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type="dxa" w:w="120"/>
      </w:tblPr>
      <w:tblGrid>
        <w:gridCol w:w="3120"/>
        <w:gridCol w:w="3120"/>
        <w:gridCol w:w="3120"/>
      </w:tblGrid>
      <w:tr>
        <w:trPr>
          <w:tblHeader w:val="true"/>
          <w:cantSplit/>
        </w:trPr>
        <w:tc>
          <w:tcPr>
            <w:tcW w:type="dxa" w:w="3312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2F4F7"/>
          </w:tcPr>
          <w:p>
            <w:pPr>
              <w:spacing w:after="0"/>
            </w:pPr>
            <w:r>
              <w:rPr>
                <w:b/>
                <w:color w:val="000000"/>
              </w:rPr>
              <w:t>구분</w:t>
            </w:r>
          </w:p>
        </w:tc>
        <w:tc>
          <w:tcPr>
            <w:tcW w:type="dxa" w:w="144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2F4F7"/>
          </w:tcPr>
          <w:p>
            <w:pPr>
              <w:spacing w:after="0"/>
            </w:pPr>
            <w:r>
              <w:rPr>
                <w:b/>
                <w:color w:val="000000"/>
              </w:rPr>
              <w:t>Count</w:t>
            </w:r>
          </w:p>
        </w:tc>
        <w:tc>
          <w:tcPr>
            <w:tcW w:type="dxa" w:w="4608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2F4F7"/>
          </w:tcPr>
          <w:p>
            <w:pPr>
              <w:spacing w:after="0"/>
            </w:pPr>
            <w:r>
              <w:rPr>
                <w:b/>
                <w:color w:val="000000"/>
              </w:rPr>
              <w:t>해석</w:t>
            </w:r>
          </w:p>
        </w:tc>
      </w:tr>
      <w:tr>
        <w:trPr>
          <w:cantSplit/>
        </w:trPr>
        <w:tc>
          <w:tcPr>
            <w:tcW w:type="dxa" w:w="312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t>전체 disagreement rows</w:t>
            </w:r>
          </w:p>
        </w:tc>
        <w:tc>
          <w:tcPr>
            <w:tcW w:type="dxa" w:w="312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t>2949</w:t>
            </w:r>
          </w:p>
        </w:tc>
        <w:tc>
          <w:tcPr>
            <w:tcW w:type="dxa" w:w="312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t>source adjudication 전에 이미 상당한 review load가 존재</w:t>
            </w:r>
          </w:p>
        </w:tc>
      </w:tr>
      <w:tr>
        <w:trPr>
          <w:cantSplit/>
        </w:trPr>
        <w:tc>
          <w:tcPr>
            <w:tcW w:type="dxa" w:w="312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t>Metadata disagreement</w:t>
            </w:r>
          </w:p>
        </w:tc>
        <w:tc>
          <w:tcPr>
            <w:tcW w:type="dxa" w:w="312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t>1585</w:t>
            </w:r>
          </w:p>
        </w:tc>
        <w:tc>
          <w:tcPr>
            <w:tcW w:type="dxa" w:w="312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t>대부분은 표준화 가능하지만 sample/country/tool type은 moderator에 영향</w:t>
            </w:r>
          </w:p>
        </w:tc>
      </w:tr>
      <w:tr>
        <w:trPr>
          <w:cantSplit/>
        </w:trPr>
        <w:tc>
          <w:tcPr>
            <w:tcW w:type="dxa" w:w="312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t>Correlation disagreement</w:t>
            </w:r>
          </w:p>
        </w:tc>
        <w:tc>
          <w:tcPr>
            <w:tcW w:type="dxa" w:w="312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t>1364</w:t>
            </w:r>
          </w:p>
        </w:tc>
        <w:tc>
          <w:tcPr>
            <w:tcW w:type="dxa" w:w="312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t>MASEM matrix에 직접 연결되는 high-consequence layer</w:t>
            </w:r>
          </w:p>
        </w:tc>
      </w:tr>
      <w:tr>
        <w:trPr>
          <w:cantSplit/>
        </w:trPr>
        <w:tc>
          <w:tcPr>
            <w:tcW w:type="dxa" w:w="312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t>Numeric/source differences</w:t>
            </w:r>
          </w:p>
        </w:tc>
        <w:tc>
          <w:tcPr>
            <w:tcW w:type="dxa" w:w="312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t>734</w:t>
            </w:r>
          </w:p>
        </w:tc>
        <w:tc>
          <w:tcPr>
            <w:tcW w:type="dxa" w:w="312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t>r/beta/Fornell-Larcker/sample/source table 확인 필요</w:t>
            </w:r>
          </w:p>
        </w:tc>
      </w:tr>
      <w:tr>
        <w:trPr>
          <w:cantSplit/>
        </w:trPr>
        <w:tc>
          <w:tcPr>
            <w:tcW w:type="dxa" w:w="312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t>One-coder-only rows</w:t>
            </w:r>
          </w:p>
        </w:tc>
        <w:tc>
          <w:tcPr>
            <w:tcW w:type="dxa" w:w="312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t>630</w:t>
            </w:r>
          </w:p>
        </w:tc>
        <w:tc>
          <w:tcPr>
            <w:tcW w:type="dxa" w:w="312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t>한 코더만 evidence를 찾은 case; missingness와 source recovery issue</w:t>
            </w:r>
          </w:p>
        </w:tc>
      </w:tr>
    </w:tbl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type="dxa" w:w="120"/>
      </w:tblPr>
      <w:tblGrid>
        <w:gridCol w:w="2340"/>
        <w:gridCol w:w="2340"/>
        <w:gridCol w:w="2340"/>
        <w:gridCol w:w="2340"/>
      </w:tblGrid>
      <w:tr>
        <w:trPr>
          <w:tblHeader w:val="true"/>
          <w:cantSplit/>
        </w:trPr>
        <w:tc>
          <w:tcPr>
            <w:tcW w:type="dxa" w:w="1728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2F4F7"/>
          </w:tcPr>
          <w:p>
            <w:pPr>
              <w:spacing w:after="0"/>
            </w:pPr>
            <w:r>
              <w:rPr>
                <w:b/>
                <w:color w:val="000000"/>
              </w:rPr>
              <w:t>Phase</w:t>
            </w:r>
          </w:p>
        </w:tc>
        <w:tc>
          <w:tcPr>
            <w:tcW w:type="dxa" w:w="1872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2F4F7"/>
          </w:tcPr>
          <w:p>
            <w:pPr>
              <w:spacing w:after="0"/>
            </w:pPr>
            <w:r>
              <w:rPr>
                <w:b/>
                <w:color w:val="000000"/>
              </w:rPr>
              <w:t>Pair</w:t>
            </w:r>
          </w:p>
        </w:tc>
        <w:tc>
          <w:tcPr>
            <w:tcW w:type="dxa" w:w="1728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2F4F7"/>
          </w:tcPr>
          <w:p>
            <w:pPr>
              <w:spacing w:after="0"/>
            </w:pPr>
            <w:r>
              <w:rPr>
                <w:b/>
                <w:color w:val="000000"/>
              </w:rPr>
              <w:t>Studies</w:t>
            </w:r>
          </w:p>
        </w:tc>
        <w:tc>
          <w:tcPr>
            <w:tcW w:type="dxa" w:w="4032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2F4F7"/>
          </w:tcPr>
          <w:p>
            <w:pPr>
              <w:spacing w:after="0"/>
            </w:pPr>
            <w:r>
              <w:rPr>
                <w:b/>
                <w:color w:val="000000"/>
              </w:rPr>
              <w:t>Disagreement rows</w:t>
            </w:r>
          </w:p>
        </w:tc>
      </w:tr>
      <w:tr>
        <w:trPr>
          <w:cantSplit/>
        </w:trPr>
        <w:tc>
          <w:tcPr>
            <w:tcW w:type="dxa" w:w="234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t>phase1</w:t>
            </w:r>
          </w:p>
        </w:tc>
        <w:tc>
          <w:tcPr>
            <w:tcW w:type="dxa" w:w="234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t>Pair A</w:t>
            </w:r>
          </w:p>
        </w:tc>
        <w:tc>
          <w:tcPr>
            <w:tcW w:type="dxa" w:w="234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t>50</w:t>
            </w:r>
          </w:p>
        </w:tc>
        <w:tc>
          <w:tcPr>
            <w:tcW w:type="dxa" w:w="234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t>972</w:t>
            </w:r>
          </w:p>
        </w:tc>
      </w:tr>
      <w:tr>
        <w:trPr>
          <w:cantSplit/>
        </w:trPr>
        <w:tc>
          <w:tcPr>
            <w:tcW w:type="dxa" w:w="234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t>phase1</w:t>
            </w:r>
          </w:p>
        </w:tc>
        <w:tc>
          <w:tcPr>
            <w:tcW w:type="dxa" w:w="234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t>Pair B</w:t>
            </w:r>
          </w:p>
        </w:tc>
        <w:tc>
          <w:tcPr>
            <w:tcW w:type="dxa" w:w="234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t>50</w:t>
            </w:r>
          </w:p>
        </w:tc>
        <w:tc>
          <w:tcPr>
            <w:tcW w:type="dxa" w:w="234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t>707</w:t>
            </w:r>
          </w:p>
        </w:tc>
      </w:tr>
      <w:tr>
        <w:trPr>
          <w:cantSplit/>
        </w:trPr>
        <w:tc>
          <w:tcPr>
            <w:tcW w:type="dxa" w:w="234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t>phase2</w:t>
            </w:r>
          </w:p>
        </w:tc>
        <w:tc>
          <w:tcPr>
            <w:tcW w:type="dxa" w:w="234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t>Pair C</w:t>
            </w:r>
          </w:p>
        </w:tc>
        <w:tc>
          <w:tcPr>
            <w:tcW w:type="dxa" w:w="234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t>57</w:t>
            </w:r>
          </w:p>
        </w:tc>
        <w:tc>
          <w:tcPr>
            <w:tcW w:type="dxa" w:w="234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t>720</w:t>
            </w:r>
          </w:p>
        </w:tc>
      </w:tr>
      <w:tr>
        <w:trPr>
          <w:cantSplit/>
        </w:trPr>
        <w:tc>
          <w:tcPr>
            <w:tcW w:type="dxa" w:w="234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t>phase2</w:t>
            </w:r>
          </w:p>
        </w:tc>
        <w:tc>
          <w:tcPr>
            <w:tcW w:type="dxa" w:w="234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t>Pair D</w:t>
            </w:r>
          </w:p>
        </w:tc>
        <w:tc>
          <w:tcPr>
            <w:tcW w:type="dxa" w:w="234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t>56</w:t>
            </w:r>
          </w:p>
        </w:tc>
        <w:tc>
          <w:tcPr>
            <w:tcW w:type="dxa" w:w="234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t>550</w:t>
            </w:r>
          </w:p>
        </w:tc>
      </w:tr>
    </w:tbl>
    <w:p>
      <w:pPr>
        <w:spacing w:before="80" w:after="80"/>
      </w:pPr>
      <w:r>
        <w:rPr>
          <w:color w:val="595959"/>
          <w:sz w:val="18"/>
        </w:rPr>
        <w:t>위 수치는 combined_pairwise_disagreement_summary_20260525.csv에서 산출했다.</w:t>
      </w:r>
    </w:p>
    <w:p>
      <w:pPr>
        <w:pStyle w:val="Heading1"/>
      </w:pPr>
      <w:r>
        <w:t>4. 새 adjudication 기록 원칙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type="dxa" w:w="120"/>
      </w:tblPr>
      <w:tblGrid>
        <w:gridCol w:w="9360"/>
      </w:tblGrid>
      <w:tr>
        <w:tc>
          <w:tcPr>
            <w:tcW w:type="dxa" w:w="93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4F6F9"/>
          </w:tcPr>
          <w:p>
            <w:pPr>
              <w:spacing w:after="0"/>
            </w:pPr>
            <w:r>
              <w:rPr>
                <w:b/>
                <w:color w:val="1F4D78"/>
              </w:rPr>
              <w:t xml:space="preserve">중요한 분리: </w:t>
            </w:r>
            <w:r>
              <w:t>consensus_source_value에는 PDF/source가 실제 보고한 값과 evidence type을 기록하고, analysis_note에는 그 값이 zero-order r, latent/Fornell-Larcker off-diagonal correlation, beta/path coefficient, HTMT-only, excluded row 중 무엇인지 표시한다.</w:t>
            </w:r>
          </w:p>
        </w:tc>
      </w:tr>
    </w:tbl>
    <w:p>
      <w:pPr>
        <w:pStyle w:val="ListBullet"/>
      </w:pPr>
      <w:r>
        <w:t>zero-order r와 latent correlation은 downstream sensitivity에서 분리할 수 있도록 source type을 남긴다.</w:t>
      </w:r>
    </w:p>
    <w:p>
      <w:pPr>
        <w:pStyle w:val="ListBullet"/>
      </w:pPr>
      <w:r>
        <w:t>standardized path coefficient 또는 beta-converted value는 correlation처럼 직접 섞지 않고, path/beta source로 표시한다.</w:t>
      </w:r>
    </w:p>
    <w:p>
      <w:pPr>
        <w:pStyle w:val="ListBullet"/>
      </w:pPr>
      <w:r>
        <w:t>Fornell-Larcker diagonal, HTMT-only value, wrong sample/construct, untraceable source는 target MASEM correlation row로 자동 채택하지 않는다.</w:t>
      </w:r>
    </w:p>
    <w:p>
      <w:pPr>
        <w:pStyle w:val="ListBullet"/>
      </w:pPr>
      <w:r>
        <w:t>source-check 결과가 exclude_row 또는 exclude_study이면 숫자 자체보다 exclusion rationale과 source location을 우선 기록한다.</w:t>
      </w:r>
    </w:p>
    <w:p>
      <w:pPr>
        <w:pStyle w:val="Heading1"/>
      </w:pPr>
      <w:r>
        <w:t>5. 대략적인 결과 그림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type="dxa" w:w="120"/>
      </w:tblPr>
      <w:tblGrid>
        <w:gridCol w:w="9360"/>
      </w:tblGrid>
      <w:tr>
        <w:tc>
          <w:tcPr>
            <w:tcW w:type="dxa" w:w="93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4F6F9"/>
          </w:tcPr>
          <w:p>
            <w:pPr>
              <w:spacing w:after="0"/>
            </w:pPr>
            <w:r>
              <w:rPr>
                <w:b/>
                <w:color w:val="1F4D78"/>
              </w:rPr>
              <w:t xml:space="preserve">주의: </w:t>
            </w:r>
            <w:r>
              <w:t>아래는 현재 pre-adjudication evidence에 기반한 방향성이다. LLM accuracy, triage yield, substitution stability는 frozen human reference와 locked LLM outputs가 생긴 뒤에만 결과로 보고할 수 있다.</w:t>
            </w:r>
          </w:p>
        </w:tc>
      </w:tr>
    </w:tbl>
    <w:p>
      <w:pPr>
        <w:pStyle w:val="ListBullet"/>
      </w:pPr>
      <w:r>
        <w:t>RQ0 결과는 'MASEM-ready extraction은 trained human coders에게도 어려운 task family가 있다'는 것을 보여줄 가능성이 크다.</w:t>
      </w:r>
    </w:p>
    <w:p>
      <w:pPr>
        <w:pStyle w:val="ListBullet"/>
      </w:pPr>
      <w:r>
        <w:t>metadata는 표준화 부담이 크지만 대체로 low consequence로 분류될 수 있다. 다만 country, education level, AI type은 moderator로 연결되므로 완전 자동화하면 안 된다.</w:t>
      </w:r>
    </w:p>
    <w:p>
      <w:pPr>
        <w:pStyle w:val="ListBullet"/>
      </w:pPr>
      <w:r>
        <w:t>correlation/path recovery는 source-type confusion, one-coder-only evidence, Fornell-Larcker/HTMT 구분 때문에 expert adjudication required category가 많이 나올 가능성이 높다.</w:t>
      </w:r>
    </w:p>
    <w:p>
      <w:pPr>
        <w:pStyle w:val="ListBullet"/>
      </w:pPr>
      <w:r>
        <w:t>LLM의 주된 기여는 final answer 자동 대체가 아니라 source span 찾기, structured prefill, human review queue prioritization일 가능성이 높다.</w:t>
      </w:r>
    </w:p>
    <w:p>
      <w:pPr>
        <w:pStyle w:val="ListBullet"/>
      </w:pPr>
      <w:r>
        <w:t>최종 Paper 2의 강점은 element-level accuracy보다 downstream inference stability를 같이 본다는 점이다.</w:t>
      </w:r>
    </w:p>
    <w:p>
      <w:pPr>
        <w:pStyle w:val="Heading1"/>
      </w:pPr>
      <w:r>
        <w:t>6. 팀 공유용 결과 테이블 설계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type="dxa" w:w="120"/>
      </w:tblPr>
      <w:tblGrid>
        <w:gridCol w:w="3120"/>
        <w:gridCol w:w="3120"/>
        <w:gridCol w:w="3120"/>
      </w:tblGrid>
      <w:tr>
        <w:trPr>
          <w:tblHeader w:val="true"/>
          <w:cantSplit/>
        </w:trPr>
        <w:tc>
          <w:tcPr>
            <w:tcW w:type="dxa" w:w="2304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2F4F7"/>
          </w:tcPr>
          <w:p>
            <w:pPr>
              <w:spacing w:after="0"/>
            </w:pPr>
            <w:r>
              <w:rPr>
                <w:b/>
                <w:color w:val="000000"/>
              </w:rPr>
              <w:t>Table</w:t>
            </w:r>
          </w:p>
        </w:tc>
        <w:tc>
          <w:tcPr>
            <w:tcW w:type="dxa" w:w="3672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2F4F7"/>
          </w:tcPr>
          <w:p>
            <w:pPr>
              <w:spacing w:after="0"/>
            </w:pPr>
            <w:r>
              <w:rPr>
                <w:b/>
                <w:color w:val="000000"/>
              </w:rPr>
              <w:t>현재 채울 수 있는 내용</w:t>
            </w:r>
          </w:p>
        </w:tc>
        <w:tc>
          <w:tcPr>
            <w:tcW w:type="dxa" w:w="3384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2F4F7"/>
          </w:tcPr>
          <w:p>
            <w:pPr>
              <w:spacing w:after="0"/>
            </w:pPr>
            <w:r>
              <w:rPr>
                <w:b/>
                <w:color w:val="000000"/>
              </w:rPr>
              <w:t>freeze 이후 채울 내용</w:t>
            </w:r>
          </w:p>
        </w:tc>
      </w:tr>
      <w:tr>
        <w:trPr>
          <w:cantSplit/>
        </w:trPr>
        <w:tc>
          <w:tcPr>
            <w:tcW w:type="dxa" w:w="312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t>Table 1: Dataset states</w:t>
            </w:r>
          </w:p>
        </w:tc>
        <w:tc>
          <w:tcPr>
            <w:tcW w:type="dxa" w:w="312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t>raw human data, pairwise diff data, adjudication status</w:t>
            </w:r>
          </w:p>
        </w:tc>
        <w:tc>
          <w:tcPr>
            <w:tcW w:type="dxa" w:w="312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t>frozen reference file/date</w:t>
            </w:r>
          </w:p>
        </w:tc>
      </w:tr>
      <w:tr>
        <w:trPr>
          <w:cantSplit/>
        </w:trPr>
        <w:tc>
          <w:tcPr>
            <w:tcW w:type="dxa" w:w="312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t>Table 2: Task taxonomy</w:t>
            </w:r>
          </w:p>
        </w:tc>
        <w:tc>
          <w:tcPr>
            <w:tcW w:type="dxa" w:w="312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t>bibliographic, sample, construct, numeric, matrix, moderator task families</w:t>
            </w:r>
          </w:p>
        </w:tc>
        <w:tc>
          <w:tcPr>
            <w:tcW w:type="dxa" w:w="312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t>task-family decision category calibration</w:t>
            </w:r>
          </w:p>
        </w:tc>
      </w:tr>
      <w:tr>
        <w:trPr>
          <w:cantSplit/>
        </w:trPr>
        <w:tc>
          <w:tcPr>
            <w:tcW w:type="dxa" w:w="312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t>Table 3: RQ0 disagreement</w:t>
            </w:r>
          </w:p>
        </w:tc>
        <w:tc>
          <w:tcPr>
            <w:tcW w:type="dxa" w:w="312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t>2,949 disagreement rows and pair/field breakdown</w:t>
            </w:r>
          </w:p>
        </w:tc>
        <w:tc>
          <w:tcPr>
            <w:tcW w:type="dxa" w:w="312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t>adjudicated resolution categories</w:t>
            </w:r>
          </w:p>
        </w:tc>
      </w:tr>
      <w:tr>
        <w:trPr>
          <w:cantSplit/>
        </w:trPr>
        <w:tc>
          <w:tcPr>
            <w:tcW w:type="dxa" w:w="312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t>Table 4: LLM validity</w:t>
            </w:r>
          </w:p>
        </w:tc>
        <w:tc>
          <w:tcPr>
            <w:tcW w:type="dxa" w:w="312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t>shell only</w:t>
            </w:r>
          </w:p>
        </w:tc>
        <w:tc>
          <w:tcPr>
            <w:tcW w:type="dxa" w:w="312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t>task-family LLM agreement/error metrics</w:t>
            </w:r>
          </w:p>
        </w:tc>
      </w:tr>
      <w:tr>
        <w:trPr>
          <w:cantSplit/>
        </w:trPr>
        <w:tc>
          <w:tcPr>
            <w:tcW w:type="dxa" w:w="312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t>Table 5: Substitution stability</w:t>
            </w:r>
          </w:p>
        </w:tc>
        <w:tc>
          <w:tcPr>
            <w:tcW w:type="dxa" w:w="312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t>shell only</w:t>
            </w:r>
          </w:p>
        </w:tc>
        <w:tc>
          <w:tcPr>
            <w:tcW w:type="dxa" w:w="312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t>pooled r/path/fit conclusion deltas</w:t>
            </w:r>
          </w:p>
        </w:tc>
      </w:tr>
    </w:tbl>
    <w:p>
      <w:pPr>
        <w:pStyle w:val="Heading1"/>
      </w:pPr>
      <w:r>
        <w:t>7. Stop rules for team communication</w:t>
      </w:r>
    </w:p>
    <w:p>
      <w:pPr>
        <w:pStyle w:val="ListNumber"/>
      </w:pPr>
      <w:r>
        <w:t>Step 4 reference freeze 전에는 LLM accuracy, model ranking, or substitution stability를 결과처럼 말하지 않는다.</w:t>
      </w:r>
    </w:p>
    <w:p>
      <w:pPr>
        <w:pStyle w:val="ListNumber"/>
      </w:pPr>
      <w:r>
        <w:t>path coefficient를 zero-order correlation과 같은 statistic으로 직접 비교하거나 섞지 않는다.</w:t>
      </w:r>
    </w:p>
    <w:p>
      <w:pPr>
        <w:pStyle w:val="ListNumber"/>
      </w:pPr>
      <w:r>
        <w:t>HTMT-only와 Fornell-Larcker diagonal은 MASEM correlation으로 쓰지 않는다.</w:t>
      </w:r>
    </w:p>
    <w:p>
      <w:pPr>
        <w:pStyle w:val="ListNumber"/>
      </w:pPr>
      <w:r>
        <w:t>raw coder disagreement는 지우지 않고 RQ0 evidence로 보존한다.</w:t>
      </w:r>
    </w:p>
    <w:p>
      <w:pPr>
        <w:pStyle w:val="ListNumber"/>
      </w:pPr>
      <w:r>
        <w:t>최종 Word/논문 draft에는 source-anchored adjudicated human reference standard라는 용어를 사용하고 gold standard라는 표현은 피한다.</w:t>
      </w:r>
    </w:p>
    <w:p>
      <w:pPr>
        <w:pStyle w:val="Heading1"/>
      </w:pPr>
      <w:r>
        <w:t>8. 다음 작업</w:t>
      </w:r>
    </w:p>
    <w:p>
      <w:pPr>
        <w:pStyle w:val="ListBullet"/>
      </w:pPr>
      <w:r>
        <w:t>combined_correlation_review_queue_20260525.csv에서 source-type mismatch와 one-coder-only cases를 먼저 adjudicate한다.</w:t>
      </w:r>
    </w:p>
    <w:p>
      <w:pPr>
        <w:pStyle w:val="ListBullet"/>
      </w:pPr>
      <w:r>
        <w:t>S014, S021, S056, S092, S121, S202 같은 include-candidate/review-source studies의 construct/sample/source-type 결정을 기록한다.</w:t>
      </w:r>
    </w:p>
    <w:p>
      <w:pPr>
        <w:pStyle w:val="ListBullet"/>
      </w:pPr>
      <w:r>
        <w:t>S195/S206 duplicate-source/exclusion decision은 final reference-freeze log에 반영한다.</w:t>
      </w:r>
    </w:p>
    <w:p>
      <w:pPr>
        <w:pStyle w:val="ListBullet"/>
      </w:pPr>
      <w:r>
        <w:t>reference freeze 후 LLM outputs를 열고 RQ1-RQ4 분석을 시작한다.</w:t>
      </w:r>
    </w:p>
    <w:p>
      <w:pPr>
        <w:pStyle w:val="ListBullet"/>
      </w:pPr>
      <w:r>
        <w:t>Paper 2 Methods 문단, Table 1-3, Figure 1 design flow는 지금부터 manuscript-ready로 작성 가능하다.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595959"/>
        <w:sz w:val="18"/>
      </w:rPr>
      <w:t>Working draft for internal team discussion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color w:val="595959"/>
        <w:sz w:val="18"/>
      </w:rPr>
      <w:t>Paper 2 Team Draft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4" w:lineRule="auto"/>
    </w:pPr>
    <w:rPr>
      <w:rFonts w:ascii="Calibri" w:hAnsi="Calibri" w:eastAsia="Malgun Gothic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Calibri" w:hAnsi="Calibri" w:eastAsia="Malgun Gothic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Calibri" w:hAnsi="Calibri" w:eastAsia="Malgun Gothic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Calibri" w:hAnsi="Calibri" w:eastAsia="Malgun Gothic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160" w:line="280" w:lineRule="auto"/>
      <w:contextualSpacing/>
    </w:pPr>
    <w:rPr>
      <w:rFonts w:ascii="Calibri" w:hAnsi="Calibri" w:eastAsia="Malgun Gothic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160" w:line="280" w:lineRule="auto"/>
      <w:contextualSpacing/>
    </w:pPr>
    <w:rPr>
      <w:rFonts w:ascii="Calibri" w:hAnsi="Calibri" w:eastAsia="Malgun Gothic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