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B Visual Upgrade Manuscript Insert Package</w:t>
      </w:r>
    </w:p>
    <w:p>
      <w:r>
        <w:t>Date: 20260619</w:t>
      </w:r>
    </w:p>
    <w:p>
      <w:r>
        <w:t>Purpose: replace the previous basic table/figure layer with a journal-style visual package aligned with current frontier studies on LLM-assisted evidence synthesis and data extraction.</w:t>
      </w:r>
    </w:p>
    <w:p>
      <w:pPr>
        <w:pStyle w:val="Heading2"/>
      </w:pPr>
      <w:r>
        <w:t>Positioning</w:t>
      </w:r>
    </w:p>
    <w:p>
      <w:r>
        <w:t>The flow diagram should be treated as a core Methods figure. It makes clear that Paper B evaluates a source-anchored validation workflow rather than an autonomous model replacement.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87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paper_b_source_anchored_flow_diagram_202606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05050"/>
          <w:sz w:val="17"/>
        </w:rPr>
        <w:t>Figure 1. Source-anchored validation workflow for Paper B. The reference standard is frozen before locked LLM outputs are scored.</w:t>
      </w:r>
    </w:p>
    <w:p>
      <w:pPr>
        <w:pStyle w:val="Heading2"/>
      </w:pPr>
      <w:r>
        <w:t>Results-Ready Table/Figure Layer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872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1_dense_denominator_validity_202606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05050"/>
          <w:sz w:val="17"/>
        </w:rPr>
        <w:t>Table 1. Denominator-family extraction validity table. Accuracy is reported both conditional on scorable answers and across all scorable rows.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paper_b_accuracy_difference_forest_202606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05050"/>
          <w:sz w:val="17"/>
        </w:rPr>
        <w:t>Figure 2. Forest-style risk-difference plot comparing primary r strata against the converted beta/path sensitivity stratum.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56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aper_b_accuracy_review_burden_202606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5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05050"/>
          <w:sz w:val="17"/>
        </w:rPr>
        <w:t>Figure 3. Accuracy and review-burden profile. This is not an elapsed-time plot; reviewer-time data are not yet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32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aper_b_masem_claim_gate_202606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05050"/>
          <w:sz w:val="17"/>
        </w:rPr>
        <w:t>Figure 4. MASEM claim gate. Construct-pair coverage does not justify a full target-model claim when complete-case identification fails.</w:t>
      </w:r>
    </w:p>
    <w:p>
      <w:pPr>
        <w:pStyle w:val="Heading2"/>
      </w:pPr>
      <w:r>
        <w:t>Frontier Reference Reinforcement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Reference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Frontier feature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Paper B use</w:t>
            </w:r>
          </w:p>
        </w:tc>
      </w:tr>
      <w:tr>
        <w:tc>
          <w:tcPr>
            <w:tcW w:type="dxa" w:w="3360"/>
          </w:tcPr>
          <w:p>
            <w:r>
              <w:rPr>
                <w:sz w:val="14"/>
              </w:rPr>
              <w:t>Lai et al. 2025, npj Digital Medicine</w:t>
            </w:r>
          </w:p>
        </w:tc>
        <w:tc>
          <w:tcPr>
            <w:tcW w:type="dxa" w:w="3360"/>
          </w:tcPr>
          <w:p>
            <w:r>
              <w:rPr>
                <w:sz w:val="14"/>
              </w:rPr>
              <w:t>Dense accuracy tables, risk-difference forest plot, accuracy-efficiency plot, process flow diagram.</w:t>
            </w:r>
          </w:p>
        </w:tc>
        <w:tc>
          <w:tcPr>
            <w:tcW w:type="dxa" w:w="3360"/>
          </w:tcPr>
          <w:p>
            <w:r>
              <w:rPr>
                <w:sz w:val="14"/>
              </w:rPr>
              <w:t>Replicated as dense denominator table, RD forest-style plot, burden-not-time plot, and source-anchored flow diagram.</w:t>
            </w:r>
          </w:p>
        </w:tc>
      </w:tr>
      <w:tr>
        <w:tc>
          <w:tcPr>
            <w:tcW w:type="dxa" w:w="3360"/>
          </w:tcPr>
          <w:p>
            <w:r>
              <w:rPr>
                <w:sz w:val="14"/>
              </w:rPr>
              <w:t>Farotimi et al. 2026, Research Synthesis Methods</w:t>
            </w:r>
          </w:p>
        </w:tc>
        <w:tc>
          <w:tcPr>
            <w:tcW w:type="dxa" w:w="3360"/>
          </w:tcPr>
          <w:p>
            <w:r>
              <w:rPr>
                <w:sz w:val="14"/>
              </w:rPr>
              <w:t>GenAI evidence-synthesis disclosure and reporting framework.</w:t>
            </w:r>
          </w:p>
        </w:tc>
        <w:tc>
          <w:tcPr>
            <w:tcW w:type="dxa" w:w="3360"/>
          </w:tcPr>
          <w:p>
            <w:r>
              <w:rPr>
                <w:sz w:val="14"/>
              </w:rPr>
              <w:t>AI disclosure, model-access boundary, reproducibility and claim-limit language.</w:t>
            </w:r>
          </w:p>
        </w:tc>
      </w:tr>
      <w:tr>
        <w:tc>
          <w:tcPr>
            <w:tcW w:type="dxa" w:w="3360"/>
          </w:tcPr>
          <w:p>
            <w:r>
              <w:rPr>
                <w:sz w:val="14"/>
              </w:rPr>
              <w:t>Large Language Model-Assisted Risk-of-Bias Assessment in Randomized Controlled Trials Using RoB2</w:t>
            </w:r>
          </w:p>
        </w:tc>
        <w:tc>
          <w:tcPr>
            <w:tcW w:type="dxa" w:w="3360"/>
          </w:tcPr>
          <w:p>
            <w:r>
              <w:rPr>
                <w:sz w:val="14"/>
              </w:rPr>
              <w:t>Criterion-standard comparison, reviewer timing boundary, RoB-style screening/validation flow diagram.</w:t>
            </w:r>
          </w:p>
        </w:tc>
        <w:tc>
          <w:tcPr>
            <w:tcW w:type="dxa" w:w="3360"/>
          </w:tcPr>
          <w:p>
            <w:r>
              <w:rPr>
                <w:sz w:val="14"/>
              </w:rPr>
              <w:t>Downloaded locally; 13 pages rendered/extracted; captions and tables inventoried for benchmark use.</w:t>
            </w:r>
          </w:p>
        </w:tc>
      </w:tr>
      <w:tr>
        <w:tc>
          <w:tcPr>
            <w:tcW w:type="dxa" w:w="3360"/>
          </w:tcPr>
          <w:p>
            <w:r>
              <w:rPr>
                <w:sz w:val="14"/>
              </w:rPr>
              <w:t>Automated Data Extraction by Large Language Models: Assessing Accuracy in Comparison to Human Experts</w:t>
            </w:r>
          </w:p>
        </w:tc>
        <w:tc>
          <w:tcPr>
            <w:tcW w:type="dxa" w:w="3360"/>
          </w:tcPr>
          <w:p>
            <w:r>
              <w:rPr>
                <w:sz w:val="14"/>
              </w:rPr>
              <w:t>Education meta-analysis extraction benchmark, frozen codebook, gold/silver reference standards, API extraction cost/time reporting.</w:t>
            </w:r>
          </w:p>
        </w:tc>
        <w:tc>
          <w:tcPr>
            <w:tcW w:type="dxa" w:w="3360"/>
          </w:tcPr>
          <w:p>
            <w:r>
              <w:rPr>
                <w:sz w:val="14"/>
              </w:rPr>
              <w:t>Downloaded locally; 34 pages rendered/extracted; captions and tables inventoried for benchmark use.</w:t>
            </w:r>
          </w:p>
        </w:tc>
      </w:tr>
    </w:tbl>
    <w:p>
      <w:pPr>
        <w:pStyle w:val="Heading2"/>
      </w:pPr>
      <w:r>
        <w:t>Resolved Timing Boundary</w:t>
      </w:r>
    </w:p>
    <w:p>
      <w:r>
        <w:t>No reviewer-time or per-study review-duration logs are available as of 2026-06-19. Do not generate a Lai-style elapsed-time efficiency plot or make a time-savings claim. Use the review-burden/triage figure instead. Paper B should report this as review burden and triage evidence, not as elapsed-time efficiency.</w:t>
      </w:r>
    </w:p>
    <w:sectPr w:rsidR="00FC693F" w:rsidRPr="0006063C" w:rsidSect="00034616"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