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480" w:lineRule="auto" w:after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From Theoretical Coverage to Estimable Model Families: A Meta-Analytic Structural Equation Modeling Study of AI Adoption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Author Note</w:t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This rebuild corrects the reporting layer of the Paper A scaffold. It adds APA-style table rules, a PRISMA 2020-style flow diagram, publication-oriented MASEM figures, and explicit source-count boundaries. Final author information, target-journal details, and full-text eligibility boxes require team confirmation.</w:t>
      </w:r>
    </w:p>
    <w:p>
      <w:pPr>
        <w:pStyle w:val="Heading1"/>
        <w:spacing w:line="480" w:lineRule="auto" w:after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Abstract</w:t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AI adoption research in education draws on technology acceptance, unified acceptance, trust, self-efficacy, and anxiety traditions, but individual studies rarely report complete correlation matrices needed to test the whole theoretical system. This study reconstructs AI adoption as a 10-construct theoretical target and evaluates which parts of that target are empirically estimable using model-family MASEM. The current PRISMA count lock identifies 224 unique included reports/studies after resolving a 225-row screening include set by merging one duplicate DOI. The full10 target achieved 45/45 pairwise coverage but zero complete 10-construct matrices, so empirical MASEM was conducted through core7 attitude-mediation and trust6 AI-reliance model-family descendants.</w:t>
      </w:r>
    </w:p>
    <w:p>
      <w:pPr>
        <w:pStyle w:val="Heading1"/>
        <w:spacing w:line="480" w:lineRule="auto" w:after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Method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PRISMA Count Lock</w:t>
      </w:r>
    </w:p>
    <w:p>
      <w:pPr>
        <w:spacing w:line="480" w:lineRule="auto" w:after="0"/>
        <w:ind w:firstLine="720"/>
      </w:pPr>
      <w:r>
        <w:rPr>
          <w:rFonts w:ascii="Times New Roman" w:hAnsi="Times New Roman"/>
          <w:b w:val="0"/>
          <w:i w:val="0"/>
          <w:color w:val="000000"/>
          <w:sz w:val="24"/>
        </w:rPr>
        <w:t>The repository previously contained a 224 versus 225 included-count discrepancy. The current audit found 225 included screening rows and one duplicate included DOI row, yielding a working lock of 224 unique included reports/studies.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Table 1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PRISMA Count Lock for Paper 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color="000000" w:sz="6" w:space="0"/>
          <w:left w:val="nil" w:color="000000" w:sz="6" w:space="0"/>
          <w:bottom w:val="single" w:color="000000" w:sz="6" w:space="0"/>
          <w:right w:val="nil" w:color="000000" w:sz="6" w:space="0"/>
          <w:insideH w:val="nil" w:color="000000" w:sz="6" w:space="0"/>
          <w:insideV w:val="nil" w:color="000000" w:sz="6" w:space="0"/>
        </w:tblBorders>
      </w:tblPr>
      <w:tblGrid>
        <w:gridCol w:w="4680"/>
        <w:gridCol w:w="4680"/>
      </w:tblGrid>
      <w:tr>
        <w:tc>
          <w:tcPr>
            <w:tcW w:type="dxa" w:w="468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Item</w:t>
            </w:r>
          </w:p>
        </w:tc>
        <w:tc>
          <w:tcPr>
            <w:tcW w:type="dxa" w:w="468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Count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Records identified from databases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22166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Duplicate records removed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5977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Records after deduplication/screened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16189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Records excluded before human review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15532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Human-reviewed records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657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Human-reviewed excluded rows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432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Human-reviewed included rows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225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Duplicate included DOI rows merged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Unique included reports/studies current lock</w:t>
            </w:r>
          </w:p>
        </w:tc>
        <w:tc>
          <w:tcPr>
            <w:tcW w:type="dxa" w:w="468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224</w:t>
            </w:r>
          </w:p>
        </w:tc>
      </w:tr>
    </w:tbl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The final full-text eligibility boxes still require team confirmation before journal submission.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Figure 1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PRISMA 2020 Flow Diagram for Paper 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322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prisma_2020_flow_diagram_paper_a_202606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322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The figure follows the PRISMA 2020 flow-logic format using currently locked local counts; full-text boxes remain pending team confirmation.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Theoretical Model-Family Specification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Table 2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Construct Genealogy and Model-Family Role in Paper 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color="000000" w:sz="6" w:space="0"/>
          <w:left w:val="nil" w:color="000000" w:sz="6" w:space="0"/>
          <w:bottom w:val="single" w:color="000000" w:sz="6" w:space="0"/>
          <w:right w:val="nil" w:color="000000" w:sz="6" w:space="0"/>
          <w:insideH w:val="nil" w:color="000000" w:sz="6" w:space="0"/>
          <w:insideV w:val="nil" w:color="000000" w:sz="6" w:space="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Construct</w:t>
            </w:r>
          </w:p>
        </w:tc>
        <w:tc>
          <w:tcPr>
            <w:tcW w:type="dxa" w:w="1872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Label</w:t>
            </w:r>
          </w:p>
        </w:tc>
        <w:tc>
          <w:tcPr>
            <w:tcW w:type="dxa" w:w="1872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Origin</w:t>
            </w:r>
          </w:p>
        </w:tc>
        <w:tc>
          <w:tcPr>
            <w:tcW w:type="dxa" w:w="1872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AI-Adoption Function</w:t>
            </w:r>
          </w:p>
        </w:tc>
        <w:tc>
          <w:tcPr>
            <w:tcW w:type="dxa" w:w="1872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Role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Performance expectancy / perceived usefulness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TAM, TAM2, UTAUT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Instrumental usefulness: AI improves learning, teaching, productivity, or task performance.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core7; trust6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Effort expectancy / perceived ease of use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TAM, computer self-efficacy, UTAUT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Operational ease: AI is manageable, learnable, and low burden.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core7; trust6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SI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Social influence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UTAUT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Normative and institutional endorsement mechanism.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core7; trust6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FC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Facilitating conditions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UTAUT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Resource and infrastructure mechanism enabling adoption and use.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core7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Attitude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TRA/TPB, TAM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Evaluative mediator translating beliefs into intention.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core7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 in automation, trust in IS, AI reliance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Reliance mechanism under AI opacity, uncertainty, and vulnerability.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trust6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ANX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Anxiety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Technology readiness, affective threat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Threat/unease mechanism retained in theory but underidentified for primary MASEM.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future mechanism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Self-efficacy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Social cognitive theory, computer self-efficacy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Capability mechanism; currently feasible mainly in smaller supplemental sets.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future mechanism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Behavioral intention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TRA/TPB, TAM, UTAUT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Proximal motivational adoption outcome.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core7; trust6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UB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Use behavior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TAM, UTAUT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Behavioral adoption/use outcome.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full10; core7; trust6</w:t>
            </w:r>
          </w:p>
        </w:tc>
      </w:tr>
    </w:tbl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PE = performance expectancy; EE = effort expectancy; ATT = attitude; TRU = trust; ANX = anxiety; SE = self-efficacy; BI = behavioral intention; UB = use behavior.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Figure 2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Theoretical Genealogy of Paper A Model Families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theoretical_genealogy_full10_model_family_202606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The full10 target preserves theory; core7 and trust6 are empirical descendants supported by complete-case MASEM feasibility.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Figure 3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Paper A Analytic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844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paper_a_analytic_workflow_202606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The workflow separates PRISMA count lock, source-anchored coding, matrix diagnosis, MASEM, supplemental diagnostics, and share-safe OSF packaging.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Matrix-Feasibility Diagnosis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Table 3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Model-Family Matrix Feasibility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color="000000" w:sz="6" w:space="0"/>
          <w:left w:val="nil" w:color="000000" w:sz="6" w:space="0"/>
          <w:bottom w:val="single" w:color="000000" w:sz="6" w:space="0"/>
          <w:right w:val="nil" w:color="000000" w:sz="6" w:space="0"/>
          <w:insideH w:val="nil" w:color="000000" w:sz="6" w:space="0"/>
          <w:insideV w:val="nil" w:color="000000" w:sz="6" w:space="0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Model family</w:t>
            </w:r>
          </w:p>
        </w:tc>
        <w:tc>
          <w:tcPr>
            <w:tcW w:type="dxa" w:w="1337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Constructs</w:t>
            </w:r>
          </w:p>
        </w:tc>
        <w:tc>
          <w:tcPr>
            <w:tcW w:type="dxa" w:w="1337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Required pairs</w:t>
            </w:r>
          </w:p>
        </w:tc>
        <w:tc>
          <w:tcPr>
            <w:tcW w:type="dxa" w:w="1337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Observed pairs</w:t>
            </w:r>
          </w:p>
        </w:tc>
        <w:tc>
          <w:tcPr>
            <w:tcW w:type="dxa" w:w="1337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Partial studies</w:t>
            </w:r>
          </w:p>
        </w:tc>
        <w:tc>
          <w:tcPr>
            <w:tcW w:type="dxa" w:w="1337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Positive-definite complete cases</w:t>
            </w:r>
          </w:p>
        </w:tc>
        <w:tc>
          <w:tcPr>
            <w:tcW w:type="dxa" w:w="1337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Role</w:t>
            </w:r>
          </w:p>
        </w:tc>
      </w:tr>
      <w:tr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PE,EE,SI,FC,ATT,BI,UB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21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21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72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primary empirical model-family member</w:t>
            </w:r>
          </w:p>
        </w:tc>
      </w:tr>
      <w:tr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PE,EE,SI,TRU,BI,UB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15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15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73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primary empirical model-family member</w:t>
            </w:r>
          </w:p>
        </w:tc>
      </w:tr>
      <w:tr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full10 theoretical target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PE,EE,SI,FC,ATT,SE,TRU,ANX,BI,UB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45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45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77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337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theoretical target and evidence map; not current primary SEM estimate</w:t>
            </w:r>
          </w:p>
        </w:tc>
      </w:tr>
    </w:tbl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Full10 has complete pairwise coverage but no complete 10-construct matrices; core7 and trust6 are the empirical model-family routes.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Figure 8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Model-Family Feasibility Diagnosis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843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_model_feasibility_plot_202606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Bars compare required pairs, observed pairs, and positive-definite complete-case matrices by model family.</w:t>
      </w:r>
    </w:p>
    <w:p>
      <w:pPr>
        <w:pStyle w:val="Heading1"/>
        <w:spacing w:line="480" w:lineRule="auto" w:after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Results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Full10 Evidence Map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Figure 4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Full10 Evidence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8686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full10_evidence_map_publication_2026061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868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Cells show pooled pairwise correlations. This is an evidence map, not a full10 SEM estimate.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Primary Model-Family Fit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Table 4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Primary Model-Family MASEM Fit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color="000000" w:sz="6" w:space="0"/>
          <w:left w:val="nil" w:color="000000" w:sz="6" w:space="0"/>
          <w:bottom w:val="single" w:color="000000" w:sz="6" w:space="0"/>
          <w:right w:val="nil" w:color="000000" w:sz="6" w:space="0"/>
          <w:insideH w:val="nil" w:color="000000" w:sz="6" w:space="0"/>
          <w:insideV w:val="nil" w:color="000000" w:sz="6" w:space="0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Model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N_eff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χ²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df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p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CFI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TLI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RMSEA</w:t>
            </w:r>
          </w:p>
        </w:tc>
        <w:tc>
          <w:tcPr>
            <w:tcW w:type="dxa" w:w="936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SRMR</w:t>
            </w:r>
          </w:p>
        </w:tc>
      </w:tr>
      <w:tr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3172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6.146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.292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0.999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0.996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0.009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0.043</w:t>
            </w:r>
          </w:p>
        </w:tc>
      </w:tr>
      <w:tr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10315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8.957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.062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0.996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0.985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0.011</w:t>
            </w:r>
          </w:p>
        </w:tc>
        <w:tc>
          <w:tcPr>
            <w:tcW w:type="dxa" w:w="936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0.040</w:t>
            </w:r>
          </w:p>
        </w:tc>
      </w:tr>
    </w:tbl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Path p values are not reported because Stage 2 returned likelihood-based CIs but not finite standard errors for all paths.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Primary Structural Paths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Table 5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Primary MASEM Structural Path Estimates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color="000000" w:sz="6" w:space="0"/>
          <w:left w:val="nil" w:color="000000" w:sz="6" w:space="0"/>
          <w:bottom w:val="single" w:color="000000" w:sz="6" w:space="0"/>
          <w:right w:val="nil" w:color="000000" w:sz="6" w:space="0"/>
          <w:insideH w:val="nil" w:color="000000" w:sz="6" w:space="0"/>
          <w:insideV w:val="nil" w:color="000000" w:sz="6" w:space="0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Model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From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To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Estimate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95% CI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Inference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0.157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[-0.170, 0.654]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 supported 95ci includes zero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0.127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NA]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0.107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[-0.012, 0.215]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 supported 95ci includes zero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FC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0.336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[0.099, 0.400]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0.187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0.582]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0.122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0.347]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0.190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[0.190, 0.530]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0.512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[0.300, 0.738]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FC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UB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0.332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[0.114, 0.544]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UB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0.575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[0.397, 0.753]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0.261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0.438]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0.140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[-0.024, 0.285]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 supported 95ci includes zero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0.107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[-0.049, 0.257]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 supported 95ci includes zero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0.365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0.512]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0.225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[0.045, 0.375]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0.184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[-0.017, 0.372]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 supported 95ci includes zero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0.243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[0.126, 0.352]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UB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0.714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[0.650, 0.781]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</w:tbl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Supported paths are classified by 95% confidence intervals excluding zero; incomplete intervals are reported as indeterminate, not significant.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Figure 5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Core7 MASEM Path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5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_core7_publication_masem_path_202606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Solid paths indicate CIs excluding zero; dashed paths include zero; dotted paths have incomplete intervals.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Figure 6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Trust6 MASEM Path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5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trust6_publication_masem_path_202606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Trust is reported as an AI reliance mechanism rather than a fully mediating mechanism.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Figure 7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Primary Path Estimate Coefficient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2686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_path_estimate_coefficient_plot_202606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68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Points are standardized path estimates. Horizontal bars are likelihood-based 95% CIs where available.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Supplemental Diagnostics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Table 6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Supplemental Reduced and Alternative Model-Family Diagnostics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color="000000" w:sz="6" w:space="0"/>
          <w:left w:val="nil" w:color="000000" w:sz="6" w:space="0"/>
          <w:bottom w:val="single" w:color="000000" w:sz="6" w:space="0"/>
          <w:right w:val="nil" w:color="000000" w:sz="6" w:space="0"/>
          <w:insideH w:val="nil" w:color="000000" w:sz="6" w:space="0"/>
          <w:insideV w:val="nil" w:color="000000" w:sz="6" w:space="0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Model</w:t>
            </w:r>
          </w:p>
        </w:tc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</w:t>
            </w:r>
          </w:p>
        </w:tc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Status</w:t>
            </w:r>
          </w:p>
        </w:tc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χ²</w:t>
            </w:r>
          </w:p>
        </w:tc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df</w:t>
            </w:r>
          </w:p>
        </w:tc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p</w:t>
            </w:r>
          </w:p>
        </w:tc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CFI</w:t>
            </w:r>
          </w:p>
        </w:tc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RMSEA</w:t>
            </w:r>
          </w:p>
        </w:tc>
        <w:tc>
          <w:tcPr>
            <w:tcW w:type="dxa" w:w="104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AIC</w:t>
            </w:r>
          </w:p>
        </w:tc>
      </w:tr>
      <w:tr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core7_full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converged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6.146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.292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0.999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0.009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-3.854</w:t>
            </w:r>
          </w:p>
        </w:tc>
      </w:tr>
      <w:tr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core6_no_ATT_direct_beliefs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17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converged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1.780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.619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1.000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0.000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-4.220</w:t>
            </w:r>
          </w:p>
        </w:tc>
      </w:tr>
      <w:tr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core7_pure_ATT_mediation_no_direct_belief_BI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status_6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18.318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.019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0.991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0.020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2.318</w:t>
            </w:r>
          </w:p>
        </w:tc>
      </w:tr>
      <w:tr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trust6_full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converged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8.957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.062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0.996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0.011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0.957</w:t>
            </w:r>
          </w:p>
        </w:tc>
      </w:tr>
      <w:tr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trust5_no_TRU_direct_acceptance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20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converged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6.496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.090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0.997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0.008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0.496</w:t>
            </w:r>
          </w:p>
        </w:tc>
      </w:tr>
      <w:tr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trust6_trust_mediator_no_direct_belief_BI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converged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150.683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&lt; .001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0.888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0.045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136.683</w:t>
            </w:r>
          </w:p>
        </w:tc>
      </w:tr>
      <w:tr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se4_capability_effort_intention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status_6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2.916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.233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0.999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0.022</w:t>
            </w:r>
          </w:p>
        </w:tc>
        <w:tc>
          <w:tcPr>
            <w:tcW w:type="dxa" w:w="104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-1.084</w:t>
            </w:r>
          </w:p>
        </w:tc>
      </w:tr>
    </w:tbl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These are diagnostic comparisons; construct removal can change k and matrix structure, so they are not definitive nested tests.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PE Versus EE Role Comparison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Table 7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Performance Expectancy and Effort Expectancy as Distinct Mechanisms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color="000000" w:sz="6" w:space="0"/>
          <w:left w:val="nil" w:color="000000" w:sz="6" w:space="0"/>
          <w:bottom w:val="single" w:color="000000" w:sz="6" w:space="0"/>
          <w:right w:val="nil" w:color="000000" w:sz="6" w:space="0"/>
          <w:insideH w:val="nil" w:color="000000" w:sz="6" w:space="0"/>
          <w:insideV w:val="nil" w:color="000000" w:sz="6" w:space="0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Model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Predictor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Target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Estimate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95% CI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Inference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0.157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[-0.170, 0.654]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 supported 95ci includes zero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ATT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0.127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NA]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0.187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0.582]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Core7 ATT mediation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0.122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0.347]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0.261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0.438]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0.140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[-0.024, 0.285]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 supported 95ci includes zero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0.365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[NA, 0.512]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ci incomplete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Trust6 trust mechanism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0.225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[0.045, 0.375]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supported positive 95ci</w:t>
            </w:r>
          </w:p>
        </w:tc>
      </w:tr>
    </w:tbl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The comparison concerns PE and EE roles across outcomes, not the PE-EE correlation.</w:t>
      </w:r>
    </w:p>
    <w:p>
      <w:pPr>
        <w:pStyle w:val="Heading2"/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Anxiety and Self-Efficacy Feasibility</w:t>
      </w:r>
    </w:p>
    <w:p>
      <w:pPr>
        <w:spacing w:line="480" w:lineRule="auto" w:after="0"/>
      </w:pPr>
      <w:r>
        <w:rPr>
          <w:rFonts w:ascii="Times New Roman" w:hAnsi="Times New Roman"/>
          <w:b/>
          <w:i w:val="0"/>
          <w:color w:val="000000"/>
          <w:sz w:val="24"/>
        </w:rPr>
        <w:t>Table 8</w:t>
      </w:r>
    </w:p>
    <w:p>
      <w:pPr>
        <w:spacing w:line="480" w:lineRule="auto" w:after="0"/>
      </w:pPr>
      <w:r>
        <w:rPr>
          <w:rFonts w:ascii="Times New Roman" w:hAnsi="Times New Roman"/>
          <w:b w:val="0"/>
          <w:i/>
          <w:color w:val="000000"/>
          <w:sz w:val="24"/>
        </w:rPr>
        <w:t>Targeted Anxiety and Self-Efficacy Feasibility Attempts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color="000000" w:sz="6" w:space="0"/>
          <w:left w:val="nil" w:color="000000" w:sz="6" w:space="0"/>
          <w:bottom w:val="single" w:color="000000" w:sz="6" w:space="0"/>
          <w:right w:val="nil" w:color="000000" w:sz="6" w:space="0"/>
          <w:insideH w:val="nil" w:color="000000" w:sz="6" w:space="0"/>
          <w:insideV w:val="nil" w:color="000000" w:sz="6" w:space="0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Model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Constructs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Status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CFI</w:t>
            </w:r>
          </w:p>
        </w:tc>
        <w:tc>
          <w:tcPr>
            <w:tcW w:type="dxa" w:w="1560"/>
            <w:vAlign w:val="top"/>
            <w:tcBorders>
              <w:bottom w:val="single" w:color="000000" w:sz="6" w:space="0"/>
            </w:tcBorders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RMSEA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se4_capability_effort_intention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SE,EE,BI,UB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status_6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0.999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0.022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se4_capability_attitude_intention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SE,ATT,BI,UB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not_run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anx4_threat_attitude_intention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ANX,ATT,BI,UB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not_run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anx4_trust_threat_reliance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ANX,TRU,BI,UB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not_run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se_anx_bi_capability_threat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SE,ANX,BI,UB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not_run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</w:tr>
      <w:tr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se_anx_tru_bi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SE,ANX,TRU,BI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not_run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  <w:tc>
          <w:tcPr>
            <w:tcW w:type="dxa" w:w="1560"/>
            <w:vAlign w:val="top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NA</w:t>
            </w:r>
          </w:p>
        </w:tc>
      </w:tr>
    </w:tbl>
    <w:p>
      <w:pPr>
        <w:spacing w:line="480" w:lineRule="auto" w:after="0"/>
      </w:pPr>
      <w:r>
        <w:rPr>
          <w:rFonts w:ascii="Times New Roman" w:hAnsi="Times New Roman"/>
          <w:b w:val="0"/>
          <w:i w:val="0"/>
          <w:color w:val="000000"/>
          <w:sz w:val="24"/>
        </w:rPr>
        <w:t>Note. ANX and SE remain theory-relevant but currently underidentified for primary complete-case MASEM.</w:t>
      </w:r>
    </w:p>
    <w:p>
      <w:pPr>
        <w:pStyle w:val="Heading1"/>
        <w:spacing w:line="480" w:lineRule="auto" w:after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Discussion</w:t>
      </w:r>
    </w:p>
    <w:p>
      <w:pPr>
        <w:spacing w:line="480" w:lineRule="auto" w:after="0"/>
        <w:ind w:firstLine="720"/>
      </w:pPr>
      <w:r>
        <w:rPr>
          <w:rFonts w:ascii="Times New Roman" w:hAnsi="Times New Roman"/>
          <w:b w:val="0"/>
          <w:i w:val="0"/>
          <w:color w:val="000000"/>
          <w:sz w:val="24"/>
        </w:rPr>
        <w:t>The reporting rebuild strengthens Paper A by separating what is theoretically covered from what is structurally estimable. Full10 remains valuable as a theoretical target and evidence map; core7 and trust6 provide the current empirical model-family MASEM evidence. The next scientific step is not to force full10, but to finalize PRISMA/full-text boxes and improve source reporting so future analyses can test anxiety and self-efficacy more directly.</w:t>
      </w:r>
    </w:p>
    <w:p>
      <w:pPr>
        <w:pStyle w:val="Heading1"/>
        <w:spacing w:line="480" w:lineRule="auto" w:after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Data Availability</w:t>
      </w:r>
    </w:p>
    <w:p>
      <w:pPr>
        <w:spacing w:line="480" w:lineRule="auto" w:after="0"/>
        <w:ind w:firstLine="720"/>
      </w:pPr>
      <w:r>
        <w:rPr>
          <w:rFonts w:ascii="Times New Roman" w:hAnsi="Times New Roman"/>
          <w:b w:val="0"/>
          <w:i w:val="0"/>
          <w:color w:val="000000"/>
          <w:sz w:val="24"/>
        </w:rPr>
        <w:t>The share-safe Paper A public repository package is available in the Paper A OSF component at https://osf.io/bwzgc/overview. The uploaded file is public_data_repository_20260615_osf_ready.zip. Raw PDFs, private source documents, raw coder workbooks, and runtime files are excluded.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48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