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r>
    </w:p>
    <w:p>
      <w:pPr>
        <w:jc w:val="center"/>
      </w:pPr>
      <w:r>
        <w:rPr>
          <w:b w:val="0"/>
          <w:i w:val="0"/>
        </w:rPr>
      </w:r>
    </w:p>
    <w:p>
      <w:pPr>
        <w:jc w:val="center"/>
      </w:pPr>
      <w:r>
        <w:rPr>
          <w:b w:val="0"/>
          <w:i w:val="0"/>
        </w:rPr>
      </w:r>
    </w:p>
    <w:p>
      <w:pPr>
        <w:jc w:val="center"/>
      </w:pPr>
      <w:r>
        <w:rPr>
          <w:b/>
          <w:sz w:val="28"/>
        </w:rPr>
        <w:t>LLM-Assisted Data Extraction for Meta-Analytic Structural Equation Modeling:</w:t>
        <w:br/>
        <w:t>A Three-Model Comparative Framework with Multi-Model Consensus Validation</w:t>
      </w:r>
    </w:p>
    <w:p>
      <w:pPr>
        <w:jc w:val="center"/>
      </w:pPr>
      <w:r>
        <w:rPr>
          <w:b w:val="0"/>
          <w:i w:val="0"/>
        </w:rPr>
      </w:r>
    </w:p>
    <w:p>
      <w:pPr>
        <w:jc w:val="center"/>
      </w:pPr>
      <w:r>
        <w:rPr>
          <w:sz w:val="24"/>
        </w:rPr>
        <w:t>Hosung You</w:t>
      </w:r>
    </w:p>
    <w:p>
      <w:pPr>
        <w:jc w:val="center"/>
      </w:pPr>
      <w:r>
        <w:rPr>
          <w:sz w:val="24"/>
        </w:rPr>
        <w:t>College of Education, Pennsylvania State University</w:t>
      </w:r>
    </w:p>
    <w:p>
      <w:pPr>
        <w:jc w:val="center"/>
      </w:pPr>
      <w:r>
        <w:rPr>
          <w:b w:val="0"/>
          <w:i w:val="0"/>
        </w:rPr>
      </w:r>
    </w:p>
    <w:p>
      <w:pPr>
        <w:jc w:val="center"/>
      </w:pPr>
      <w:r>
        <w:rPr>
          <w:b w:val="0"/>
          <w:i w:val="0"/>
        </w:rPr>
      </w:r>
    </w:p>
    <w:p>
      <w:pPr>
        <w:pStyle w:val="Heading2"/>
      </w:pPr>
      <w:r>
        <w:t>Author Note</w:t>
      </w:r>
    </w:p>
    <w:p>
      <w:pPr>
        <w:ind w:firstLine="720"/>
      </w:pPr>
      <w:r>
        <w:rPr>
          <w:b w:val="0"/>
          <w:i w:val="0"/>
        </w:rPr>
        <w:t>Hosung You  https://orcid.org/[ORCID-ID]</w:t>
      </w:r>
    </w:p>
    <w:p>
      <w:pPr>
        <w:ind w:firstLine="720"/>
      </w:pPr>
      <w:r>
        <w:rPr>
          <w:b w:val="0"/>
          <w:i w:val="0"/>
        </w:rPr>
        <w:t>Correspondence concerning this article should be addressed to Hosung You, College of Education, Pennsylvania State University, University Park, PA 16802. Email: hfy5138@psu.edu</w:t>
      </w:r>
    </w:p>
    <w:p>
      <w:pPr>
        <w:ind w:firstLine="720"/>
      </w:pPr>
      <w:r>
        <w:rPr>
          <w:b w:val="0"/>
          <w:i w:val="0"/>
        </w:rPr>
        <w:t>Data Availability Statement: The complete dataset, AI prompts, extraction logs, verbatim AI responses, analysis code, and human coding data are available at [OSF Repository Link].</w:t>
      </w:r>
    </w:p>
    <w:p>
      <w:pPr>
        <w:ind w:firstLine="720"/>
      </w:pPr>
      <w:r>
        <w:rPr>
          <w:b w:val="0"/>
          <w:i w:val="0"/>
        </w:rPr>
        <w:t>Conflict of Interest: The author declares no conflicts of interest.</w:t>
      </w:r>
    </w:p>
    <w:p>
      <w:pPr>
        <w:ind w:firstLine="720"/>
      </w:pPr>
      <w:r>
        <w:rPr>
          <w:b w:val="0"/>
          <w:i w:val="0"/>
        </w:rPr>
        <w:t>Funding: This research received no external funding.</w:t>
      </w:r>
    </w:p>
    <w:p>
      <w:r>
        <w:br w:type="page"/>
      </w:r>
    </w:p>
    <w:p>
      <w:pPr>
        <w:pStyle w:val="Heading1"/>
      </w:pPr>
      <w:r>
        <w:t>Abstract</w:t>
      </w:r>
    </w:p>
    <w:p>
      <w:r>
        <w:rPr>
          <w:b w:val="0"/>
          <w:i w:val="0"/>
        </w:rPr>
        <w:t>Systematic reviews and meta-analyses require extensive data extraction, yet the reliability of large language models (LLMs) for this task—particularly for complex meta-analytic structural equation modeling (MASEM) variables—remains inadequately characterized. This study presents a comprehensive evaluation of three frontier LLMs—Claude Sonnet 4.6 (Anthropic), GPT Codex 5.3 (OpenAI), and Gemini CLI (Google)—for extracting correlation matrices, construct mappings, and moderator variables from primary studies in an educational AI adoption meta-analysis. Using a gold standard dataset independently coded by two human raters from 100 studies (approximately 3,000 data elements), each LLM independently extracted 30 variables per study spanning four categories: bibliographic, statistical (correlation coefficients), classificatory (construct mapping to a 12-construct framework), and moderator variables. We assessed (a) field-level accuracy using exact match and within-threshold agreement; (b) inter-method reliability via Cohen's kappa, intraclass correlation coefficients, and Gwet's AC2; (c) multi-model consensus performance against single-model extraction; and (d) a cost-time efficiency analysis of five candidate workflows. Results revealed [PLACEHOLDER: summary of key findings]. A multi-model consensus approach, requiring agreement from at least two of three models, [PLACEHOLDER: outperformed/matched] single-model extraction for [PLACEHOLDER: which variable types]. We propose a practical human-AI hybrid workflow for MASEM data extraction and contribute a reproducible evaluation framework, a publicly available prompt library, and evidence-based recommendations for integrating LLMs into evidence synthesis pipelines. This study advances the growing literature on AI-assisted systematic reviews by providing the first evaluation focused on MASEM-specific extraction tasks in a social science domain.</w:t>
      </w:r>
    </w:p>
    <w:p>
      <w:r>
        <w:rPr>
          <w:b w:val="0"/>
          <w:i w:val="0"/>
        </w:rPr>
      </w:r>
    </w:p>
    <w:p>
      <w:r>
        <w:rPr>
          <w:i/>
        </w:rPr>
        <w:t xml:space="preserve">Keywords: </w:t>
      </w:r>
      <w:r>
        <w:t>large language models, meta-analytic structural equation modeling, data extraction, systematic review automation, inter-rater reliability, human-AI collaboration, multi-model consensus, correlation matrix extraction</w:t>
      </w:r>
    </w:p>
    <w:p>
      <w:r>
        <w:br w:type="page"/>
      </w:r>
    </w:p>
    <w:p>
      <w:pPr>
        <w:pStyle w:val="Heading1"/>
      </w:pPr>
      <w:r>
        <w:t>Introduction</w:t>
      </w:r>
    </w:p>
    <w:p>
      <w:pPr>
        <w:pStyle w:val="Heading2"/>
      </w:pPr>
      <w:r>
        <w:t>The Data Extraction Challenge in MASEM</w:t>
      </w:r>
    </w:p>
    <w:p>
      <w:pPr>
        <w:ind w:firstLine="720"/>
      </w:pPr>
      <w:r>
        <w:rPr>
          <w:b w:val="0"/>
          <w:i w:val="0"/>
        </w:rPr>
        <w:t>Meta-analytic structural equation modeling (MASEM; Cheung, 2015; Jak &amp; Cheung, 2020) has emerged as a powerful technique for synthesizing correlation matrices across studies and testing competing theoretical models. Unlike conventional meta-analyses that pool individual effect sizes, MASEM requires the extraction of complete or partial correlation matrices from each primary study—a process that is substantially more labor-intensive than extracting single effect sizes or odds ratios. A typical MASEM study examining k constructs requires the extraction of up to k(k-1)/2 unique pairwise correlations per study, along with construct-to-variable mapping decisions that demand substantive theoretical expertise (Cheung &amp; Chan, 2005).</w:t>
      </w:r>
    </w:p>
    <w:p>
      <w:pPr>
        <w:ind w:firstLine="720"/>
      </w:pPr>
      <w:r>
        <w:rPr>
          <w:b w:val="0"/>
          <w:i w:val="0"/>
        </w:rPr>
        <w:t>The extraction burden is further compounded by the heterogeneity of reporting practices across primary studies. Correlation matrices may appear in main text tables, appendices, supplementary materials, or may need to be derived from standardized path coefficients using conversion formulas (Peterson &amp; Brown, 2005). Construct labels vary across studies (e.g., "perceived usefulness" in TAM terminology vs. "performance expectancy" in UTAUT; Venkatesh et al., 2003), requiring informed harmonization decisions. These challenges make MASEM data extraction a prime candidate for automation assistance—yet no study has evaluated LLM performance on MASEM-specific extraction tasks.</w:t>
      </w:r>
    </w:p>
    <w:p>
      <w:pPr>
        <w:pStyle w:val="Heading2"/>
      </w:pPr>
      <w:r>
        <w:t>Large Language Models for Systematic Review Data Extraction</w:t>
      </w:r>
    </w:p>
    <w:p>
      <w:pPr>
        <w:ind w:firstLine="720"/>
      </w:pPr>
      <w:r>
        <w:rPr>
          <w:b w:val="0"/>
          <w:i w:val="0"/>
        </w:rPr>
        <w:t>The emergence of frontier large language models (LLMs) has introduced a qualitatively different approach to systematic review automation. Unlike earlier natural language processing systems requiring task-specific training (Jonnalagadda et al., 2015), LLMs can process complex academic text through natural language prompts, potentially extracting structured data without domain-specific fine-tuning (Brown et al., 2020). Recent evaluations have demonstrated promising results: Gartlehner et al. (2024) reported 96.3% accuracy for Claude 2 across 160 data elements from clinical RCTs, while a subsequent large-scale evaluation across 9,341 elements yielded 77.2% concordance with human extraction (Gartlehner et al., 2025). Jensen et al. (2025) found 92.4% accuracy for ChatGPT-4o as a second reviewer, and Khan et al. (2025) demonstrated that a collaborative two-LLM workflow achieved 87% concordance in clinical trial data extraction.</w:t>
      </w:r>
    </w:p>
    <w:p>
      <w:pPr>
        <w:ind w:firstLine="720"/>
      </w:pPr>
      <w:r>
        <w:rPr>
          <w:b w:val="0"/>
          <w:i w:val="0"/>
        </w:rPr>
        <w:t>However, the existing literature has critical gaps that limit generalizability to MASEM applications. First, evaluations have been conducted predominantly in clinical and biomedical domains, where extracted variables tend to be more standardized (e.g., PICO elements, risk ratios). Social science and education domains involve more subjective coding decisions, such as construct harmonization across theoretical frameworks. Second, no study has evaluated LLM performance on correlation matrix extraction—the core input for MASEM—which requires accurate identification of numerical values embedded in complex tables. Third, the multi-model consensus approach, where outputs from multiple LLMs are compared to improve reliability, has received only preliminary investigation (Khan et al., 2025) and has not been tested for MASEM applications. Fourth, most evaluations have examined one or two LLMs, precluding systematic cross-model comparisons.</w:t>
      </w:r>
    </w:p>
    <w:p>
      <w:pPr>
        <w:pStyle w:val="Heading2"/>
      </w:pPr>
      <w:r>
        <w:t>The Present Study</w:t>
      </w:r>
    </w:p>
    <w:p>
      <w:pPr>
        <w:ind w:firstLine="720"/>
      </w:pPr>
      <w:r>
        <w:rPr>
          <w:b w:val="0"/>
          <w:i w:val="0"/>
        </w:rPr>
        <w:t>This study addresses these gaps through a comprehensive evaluation of three frontier LLMs for MASEM data extraction, benchmarked against a human gold standard from an independently conducted meta-analysis of AI adoption in education (You, 2026). The parent meta-analysis employs a 12-construct integrative framework combining traditional technology acceptance constructs (TAM/UTAUT; Venkatesh et al., 2003) with AI-specific constructs (trust, anxiety, transparency, perceived AI autonomy), requiring extraction of correlation matrices, construct mappings, and moderator variables from approximately 300 primary studies.</w:t>
      </w:r>
    </w:p>
    <w:p>
      <w:pPr>
        <w:ind w:firstLine="720"/>
      </w:pPr>
      <w:r>
        <w:rPr>
          <w:b w:val="0"/>
          <w:i w:val="0"/>
        </w:rPr>
        <w:t>We selected a stratified random subsample of 100 studies from the parent meta-analysis to serve as the evaluation dataset. This sample size exceeds all published LLM extraction evaluation studies to date (cf. Gartlehner et al., 2024: k = 10; Jensen et al., 2025: k = 11; Khan et al., 2025: k = 22; Andersen et al., 2025: k = 30) and provides approximately 3,000 data elements for analysis—sufficient statistical power to detect meaningful differences across variable types and models.</w:t>
      </w:r>
    </w:p>
    <w:p>
      <w:pPr>
        <w:ind w:firstLine="720"/>
      </w:pPr>
      <w:r>
        <w:rPr>
          <w:b w:val="0"/>
          <w:i w:val="0"/>
        </w:rPr>
        <w:t>We address four research questions:</w:t>
      </w:r>
    </w:p>
    <w:p>
      <w:pPr>
        <w:ind w:firstLine="720"/>
      </w:pPr>
      <w:r>
        <w:rPr>
          <w:b w:val="0"/>
          <w:i w:val="0"/>
        </w:rPr>
        <w:t>RQ1. How accurately can frontier LLMs (Claude Sonnet 4.6, GPT Codex 5.3, Gemini CLI) extract MASEM coding data—including correlation matrices, construct mappings, and moderator variables—compared to a human gold standard?</w:t>
      </w:r>
    </w:p>
    <w:p>
      <w:pPr>
        <w:ind w:firstLine="720"/>
      </w:pPr>
      <w:r>
        <w:rPr>
          <w:b w:val="0"/>
          <w:i w:val="0"/>
        </w:rPr>
        <w:t>RQ2. For which variable types (bibliographic, statistical, classificatory, moderator) do LLMs show the highest and lowest agreement with human coders?</w:t>
      </w:r>
    </w:p>
    <w:p>
      <w:pPr>
        <w:ind w:firstLine="720"/>
      </w:pPr>
      <w:r>
        <w:rPr>
          <w:b w:val="0"/>
          <w:i w:val="0"/>
        </w:rPr>
        <w:t>RQ3. Does a multi-model consensus approach (requiring agreement from at least two of three models) improve extraction accuracy compared to any single model?</w:t>
      </w:r>
    </w:p>
    <w:p>
      <w:pPr>
        <w:ind w:firstLine="720"/>
      </w:pPr>
      <w:r>
        <w:rPr>
          <w:b w:val="0"/>
          <w:i w:val="0"/>
        </w:rPr>
        <w:t>RQ4. What is the optimal human-AI hybrid workflow that maximizes both efficiency and accuracy for MASEM data extraction?</w:t>
      </w:r>
    </w:p>
    <w:p>
      <w:pPr>
        <w:pStyle w:val="Heading2"/>
      </w:pPr>
      <w:r>
        <w:t>Contributions</w:t>
      </w:r>
    </w:p>
    <w:p>
      <w:pPr>
        <w:ind w:firstLine="720"/>
      </w:pPr>
      <w:r>
        <w:rPr>
          <w:b w:val="0"/>
          <w:i w:val="0"/>
        </w:rPr>
        <w:t>This study makes four contributions to the research synthesis methodology literature. First, we provide the first evaluation of LLM-assisted data extraction for MASEM, addressing the unique challenges of correlation matrix extraction and construct harmonization. Second, we offer the first three-model head-to-head comparison (Claude Sonnet 4.6, GPT Codex 5.3, Gemini CLI) in a social science domain, enabling direct cross-model evaluation. Third, we introduce and systematically evaluate a multi-model consensus approach, testing whether model diversity improves extraction reliability. Fourth, we propose a cost-effective human-AI hybrid workflow validated against a rigorous gold standard, accompanied by a publicly available prompt library for replication.</w:t>
      </w:r>
    </w:p>
    <w:p>
      <w:r>
        <w:br w:type="page"/>
      </w:r>
    </w:p>
    <w:p>
      <w:pPr>
        <w:pStyle w:val="Heading1"/>
      </w:pPr>
      <w:r>
        <w:t>Method</w:t>
      </w:r>
    </w:p>
    <w:p>
      <w:pPr>
        <w:ind w:firstLine="720"/>
      </w:pPr>
      <w:r>
        <w:rPr>
          <w:b w:val="0"/>
          <w:i w:val="0"/>
        </w:rPr>
        <w:t>This methodological study employed a comparative accuracy design (Bossuyt et al., 2015). Three frontier LLMs independently extracted MASEM coding data from the same set of primary studies, and their outputs were evaluated against a pre-established human gold standard. The study was pre-registered on OSF [Registration Link] prior to data extraction. Reporting follows the PRISMA-trAIce checklist for transparent reporting of AI in evidence synthesis (PRISMA-trAIce Consortium, 2025) and the TRIPOD-LLM guideline (Collins et al., 2025). The completed checklists are provided in Supplementary Materials A and B.</w:t>
      </w:r>
    </w:p>
    <w:p>
      <w:pPr>
        <w:pStyle w:val="Heading2"/>
      </w:pPr>
      <w:r>
        <w:t>The Human Gold Standard</w:t>
      </w:r>
    </w:p>
    <w:p>
      <w:pPr>
        <w:pStyle w:val="Heading3"/>
      </w:pPr>
      <w:r>
        <w:t>Source Dataset</w:t>
      </w:r>
    </w:p>
    <w:p>
      <w:pPr>
        <w:ind w:firstLine="720"/>
      </w:pPr>
      <w:r>
        <w:rPr>
          <w:b w:val="0"/>
          <w:i w:val="0"/>
        </w:rPr>
        <w:t>The gold standard was derived from a meta-analytic structural equation model (MASEM) examining AI adoption factors in educational contexts (You, 2026; hereafter "the parent meta-analysis"). The parent meta-analysis integrates a 12-construct framework: eight traditional TAM/UTAUT constructs (Performance Expectancy [PE], Effort Expectancy [EE], Social Influence [SI], Facilitating Conditions [FC], Behavioral Intention [BI], Use Behavior [UB], Attitude [ATT], Self-Efficacy [SE]) and four AI-specific constructs (Trust [TRU], Anxiety [ANX], Transparency [TRA], Perceived AI Autonomy [AUT]). The parent meta-analysis included approximately 300 studies identified through systematic searches of seven databases (PsycINFO, ERIC, Education Source, ProQuest, Semantic Scholar, OpenAlex, Web of Science) covering publications from 2015 to 2025.</w:t>
      </w:r>
    </w:p>
    <w:p>
      <w:pPr>
        <w:ind w:firstLine="720"/>
      </w:pPr>
      <w:r>
        <w:rPr>
          <w:b w:val="0"/>
          <w:i w:val="0"/>
        </w:rPr>
        <w:t>A stratified random subsample of 100 studies was selected from the parent dataset for this evaluation. Stratification variables included publication year (three tiers: 2015-2019, 2020-2022, 2023-2025), AI tool type (four categories: chatbot/LLM, intelligent tutoring system, LMS-integrated AI, other), education level (three categories: K-12, undergraduate, graduate/mixed), and geographic region (four categories: East Asia, South/Southeast Asia, Middle East/Africa, Western). This stratification ensured the evaluation sample represented the diversity of study characteristics in the full dataset. The random seed was fixed for reproducibility (seed = 42).</w:t>
      </w:r>
    </w:p>
    <w:p>
      <w:pPr>
        <w:pStyle w:val="Heading3"/>
      </w:pPr>
      <w:r>
        <w:t>Human Coding Protocol</w:t>
      </w:r>
    </w:p>
    <w:p>
      <w:pPr>
        <w:ind w:firstLine="720"/>
      </w:pPr>
      <w:r>
        <w:rPr>
          <w:b w:val="0"/>
          <w:i w:val="0"/>
        </w:rPr>
        <w:t>Two trained coders independently coded all 100 studies in the evaluation subsample: the first author (faculty member with expertise in educational technology and meta-analytic methods) and a doctoral student in educational research methodology. Both coders were blinded to all AI extraction outputs throughout the independent coding phase. The coding protocol followed the detailed coding manual developed for the parent meta-analysis (You, 2026; available at [OSF Repository Link]) and specified:</w:t>
      </w:r>
    </w:p>
    <w:p>
      <w:pPr>
        <w:ind w:firstLine="720"/>
      </w:pPr>
      <w:r>
        <w:rPr>
          <w:b w:val="0"/>
          <w:i w:val="0"/>
        </w:rPr>
        <w:t>1. Training phase: Both coders completed a calibration session using 10 pilot studies not included in the 100-study evaluation sample. After each batch of 5 pilot studies, inter-rater reliability was assessed and coding rules clarified. Calibration continued until Cohen's kappa exceeded 0.80 for all categorical variables and ICC exceeded 0.85 for continuous variables.</w:t>
      </w:r>
    </w:p>
    <w:p>
      <w:pPr>
        <w:ind w:firstLine="720"/>
      </w:pPr>
      <w:r>
        <w:rPr>
          <w:b w:val="0"/>
          <w:i w:val="0"/>
        </w:rPr>
        <w:t>2. Independent coding: Each coder independently extracted all 30 variables for every study using a standardized coding template. Coders were blinded to each other's extractions and to all AI outputs during this phase.</w:t>
      </w:r>
    </w:p>
    <w:p>
      <w:pPr>
        <w:ind w:firstLine="720"/>
      </w:pPr>
      <w:r>
        <w:rPr>
          <w:b w:val="0"/>
          <w:i w:val="0"/>
        </w:rPr>
        <w:t>3. Reliability assessment: Inter-rater reliability was computed for all variable categories (see Results).</w:t>
      </w:r>
    </w:p>
    <w:p>
      <w:pPr>
        <w:ind w:firstLine="720"/>
      </w:pPr>
      <w:r>
        <w:rPr>
          <w:b w:val="0"/>
          <w:i w:val="0"/>
        </w:rPr>
        <w:t>4. Consensus resolution: All discrepancies were resolved through a structured protocol: (a) return to original source document; (b) coder discussion for substantive disagreements; (c) PI adjudication for unresolved cases. Every resolution was documented in a discrepancy log.</w:t>
      </w:r>
    </w:p>
    <w:p>
      <w:pPr>
        <w:pStyle w:val="Heading3"/>
      </w:pPr>
      <w:r>
        <w:t>Coding Variables (30 Per Study)</w:t>
      </w:r>
    </w:p>
    <w:p>
      <w:pPr>
        <w:ind w:firstLine="720"/>
      </w:pPr>
      <w:r>
        <w:rPr>
          <w:b w:val="0"/>
          <w:i w:val="0"/>
        </w:rPr>
        <w:t>Variables were organized into four categories reflecting the data requirements of MASEM:</w:t>
      </w:r>
    </w:p>
    <w:p>
      <w:pPr>
        <w:pStyle w:val="Heading3"/>
      </w:pPr>
      <w:r>
        <w:t>Table 1</w:t>
      </w:r>
    </w:p>
    <w:p>
      <w:r>
        <w:rPr>
          <w:b w:val="0"/>
          <w:i/>
        </w:rPr>
        <w:t>Coding Variable Categories and Descriptions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Category</w:t>
            </w:r>
          </w:p>
        </w:tc>
        <w:tc>
          <w:tcPr>
            <w:tcW w:type="dxa" w:w="2340"/>
          </w:tcPr>
          <w:p>
            <w:r>
              <w:rPr>
                <w:b/>
                <w:sz w:val="20"/>
              </w:rPr>
              <w:t>Variables (n)</w:t>
            </w:r>
          </w:p>
        </w:tc>
        <w:tc>
          <w:tcPr>
            <w:tcW w:type="dxa" w:w="2340"/>
          </w:tcPr>
          <w:p>
            <w:r>
              <w:rPr>
                <w:b/>
                <w:sz w:val="20"/>
              </w:rPr>
              <w:t>Examples</w:t>
            </w:r>
          </w:p>
        </w:tc>
        <w:tc>
          <w:tcPr>
            <w:tcW w:type="dxa" w:w="2340"/>
          </w:tcPr>
          <w:p>
            <w:r>
              <w:rPr>
                <w:b/>
                <w:sz w:val="20"/>
              </w:rPr>
              <w:t>Data Type</w:t>
            </w:r>
          </w:p>
        </w:tc>
      </w:tr>
      <w:tr>
        <w:tc>
          <w:tcPr>
            <w:tcW w:type="dxa" w:w="2340"/>
          </w:tcPr>
          <w:p>
            <w:r/>
            <w:r>
              <w:rPr>
                <w:rFonts w:ascii="Times New Roman" w:hAnsi="Times New Roman"/>
                <w:b w:val="0"/>
                <w:sz w:val="20"/>
              </w:rPr>
              <w:t>A: Bibliographic</w:t>
            </w:r>
          </w:p>
        </w:tc>
        <w:tc>
          <w:tcPr>
            <w:tcW w:type="dxa" w:w="2340"/>
          </w:tcPr>
          <w:p>
            <w:r/>
            <w:r>
              <w:rPr>
                <w:rFonts w:ascii="Times New Roman" w:hAnsi="Times New Roman"/>
                <w:b w:val="0"/>
                <w:sz w:val="20"/>
              </w:rPr>
              <w:t>6</w:t>
            </w:r>
          </w:p>
        </w:tc>
        <w:tc>
          <w:tcPr>
            <w:tcW w:type="dxa" w:w="2340"/>
          </w:tcPr>
          <w:p>
            <w:r/>
            <w:r>
              <w:rPr>
                <w:rFonts w:ascii="Times New Roman" w:hAnsi="Times New Roman"/>
                <w:b w:val="0"/>
                <w:sz w:val="20"/>
              </w:rPr>
              <w:t>Authors, year, title, journal, DOI, country</w:t>
            </w:r>
          </w:p>
        </w:tc>
        <w:tc>
          <w:tcPr>
            <w:tcW w:type="dxa" w:w="2340"/>
          </w:tcPr>
          <w:p>
            <w:r/>
            <w:r>
              <w:rPr>
                <w:rFonts w:ascii="Times New Roman" w:hAnsi="Times New Roman"/>
                <w:b w:val="0"/>
                <w:sz w:val="20"/>
              </w:rPr>
              <w:t>Text/categorical</w:t>
            </w:r>
          </w:p>
        </w:tc>
      </w:tr>
      <w:tr>
        <w:tc>
          <w:tcPr>
            <w:tcW w:type="dxa" w:w="2340"/>
          </w:tcPr>
          <w:p>
            <w:r/>
            <w:r>
              <w:rPr>
                <w:rFonts w:ascii="Times New Roman" w:hAnsi="Times New Roman"/>
                <w:b w:val="0"/>
                <w:sz w:val="20"/>
              </w:rPr>
              <w:t>B: Statistical</w:t>
            </w:r>
          </w:p>
        </w:tc>
        <w:tc>
          <w:tcPr>
            <w:tcW w:type="dxa" w:w="2340"/>
          </w:tcPr>
          <w:p>
            <w:r/>
            <w:r>
              <w:rPr>
                <w:rFonts w:ascii="Times New Roman" w:hAnsi="Times New Roman"/>
                <w:b w:val="0"/>
                <w:sz w:val="20"/>
              </w:rPr>
              <w:t>8</w:t>
            </w:r>
          </w:p>
        </w:tc>
        <w:tc>
          <w:tcPr>
            <w:tcW w:type="dxa" w:w="2340"/>
          </w:tcPr>
          <w:p>
            <w:r/>
            <w:r>
              <w:rPr>
                <w:rFonts w:ascii="Times New Roman" w:hAnsi="Times New Roman"/>
                <w:b w:val="0"/>
                <w:sz w:val="20"/>
              </w:rPr>
              <w:t>Correlation coefficients (r), sample size (n), reliability (alpha, CR, AVE), r source (direct/beta-converted)</w:t>
            </w:r>
          </w:p>
        </w:tc>
        <w:tc>
          <w:tcPr>
            <w:tcW w:type="dxa" w:w="2340"/>
          </w:tcPr>
          <w:p>
            <w:r/>
            <w:r>
              <w:rPr>
                <w:rFonts w:ascii="Times New Roman" w:hAnsi="Times New Roman"/>
                <w:b w:val="0"/>
                <w:sz w:val="20"/>
              </w:rPr>
              <w:t>Continuous</w:t>
            </w:r>
          </w:p>
        </w:tc>
      </w:tr>
      <w:tr>
        <w:tc>
          <w:tcPr>
            <w:tcW w:type="dxa" w:w="2340"/>
          </w:tcPr>
          <w:p>
            <w:r/>
            <w:r>
              <w:rPr>
                <w:rFonts w:ascii="Times New Roman" w:hAnsi="Times New Roman"/>
                <w:b w:val="0"/>
                <w:sz w:val="20"/>
              </w:rPr>
              <w:t>C: Classificatory</w:t>
            </w:r>
          </w:p>
        </w:tc>
        <w:tc>
          <w:tcPr>
            <w:tcW w:type="dxa" w:w="2340"/>
          </w:tcPr>
          <w:p>
            <w:r/>
            <w:r>
              <w:rPr>
                <w:rFonts w:ascii="Times New Roman" w:hAnsi="Times New Roman"/>
                <w:b w:val="0"/>
                <w:sz w:val="20"/>
              </w:rPr>
              <w:t>9</w:t>
            </w:r>
          </w:p>
        </w:tc>
        <w:tc>
          <w:tcPr>
            <w:tcW w:type="dxa" w:w="2340"/>
          </w:tcPr>
          <w:p>
            <w:r/>
            <w:r>
              <w:rPr>
                <w:rFonts w:ascii="Times New Roman" w:hAnsi="Times New Roman"/>
                <w:b w:val="0"/>
                <w:sz w:val="20"/>
              </w:rPr>
              <w:t>Construct mapping (original label -&gt; 12 constructs), mapping confidence, Bloom's level, outcome dimension</w:t>
            </w:r>
          </w:p>
        </w:tc>
        <w:tc>
          <w:tcPr>
            <w:tcW w:type="dxa" w:w="2340"/>
          </w:tcPr>
          <w:p>
            <w:r/>
            <w:r>
              <w:rPr>
                <w:rFonts w:ascii="Times New Roman" w:hAnsi="Times New Roman"/>
                <w:b w:val="0"/>
                <w:sz w:val="20"/>
              </w:rPr>
              <w:t>Categorical</w:t>
            </w:r>
          </w:p>
        </w:tc>
      </w:tr>
      <w:tr>
        <w:tc>
          <w:tcPr>
            <w:tcW w:type="dxa" w:w="2340"/>
          </w:tcPr>
          <w:p>
            <w:r/>
            <w:r>
              <w:rPr>
                <w:rFonts w:ascii="Times New Roman" w:hAnsi="Times New Roman"/>
                <w:b w:val="0"/>
                <w:sz w:val="20"/>
              </w:rPr>
              <w:t>D: Moderator</w:t>
            </w:r>
          </w:p>
        </w:tc>
        <w:tc>
          <w:tcPr>
            <w:tcW w:type="dxa" w:w="2340"/>
          </w:tcPr>
          <w:p>
            <w:r/>
            <w:r>
              <w:rPr>
                <w:rFonts w:ascii="Times New Roman" w:hAnsi="Times New Roman"/>
                <w:b w:val="0"/>
                <w:sz w:val="20"/>
              </w:rPr>
              <w:t>7</w:t>
            </w:r>
          </w:p>
        </w:tc>
        <w:tc>
          <w:tcPr>
            <w:tcW w:type="dxa" w:w="2340"/>
          </w:tcPr>
          <w:p>
            <w:r/>
            <w:r>
              <w:rPr>
                <w:rFonts w:ascii="Times New Roman" w:hAnsi="Times New Roman"/>
                <w:b w:val="0"/>
                <w:sz w:val="20"/>
              </w:rPr>
              <w:t>Education level, user role, discipline, AI tool type, institutional type, Hofstede score, temporal period</w:t>
            </w:r>
          </w:p>
        </w:tc>
        <w:tc>
          <w:tcPr>
            <w:tcW w:type="dxa" w:w="2340"/>
          </w:tcPr>
          <w:p>
            <w:r/>
            <w:r>
              <w:rPr>
                <w:rFonts w:ascii="Times New Roman" w:hAnsi="Times New Roman"/>
                <w:b w:val="0"/>
                <w:sz w:val="20"/>
              </w:rPr>
              <w:t>Categorical/continuous</w:t>
            </w:r>
          </w:p>
        </w:tc>
      </w:tr>
    </w:tbl>
    <w:p>
      <w:r>
        <w:rPr>
          <w:b w:val="0"/>
          <w:i w:val="0"/>
        </w:rPr>
      </w:r>
    </w:p>
    <w:p>
      <w:r>
        <w:rPr>
          <w:b w:val="0"/>
          <w:i/>
        </w:rPr>
        <w:t>Note. Total = 30 variables per study. Category B variables are extracted per construct pair, yielding multiple data elements per study (mean number of construct pairs per study reported in Results). Category C variables are extracted per construct, yielding multiple mappings per study.</w:t>
      </w:r>
    </w:p>
    <w:p>
      <w:pPr>
        <w:pStyle w:val="Heading2"/>
      </w:pPr>
      <w:r>
        <w:t>LLM Extraction Protocol</w:t>
      </w:r>
    </w:p>
    <w:p>
      <w:pPr>
        <w:pStyle w:val="Heading3"/>
      </w:pPr>
      <w:r>
        <w:t>Model Selection</w:t>
      </w:r>
    </w:p>
    <w:p>
      <w:pPr>
        <w:ind w:firstLine="720"/>
      </w:pPr>
      <w:r>
        <w:rPr>
          <w:b w:val="0"/>
          <w:i w:val="0"/>
        </w:rPr>
        <w:t>Three frontier LLMs were selected based on: (a) representation of distinct model families with different architectures, training data, and alignment approaches; (b) demonstrated capability on academic text processing tasks; and (c) availability of programmatic API access for reproducible extraction.</w:t>
      </w:r>
    </w:p>
    <w:p>
      <w:pPr>
        <w:pStyle w:val="Heading3"/>
      </w:pPr>
      <w:r>
        <w:t>Table 2</w:t>
      </w:r>
    </w:p>
    <w:p>
      <w:r>
        <w:rPr>
          <w:b w:val="0"/>
          <w:i/>
        </w:rPr>
        <w:t>LLM Specifications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Model</w:t>
            </w:r>
          </w:p>
        </w:tc>
        <w:tc>
          <w:tcPr>
            <w:tcW w:type="dxa" w:w="1872"/>
          </w:tcPr>
          <w:p>
            <w:r>
              <w:rPr>
                <w:b/>
                <w:sz w:val="20"/>
              </w:rPr>
              <w:t>Provider</w:t>
            </w:r>
          </w:p>
        </w:tc>
        <w:tc>
          <w:tcPr>
            <w:tcW w:type="dxa" w:w="1872"/>
          </w:tcPr>
          <w:p>
            <w:r>
              <w:rPr>
                <w:b/>
                <w:sz w:val="20"/>
              </w:rPr>
              <w:t>Version</w:t>
            </w:r>
          </w:p>
        </w:tc>
        <w:tc>
          <w:tcPr>
            <w:tcW w:type="dxa" w:w="1872"/>
          </w:tcPr>
          <w:p>
            <w:r>
              <w:rPr>
                <w:b/>
                <w:sz w:val="20"/>
              </w:rPr>
              <w:t>Context Window</w:t>
            </w:r>
          </w:p>
        </w:tc>
        <w:tc>
          <w:tcPr>
            <w:tcW w:type="dxa" w:w="1872"/>
          </w:tcPr>
          <w:p>
            <w:r>
              <w:rPr>
                <w:b/>
                <w:sz w:val="20"/>
              </w:rPr>
              <w:t>Access</w:t>
            </w:r>
          </w:p>
        </w:tc>
      </w:tr>
      <w:tr>
        <w:tc>
          <w:tcPr>
            <w:tcW w:type="dxa" w:w="1872"/>
          </w:tcPr>
          <w:p>
            <w:r/>
            <w:r>
              <w:rPr>
                <w:rFonts w:ascii="Times New Roman" w:hAnsi="Times New Roman"/>
                <w:b w:val="0"/>
                <w:sz w:val="20"/>
              </w:rPr>
              <w:t>Claude Sonnet 4.6</w:t>
            </w:r>
          </w:p>
        </w:tc>
        <w:tc>
          <w:tcPr>
            <w:tcW w:type="dxa" w:w="1872"/>
          </w:tcPr>
          <w:p>
            <w:r/>
            <w:r>
              <w:rPr>
                <w:rFonts w:ascii="Times New Roman" w:hAnsi="Times New Roman"/>
                <w:b w:val="0"/>
                <w:sz w:val="20"/>
              </w:rPr>
              <w:t>Anthropic</w:t>
            </w:r>
          </w:p>
        </w:tc>
        <w:tc>
          <w:tcPr>
            <w:tcW w:type="dxa" w:w="1872"/>
          </w:tcPr>
          <w:p>
            <w:r/>
            <w:r>
              <w:rPr>
                <w:rFonts w:ascii="Times New Roman" w:hAnsi="Times New Roman"/>
                <w:b w:val="0"/>
                <w:sz w:val="20"/>
              </w:rPr>
              <w:t>[exact version at extraction date]</w:t>
            </w:r>
          </w:p>
        </w:tc>
        <w:tc>
          <w:tcPr>
            <w:tcW w:type="dxa" w:w="1872"/>
          </w:tcPr>
          <w:p>
            <w:r/>
            <w:r>
              <w:rPr>
                <w:rFonts w:ascii="Times New Roman" w:hAnsi="Times New Roman"/>
                <w:b w:val="0"/>
                <w:sz w:val="20"/>
              </w:rPr>
              <w:t>[context] tokens</w:t>
            </w:r>
          </w:p>
        </w:tc>
        <w:tc>
          <w:tcPr>
            <w:tcW w:type="dxa" w:w="1872"/>
          </w:tcPr>
          <w:p>
            <w:r/>
            <w:r>
              <w:rPr>
                <w:rFonts w:ascii="Times New Roman" w:hAnsi="Times New Roman"/>
                <w:b w:val="0"/>
                <w:sz w:val="20"/>
              </w:rPr>
              <w:t>API</w:t>
            </w:r>
          </w:p>
        </w:tc>
      </w:tr>
      <w:tr>
        <w:tc>
          <w:tcPr>
            <w:tcW w:type="dxa" w:w="1872"/>
          </w:tcPr>
          <w:p>
            <w:r/>
            <w:r>
              <w:rPr>
                <w:rFonts w:ascii="Times New Roman" w:hAnsi="Times New Roman"/>
                <w:b w:val="0"/>
                <w:sz w:val="20"/>
              </w:rPr>
              <w:t>GPT Codex 5.3</w:t>
            </w:r>
          </w:p>
        </w:tc>
        <w:tc>
          <w:tcPr>
            <w:tcW w:type="dxa" w:w="1872"/>
          </w:tcPr>
          <w:p>
            <w:r/>
            <w:r>
              <w:rPr>
                <w:rFonts w:ascii="Times New Roman" w:hAnsi="Times New Roman"/>
                <w:b w:val="0"/>
                <w:sz w:val="20"/>
              </w:rPr>
              <w:t>OpenAI</w:t>
            </w:r>
          </w:p>
        </w:tc>
        <w:tc>
          <w:tcPr>
            <w:tcW w:type="dxa" w:w="1872"/>
          </w:tcPr>
          <w:p>
            <w:r/>
            <w:r>
              <w:rPr>
                <w:rFonts w:ascii="Times New Roman" w:hAnsi="Times New Roman"/>
                <w:b w:val="0"/>
                <w:sz w:val="20"/>
              </w:rPr>
              <w:t>[exact version at extraction date]</w:t>
            </w:r>
          </w:p>
        </w:tc>
        <w:tc>
          <w:tcPr>
            <w:tcW w:type="dxa" w:w="1872"/>
          </w:tcPr>
          <w:p>
            <w:r/>
            <w:r>
              <w:rPr>
                <w:rFonts w:ascii="Times New Roman" w:hAnsi="Times New Roman"/>
                <w:b w:val="0"/>
                <w:sz w:val="20"/>
              </w:rPr>
              <w:t>128K tokens</w:t>
            </w:r>
          </w:p>
        </w:tc>
        <w:tc>
          <w:tcPr>
            <w:tcW w:type="dxa" w:w="1872"/>
          </w:tcPr>
          <w:p>
            <w:r/>
            <w:r>
              <w:rPr>
                <w:rFonts w:ascii="Times New Roman" w:hAnsi="Times New Roman"/>
                <w:b w:val="0"/>
                <w:sz w:val="20"/>
              </w:rPr>
              <w:t>API</w:t>
            </w:r>
          </w:p>
        </w:tc>
      </w:tr>
      <w:tr>
        <w:tc>
          <w:tcPr>
            <w:tcW w:type="dxa" w:w="1872"/>
          </w:tcPr>
          <w:p>
            <w:r/>
            <w:r>
              <w:rPr>
                <w:rFonts w:ascii="Times New Roman" w:hAnsi="Times New Roman"/>
                <w:b w:val="0"/>
                <w:sz w:val="20"/>
              </w:rPr>
              <w:t>Gemini CLI</w:t>
            </w:r>
          </w:p>
        </w:tc>
        <w:tc>
          <w:tcPr>
            <w:tcW w:type="dxa" w:w="1872"/>
          </w:tcPr>
          <w:p>
            <w:r/>
            <w:r>
              <w:rPr>
                <w:rFonts w:ascii="Times New Roman" w:hAnsi="Times New Roman"/>
                <w:b w:val="0"/>
                <w:sz w:val="20"/>
              </w:rPr>
              <w:t>Google</w:t>
            </w:r>
          </w:p>
        </w:tc>
        <w:tc>
          <w:tcPr>
            <w:tcW w:type="dxa" w:w="1872"/>
          </w:tcPr>
          <w:p>
            <w:r/>
            <w:r>
              <w:rPr>
                <w:rFonts w:ascii="Times New Roman" w:hAnsi="Times New Roman"/>
                <w:b w:val="0"/>
                <w:sz w:val="20"/>
              </w:rPr>
              <w:t>[exact version at extraction date]</w:t>
            </w:r>
          </w:p>
        </w:tc>
        <w:tc>
          <w:tcPr>
            <w:tcW w:type="dxa" w:w="1872"/>
          </w:tcPr>
          <w:p>
            <w:r/>
            <w:r>
              <w:rPr>
                <w:rFonts w:ascii="Times New Roman" w:hAnsi="Times New Roman"/>
                <w:b w:val="0"/>
                <w:sz w:val="20"/>
              </w:rPr>
              <w:t>[context] tokens</w:t>
            </w:r>
          </w:p>
        </w:tc>
        <w:tc>
          <w:tcPr>
            <w:tcW w:type="dxa" w:w="1872"/>
          </w:tcPr>
          <w:p>
            <w:r/>
            <w:r>
              <w:rPr>
                <w:rFonts w:ascii="Times New Roman" w:hAnsi="Times New Roman"/>
                <w:b w:val="0"/>
                <w:sz w:val="20"/>
              </w:rPr>
              <w:t>API</w:t>
            </w:r>
          </w:p>
        </w:tc>
      </w:tr>
    </w:tbl>
    <w:p>
      <w:r>
        <w:rPr>
          <w:b w:val="0"/>
          <w:i w:val="0"/>
        </w:rPr>
      </w:r>
    </w:p>
    <w:p>
      <w:r>
        <w:rPr>
          <w:b w:val="0"/>
          <w:i/>
        </w:rPr>
        <w:t>Note. Model versions were frozen at the start of extraction and documented for reproducibility. All extractions used temperature = 0 (deterministic output). Exact version strings, extraction dates, and inference parameters are reported in Supplementary Material C.</w:t>
      </w:r>
    </w:p>
    <w:p>
      <w:pPr>
        <w:pStyle w:val="Heading3"/>
      </w:pPr>
      <w:r>
        <w:t>Prompt Design</w:t>
      </w:r>
    </w:p>
    <w:p>
      <w:pPr>
        <w:ind w:firstLine="720"/>
      </w:pPr>
      <w:r>
        <w:rPr>
          <w:b w:val="0"/>
          <w:i w:val="0"/>
        </w:rPr>
        <w:t>Prompts were developed through an iterative design process aligned with established prompt engineering practices (Wei et al., 2022):</w:t>
      </w:r>
    </w:p>
    <w:p>
      <w:pPr>
        <w:ind w:firstLine="720"/>
      </w:pPr>
      <w:r>
        <w:rPr>
          <w:b w:val="0"/>
          <w:i w:val="0"/>
        </w:rPr>
        <w:t>1. Initial design: Structured prompts were created for each variable category (A-D), incorporating the variable definition from the coding manual, permissible values, coding rules, one worked example with chain-of-thought reasoning, and a JSON output format specification.</w:t>
      </w:r>
    </w:p>
    <w:p>
      <w:pPr>
        <w:ind w:firstLine="720"/>
      </w:pPr>
      <w:r>
        <w:rPr>
          <w:b w:val="0"/>
          <w:i w:val="0"/>
        </w:rPr>
        <w:t>2. Pilot testing: Prompts were tested on 10 studies not included in the 100-study evaluation sample. Outputs were compared against human coding, and prompts were refined to address systematic errors (e.g., failure to identify correlation matrices in appendices, incorrect construct mapping for non-standard scale labels).</w:t>
      </w:r>
    </w:p>
    <w:p>
      <w:pPr>
        <w:ind w:firstLine="720"/>
      </w:pPr>
      <w:r>
        <w:rPr>
          <w:b w:val="0"/>
          <w:i w:val="0"/>
        </w:rPr>
        <w:t>3. Standardization: Final prompts were identical across all three models to ensure comparability. The complete prompt library is available at [OSF Repository Link].</w:t>
      </w:r>
    </w:p>
    <w:p>
      <w:pPr>
        <w:ind w:firstLine="720"/>
      </w:pPr>
      <w:r>
        <w:rPr>
          <w:b w:val="0"/>
          <w:i w:val="0"/>
        </w:rPr>
        <w:t>Prompts were organized into four extraction modules corresponding to variable categories:</w:t>
      </w:r>
    </w:p>
    <w:p>
      <w:pPr>
        <w:pStyle w:val="Heading3"/>
      </w:pPr>
      <w:r>
        <w:t>Table 3</w:t>
      </w:r>
    </w:p>
    <w:p>
      <w:r>
        <w:rPr>
          <w:b w:val="0"/>
          <w:i/>
        </w:rPr>
        <w:t>Extraction Modules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Module</w:t>
            </w:r>
          </w:p>
        </w:tc>
        <w:tc>
          <w:tcPr>
            <w:tcW w:type="dxa" w:w="2340"/>
          </w:tcPr>
          <w:p>
            <w:r>
              <w:rPr>
                <w:b/>
                <w:sz w:val="20"/>
              </w:rPr>
              <w:t>Variables</w:t>
            </w:r>
          </w:p>
        </w:tc>
        <w:tc>
          <w:tcPr>
            <w:tcW w:type="dxa" w:w="2340"/>
          </w:tcPr>
          <w:p>
            <w:r>
              <w:rPr>
                <w:b/>
                <w:sz w:val="20"/>
              </w:rPr>
              <w:t>Input</w:t>
            </w:r>
          </w:p>
        </w:tc>
        <w:tc>
          <w:tcPr>
            <w:tcW w:type="dxa" w:w="2340"/>
          </w:tcPr>
          <w:p>
            <w:r>
              <w:rPr>
                <w:b/>
                <w:sz w:val="20"/>
              </w:rPr>
              <w:t>Output Format</w:t>
            </w:r>
          </w:p>
        </w:tc>
      </w:tr>
      <w:tr>
        <w:tc>
          <w:tcPr>
            <w:tcW w:type="dxa" w:w="2340"/>
          </w:tcPr>
          <w:p>
            <w:r/>
            <w:r>
              <w:rPr>
                <w:rFonts w:ascii="Times New Roman" w:hAnsi="Times New Roman"/>
                <w:b w:val="0"/>
                <w:sz w:val="20"/>
              </w:rPr>
              <w:t>A: Study Characteristics</w:t>
            </w:r>
          </w:p>
        </w:tc>
        <w:tc>
          <w:tcPr>
            <w:tcW w:type="dxa" w:w="2340"/>
          </w:tcPr>
          <w:p>
            <w:r/>
            <w:r>
              <w:rPr>
                <w:rFonts w:ascii="Times New Roman" w:hAnsi="Times New Roman"/>
                <w:b w:val="0"/>
                <w:sz w:val="20"/>
              </w:rPr>
              <w:t>6 bibliographic variables</w:t>
            </w:r>
          </w:p>
        </w:tc>
        <w:tc>
          <w:tcPr>
            <w:tcW w:type="dxa" w:w="2340"/>
          </w:tcPr>
          <w:p>
            <w:r/>
            <w:r>
              <w:rPr>
                <w:rFonts w:ascii="Times New Roman" w:hAnsi="Times New Roman"/>
                <w:b w:val="0"/>
                <w:sz w:val="20"/>
              </w:rPr>
              <w:t>Full-text PDF</w:t>
            </w:r>
          </w:p>
        </w:tc>
        <w:tc>
          <w:tcPr>
            <w:tcW w:type="dxa" w:w="2340"/>
          </w:tcPr>
          <w:p>
            <w:r/>
            <w:r>
              <w:rPr>
                <w:rFonts w:ascii="Times New Roman" w:hAnsi="Times New Roman"/>
                <w:b w:val="0"/>
                <w:sz w:val="20"/>
              </w:rPr>
              <w:t>JSON</w:t>
            </w:r>
          </w:p>
        </w:tc>
      </w:tr>
      <w:tr>
        <w:tc>
          <w:tcPr>
            <w:tcW w:type="dxa" w:w="2340"/>
          </w:tcPr>
          <w:p>
            <w:r/>
            <w:r>
              <w:rPr>
                <w:rFonts w:ascii="Times New Roman" w:hAnsi="Times New Roman"/>
                <w:b w:val="0"/>
                <w:sz w:val="20"/>
              </w:rPr>
              <w:t>B: Correlation Extraction</w:t>
            </w:r>
          </w:p>
        </w:tc>
        <w:tc>
          <w:tcPr>
            <w:tcW w:type="dxa" w:w="2340"/>
          </w:tcPr>
          <w:p>
            <w:r/>
            <w:r>
              <w:rPr>
                <w:rFonts w:ascii="Times New Roman" w:hAnsi="Times New Roman"/>
                <w:b w:val="0"/>
                <w:sz w:val="20"/>
              </w:rPr>
              <w:t>r values, n, reliability, r source</w:t>
            </w:r>
          </w:p>
        </w:tc>
        <w:tc>
          <w:tcPr>
            <w:tcW w:type="dxa" w:w="2340"/>
          </w:tcPr>
          <w:p>
            <w:r/>
            <w:r>
              <w:rPr>
                <w:rFonts w:ascii="Times New Roman" w:hAnsi="Times New Roman"/>
                <w:b w:val="0"/>
                <w:sz w:val="20"/>
              </w:rPr>
              <w:t>Full-text PDF (tables focus)</w:t>
            </w:r>
          </w:p>
        </w:tc>
        <w:tc>
          <w:tcPr>
            <w:tcW w:type="dxa" w:w="2340"/>
          </w:tcPr>
          <w:p>
            <w:r/>
            <w:r>
              <w:rPr>
                <w:rFonts w:ascii="Times New Roman" w:hAnsi="Times New Roman"/>
                <w:b w:val="0"/>
                <w:sz w:val="20"/>
              </w:rPr>
              <w:t>JSON with source location</w:t>
            </w:r>
          </w:p>
        </w:tc>
      </w:tr>
      <w:tr>
        <w:tc>
          <w:tcPr>
            <w:tcW w:type="dxa" w:w="2340"/>
          </w:tcPr>
          <w:p>
            <w:r/>
            <w:r>
              <w:rPr>
                <w:rFonts w:ascii="Times New Roman" w:hAnsi="Times New Roman"/>
                <w:b w:val="0"/>
                <w:sz w:val="20"/>
              </w:rPr>
              <w:t>C: Construct Mapping</w:t>
            </w:r>
          </w:p>
        </w:tc>
        <w:tc>
          <w:tcPr>
            <w:tcW w:type="dxa" w:w="2340"/>
          </w:tcPr>
          <w:p>
            <w:r/>
            <w:r>
              <w:rPr>
                <w:rFonts w:ascii="Times New Roman" w:hAnsi="Times New Roman"/>
                <w:b w:val="0"/>
                <w:sz w:val="20"/>
              </w:rPr>
              <w:t>Original label -&gt; 12 constructs, confidence</w:t>
            </w:r>
          </w:p>
        </w:tc>
        <w:tc>
          <w:tcPr>
            <w:tcW w:type="dxa" w:w="2340"/>
          </w:tcPr>
          <w:p>
            <w:r/>
            <w:r>
              <w:rPr>
                <w:rFonts w:ascii="Times New Roman" w:hAnsi="Times New Roman"/>
                <w:b w:val="0"/>
                <w:sz w:val="20"/>
              </w:rPr>
              <w:t>Module A+B output + coding manual rules</w:t>
            </w:r>
          </w:p>
        </w:tc>
        <w:tc>
          <w:tcPr>
            <w:tcW w:type="dxa" w:w="2340"/>
          </w:tcPr>
          <w:p>
            <w:r/>
            <w:r>
              <w:rPr>
                <w:rFonts w:ascii="Times New Roman" w:hAnsi="Times New Roman"/>
                <w:b w:val="0"/>
                <w:sz w:val="20"/>
              </w:rPr>
              <w:t>JSON with justification</w:t>
            </w:r>
          </w:p>
        </w:tc>
      </w:tr>
      <w:tr>
        <w:tc>
          <w:tcPr>
            <w:tcW w:type="dxa" w:w="2340"/>
          </w:tcPr>
          <w:p>
            <w:r/>
            <w:r>
              <w:rPr>
                <w:rFonts w:ascii="Times New Roman" w:hAnsi="Times New Roman"/>
                <w:b w:val="0"/>
                <w:sz w:val="20"/>
              </w:rPr>
              <w:t>D: Moderator Coding</w:t>
            </w:r>
          </w:p>
        </w:tc>
        <w:tc>
          <w:tcPr>
            <w:tcW w:type="dxa" w:w="2340"/>
          </w:tcPr>
          <w:p>
            <w:r/>
            <w:r>
              <w:rPr>
                <w:rFonts w:ascii="Times New Roman" w:hAnsi="Times New Roman"/>
                <w:b w:val="0"/>
                <w:sz w:val="20"/>
              </w:rPr>
              <w:t>7 moderator variables</w:t>
            </w:r>
          </w:p>
        </w:tc>
        <w:tc>
          <w:tcPr>
            <w:tcW w:type="dxa" w:w="2340"/>
          </w:tcPr>
          <w:p>
            <w:r/>
            <w:r>
              <w:rPr>
                <w:rFonts w:ascii="Times New Roman" w:hAnsi="Times New Roman"/>
                <w:b w:val="0"/>
                <w:sz w:val="20"/>
              </w:rPr>
              <w:t>Full-text PDF + Module A context</w:t>
            </w:r>
          </w:p>
        </w:tc>
        <w:tc>
          <w:tcPr>
            <w:tcW w:type="dxa" w:w="2340"/>
          </w:tcPr>
          <w:p>
            <w:r/>
            <w:r>
              <w:rPr>
                <w:rFonts w:ascii="Times New Roman" w:hAnsi="Times New Roman"/>
                <w:b w:val="0"/>
                <w:sz w:val="20"/>
              </w:rPr>
              <w:t>JSON</w:t>
            </w:r>
          </w:p>
        </w:tc>
      </w:tr>
    </w:tbl>
    <w:p>
      <w:pPr>
        <w:pStyle w:val="Heading3"/>
      </w:pPr>
      <w:r>
        <w:t>Extraction Procedure</w:t>
      </w:r>
    </w:p>
    <w:p>
      <w:pPr>
        <w:ind w:firstLine="720"/>
      </w:pPr>
      <w:r>
        <w:rPr>
          <w:b w:val="0"/>
          <w:i w:val="0"/>
        </w:rPr>
        <w:t>For each of the 100 studies in the evaluation sample:</w:t>
      </w:r>
    </w:p>
    <w:p>
      <w:pPr>
        <w:ind w:firstLine="720"/>
      </w:pPr>
      <w:r>
        <w:rPr>
          <w:b w:val="0"/>
          <w:i w:val="0"/>
        </w:rPr>
        <w:t>1. Full-text PDFs were programmatically converted to text using PyMuPDF, preserving table structures where possible. For studies where table extraction was incomplete, PDF pages containing correlation matrices were additionally processed as images.</w:t>
      </w:r>
    </w:p>
    <w:p>
      <w:pPr>
        <w:ind w:firstLine="720"/>
      </w:pPr>
      <w:r>
        <w:rPr>
          <w:b w:val="0"/>
          <w:i w:val="0"/>
        </w:rPr>
        <w:t>2. Modules A through D were executed sequentially for each model, with output from earlier modules provided as context for later modules where relevant (e.g., Module C received Module B's extracted construct labels).</w:t>
      </w:r>
    </w:p>
    <w:p>
      <w:pPr>
        <w:ind w:firstLine="720"/>
      </w:pPr>
      <w:r>
        <w:rPr>
          <w:b w:val="0"/>
          <w:i w:val="0"/>
        </w:rPr>
        <w:t>3. Each of the three models processed each study independently. No cross-model information sharing occurred during extraction.</w:t>
      </w:r>
    </w:p>
    <w:p>
      <w:pPr>
        <w:ind w:firstLine="720"/>
      </w:pPr>
      <w:r>
        <w:rPr>
          <w:b w:val="0"/>
          <w:i w:val="0"/>
        </w:rPr>
        <w:t>4. Raw model outputs (complete JSON responses) were logged with timestamps, token counts, and costs in a structured audit log.</w:t>
      </w:r>
    </w:p>
    <w:p>
      <w:pPr>
        <w:ind w:firstLine="720"/>
      </w:pPr>
      <w:r>
        <w:rPr>
          <w:b w:val="0"/>
          <w:i w:val="0"/>
        </w:rPr>
        <w:t>5. All extractions were conducted within a [PLACEHOLDER]-day window to minimize model version drift. Extraction dates: [PLACEHOLDER].</w:t>
      </w:r>
    </w:p>
    <w:p>
      <w:pPr>
        <w:pStyle w:val="Heading3"/>
      </w:pPr>
      <w:r>
        <w:t>Audit Trail and Reproducibility</w:t>
      </w:r>
    </w:p>
    <w:p>
      <w:pPr>
        <w:ind w:firstLine="720"/>
      </w:pPr>
      <w:r>
        <w:rPr>
          <w:b w:val="0"/>
          <w:i w:val="0"/>
        </w:rPr>
        <w:t>Following TRIPOD-LLM (Collins et al., 2025) and PRISMA-trAIce reporting standards, the following elements were recorded and are publicly available:</w:t>
      </w:r>
    </w:p>
    <w:p>
      <w:pPr>
        <w:ind w:firstLine="720"/>
      </w:pPr>
      <w:r>
        <w:rPr>
          <w:b w:val="0"/>
          <w:i w:val="0"/>
        </w:rPr>
        <w:t>Per-call logging: For each API call, we recorded study_id, model version, module (A-D), timestamp, prompt template ID, input tokens, output tokens, API cost (USD), wall-clock processing time (seconds), and the complete verbatim response.</w:t>
      </w:r>
    </w:p>
    <w:p>
      <w:pPr>
        <w:ind w:firstLine="720"/>
      </w:pPr>
      <w:r>
        <w:rPr>
          <w:b w:val="0"/>
          <w:i w:val="0"/>
        </w:rPr>
        <w:t>Extraction dataset: A master spreadsheet containing, for each study and each variable: the AI-extracted value (per model), the multi-model consensus value, the human gold standard value, the discrepancy flag, the discrepancy type (if applicable), and the final resolved value.</w:t>
      </w:r>
    </w:p>
    <w:p>
      <w:pPr>
        <w:ind w:firstLine="720"/>
      </w:pPr>
      <w:r>
        <w:rPr>
          <w:b w:val="0"/>
          <w:i w:val="0"/>
        </w:rPr>
        <w:t>Prompt library: All final prompt templates (Modules A-D) with worked examples, versioned and stored on OSF.</w:t>
      </w:r>
    </w:p>
    <w:p>
      <w:pPr>
        <w:ind w:firstLine="720"/>
      </w:pPr>
      <w:r>
        <w:rPr>
          <w:b w:val="0"/>
          <w:i w:val="0"/>
        </w:rPr>
        <w:t>Analysis code: R scripts for all reliability calculations, visualizations, and workflow analyses, available on GitHub.</w:t>
      </w:r>
    </w:p>
    <w:p>
      <w:pPr>
        <w:pStyle w:val="Heading2"/>
      </w:pPr>
      <w:r>
        <w:t>Analysis Plan</w:t>
      </w:r>
    </w:p>
    <w:p>
      <w:pPr>
        <w:pStyle w:val="Heading3"/>
      </w:pPr>
      <w:r>
        <w:t>RQ1: Overall Accuracy</w:t>
      </w:r>
    </w:p>
    <w:p>
      <w:pPr>
        <w:ind w:firstLine="720"/>
      </w:pPr>
      <w:r>
        <w:rPr>
          <w:b w:val="0"/>
          <w:i w:val="0"/>
        </w:rPr>
        <w:t>For each LLM, we computed: (a) exact match rate (proportion of values identical to the gold standard after formatting normalization); (b) within-threshold match rate (for continuous variables: |difference| &lt; 0.02 for correlations, |difference| &lt; 1 for sample sizes); (c) error rate (values differing beyond threshold); and (d) missing rate (variables the model failed to extract). Overall accuracy was computed as a weighted average across variable categories.</w:t>
      </w:r>
    </w:p>
    <w:p>
      <w:pPr>
        <w:pStyle w:val="Heading3"/>
      </w:pPr>
      <w:r>
        <w:t>RQ2: Variable-Type Analysis</w:t>
      </w:r>
    </w:p>
    <w:p>
      <w:pPr>
        <w:ind w:firstLine="720"/>
      </w:pPr>
      <w:r>
        <w:rPr>
          <w:b w:val="0"/>
          <w:i w:val="0"/>
        </w:rPr>
        <w:t>Accuracy metrics were computed separately for each variable category and for individual variables within categories:</w:t>
      </w:r>
    </w:p>
    <w:p>
      <w:pPr>
        <w:ind w:firstLine="720"/>
      </w:pPr>
      <w:r>
        <w:rPr>
          <w:b w:val="0"/>
          <w:i w:val="0"/>
        </w:rPr>
        <w:t>Categorical variables (construct mapping, moderators): Cohen's kappa and Gwet's AC2. We report both metrics because kappa is susceptible to the "kappa paradox" at high agreement rates with skewed marginal distributions (Gwet, 2008), whereas AC2 provides a more stable estimate. Gwet's AC2 was selected following Jensen et al. (2025), who demonstrated its superiority for systematic review extraction evaluation.</w:t>
      </w:r>
    </w:p>
    <w:p>
      <w:pPr>
        <w:ind w:firstLine="720"/>
      </w:pPr>
      <w:r>
        <w:rPr>
          <w:b w:val="0"/>
          <w:i w:val="0"/>
        </w:rPr>
        <w:t>Continuous variables (correlation coefficients, sample sizes): Two-way random-effects, single-measures ICC(2,1) and mean absolute error (MAE).</w:t>
      </w:r>
    </w:p>
    <w:p>
      <w:pPr>
        <w:ind w:firstLine="720"/>
      </w:pPr>
      <w:r>
        <w:rPr>
          <w:b w:val="0"/>
          <w:i w:val="0"/>
        </w:rPr>
        <w:t>Error taxonomy: Errors were classified into five types following Gartlehner et al. (2025): omission (not extracted), commission (incorrect value), partial (partially correct), format (correct value, wrong format), and hallucination (plausible but fabricated value not in source).</w:t>
      </w:r>
    </w:p>
    <w:p>
      <w:pPr>
        <w:pStyle w:val="Heading3"/>
      </w:pPr>
      <w:r>
        <w:t>RQ3: Multi-Model Consensus</w:t>
      </w:r>
    </w:p>
    <w:p>
      <w:pPr>
        <w:ind w:firstLine="720"/>
      </w:pPr>
      <w:r>
        <w:rPr>
          <w:b w:val="0"/>
          <w:i w:val="0"/>
        </w:rPr>
        <w:t>Three consensus strategies were evaluated:</w:t>
      </w:r>
    </w:p>
    <w:p>
      <w:pPr>
        <w:ind w:firstLine="720"/>
      </w:pPr>
      <w:r>
        <w:rPr>
          <w:b w:val="0"/>
          <w:i w:val="0"/>
        </w:rPr>
        <w:t>1. Majority vote (categorical): Accept the value agreed upon by at least 2 of 3 models. If all three disagree, flag for human review.</w:t>
      </w:r>
    </w:p>
    <w:p>
      <w:pPr>
        <w:ind w:firstLine="720"/>
      </w:pPr>
      <w:r>
        <w:rPr>
          <w:b w:val="0"/>
          <w:i w:val="0"/>
        </w:rPr>
        <w:t>2. Median value (continuous): Accept the median of three model estimates for correlation values. Flag for human review if any estimate deviates by more than 0.05 from the median.</w:t>
      </w:r>
    </w:p>
    <w:p>
      <w:pPr>
        <w:ind w:firstLine="720"/>
      </w:pPr>
      <w:r>
        <w:rPr>
          <w:b w:val="0"/>
          <w:i w:val="0"/>
        </w:rPr>
        <w:t>3. Unanimous agreement: Accept only when all three models produce identical values; flag all disagreements for human review.</w:t>
      </w:r>
    </w:p>
    <w:p>
      <w:pPr>
        <w:ind w:firstLine="720"/>
      </w:pPr>
      <w:r>
        <w:rPr>
          <w:b w:val="0"/>
          <w:i w:val="0"/>
        </w:rPr>
        <w:t>For each strategy, we computed accuracy against the gold standard and the proportion of items flagged for human review ("human review burden").</w:t>
      </w:r>
    </w:p>
    <w:p>
      <w:pPr>
        <w:pStyle w:val="Heading3"/>
      </w:pPr>
      <w:r>
        <w:t>RQ4: Workflow Optimization</w:t>
      </w:r>
    </w:p>
    <w:p>
      <w:pPr>
        <w:ind w:firstLine="720"/>
      </w:pPr>
      <w:r>
        <w:rPr>
          <w:b w:val="0"/>
          <w:i w:val="0"/>
        </w:rPr>
        <w:t>We modeled the total cost (time and monetary) of five workflows:</w:t>
      </w:r>
    </w:p>
    <w:p>
      <w:pPr>
        <w:pStyle w:val="Heading3"/>
      </w:pPr>
      <w:r>
        <w:t>Table 4</w:t>
      </w:r>
    </w:p>
    <w:p>
      <w:r>
        <w:rPr>
          <w:b w:val="0"/>
          <w:i/>
        </w:rPr>
        <w:t>Candidate Human-AI Workflows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Workflow</w:t>
            </w:r>
          </w:p>
        </w:tc>
        <w:tc>
          <w:tcPr>
            <w:tcW w:type="dxa" w:w="4680"/>
          </w:tcPr>
          <w:p>
            <w:r>
              <w:rPr>
                <w:b/>
                <w:sz w:val="20"/>
              </w:rPr>
              <w:t>Description</w:t>
            </w:r>
          </w:p>
        </w:tc>
      </w:tr>
      <w:tr>
        <w:tc>
          <w:tcPr>
            <w:tcW w:type="dxa" w:w="4680"/>
          </w:tcPr>
          <w:p>
            <w:r/>
            <w:r>
              <w:rPr>
                <w:rFonts w:ascii="Times New Roman" w:hAnsi="Times New Roman"/>
                <w:b w:val="0"/>
                <w:sz w:val="20"/>
              </w:rPr>
              <w:t>W1: Full human</w:t>
            </w:r>
          </w:p>
        </w:tc>
        <w:tc>
          <w:tcPr>
            <w:tcW w:type="dxa" w:w="4680"/>
          </w:tcPr>
          <w:p>
            <w:r/>
            <w:r>
              <w:rPr>
                <w:rFonts w:ascii="Times New Roman" w:hAnsi="Times New Roman"/>
                <w:b w:val="0"/>
                <w:sz w:val="20"/>
              </w:rPr>
              <w:t>Two independent human coders + consensus resolution (current best practice)</w:t>
            </w:r>
          </w:p>
        </w:tc>
      </w:tr>
      <w:tr>
        <w:tc>
          <w:tcPr>
            <w:tcW w:type="dxa" w:w="4680"/>
          </w:tcPr>
          <w:p>
            <w:r/>
            <w:r>
              <w:rPr>
                <w:rFonts w:ascii="Times New Roman" w:hAnsi="Times New Roman"/>
                <w:b w:val="0"/>
                <w:sz w:val="20"/>
              </w:rPr>
              <w:t>W2: Single AI + full human verification</w:t>
            </w:r>
          </w:p>
        </w:tc>
        <w:tc>
          <w:tcPr>
            <w:tcW w:type="dxa" w:w="4680"/>
          </w:tcPr>
          <w:p>
            <w:r/>
            <w:r>
              <w:rPr>
                <w:rFonts w:ascii="Times New Roman" w:hAnsi="Times New Roman"/>
                <w:b w:val="0"/>
                <w:sz w:val="20"/>
              </w:rPr>
              <w:t>One LLM extracts; human verifies all fields against source documents</w:t>
            </w:r>
          </w:p>
        </w:tc>
      </w:tr>
      <w:tr>
        <w:tc>
          <w:tcPr>
            <w:tcW w:type="dxa" w:w="4680"/>
          </w:tcPr>
          <w:p>
            <w:r/>
            <w:r>
              <w:rPr>
                <w:rFonts w:ascii="Times New Roman" w:hAnsi="Times New Roman"/>
                <w:b w:val="0"/>
                <w:sz w:val="20"/>
              </w:rPr>
              <w:t>W3: Single AI + selective verification</w:t>
            </w:r>
          </w:p>
        </w:tc>
        <w:tc>
          <w:tcPr>
            <w:tcW w:type="dxa" w:w="4680"/>
          </w:tcPr>
          <w:p>
            <w:r/>
            <w:r>
              <w:rPr>
                <w:rFonts w:ascii="Times New Roman" w:hAnsi="Times New Roman"/>
                <w:b w:val="0"/>
                <w:sz w:val="20"/>
              </w:rPr>
              <w:t>One LLM extracts; human verifies only flagged or complex fields</w:t>
            </w:r>
          </w:p>
        </w:tc>
      </w:tr>
      <w:tr>
        <w:tc>
          <w:tcPr>
            <w:tcW w:type="dxa" w:w="4680"/>
          </w:tcPr>
          <w:p>
            <w:r/>
            <w:r>
              <w:rPr>
                <w:rFonts w:ascii="Times New Roman" w:hAnsi="Times New Roman"/>
                <w:b w:val="0"/>
                <w:sz w:val="20"/>
              </w:rPr>
              <w:t>W4: Multi-AI consensus + selective verification</w:t>
            </w:r>
          </w:p>
        </w:tc>
        <w:tc>
          <w:tcPr>
            <w:tcW w:type="dxa" w:w="4680"/>
          </w:tcPr>
          <w:p>
            <w:r/>
            <w:r>
              <w:rPr>
                <w:rFonts w:ascii="Times New Roman" w:hAnsi="Times New Roman"/>
                <w:b w:val="0"/>
                <w:sz w:val="20"/>
              </w:rPr>
              <w:t>Three LLMs extract; consensus for agreement; human review for disagreement</w:t>
            </w:r>
          </w:p>
        </w:tc>
      </w:tr>
      <w:tr>
        <w:tc>
          <w:tcPr>
            <w:tcW w:type="dxa" w:w="4680"/>
          </w:tcPr>
          <w:p>
            <w:r/>
            <w:r>
              <w:rPr>
                <w:rFonts w:ascii="Times New Roman" w:hAnsi="Times New Roman"/>
                <w:b w:val="0"/>
                <w:sz w:val="20"/>
              </w:rPr>
              <w:t>W5: AI-first with human audit</w:t>
            </w:r>
          </w:p>
        </w:tc>
        <w:tc>
          <w:tcPr>
            <w:tcW w:type="dxa" w:w="4680"/>
          </w:tcPr>
          <w:p>
            <w:r/>
            <w:r>
              <w:rPr>
                <w:rFonts w:ascii="Times New Roman" w:hAnsi="Times New Roman"/>
                <w:b w:val="0"/>
                <w:sz w:val="20"/>
              </w:rPr>
              <w:t>Multi-AI consensus accepted for high-reliability variable types; human codes low-reliability types from scratch</w:t>
            </w:r>
          </w:p>
        </w:tc>
      </w:tr>
    </w:tbl>
    <w:p>
      <w:r>
        <w:rPr>
          <w:b w:val="0"/>
          <w:i w:val="0"/>
        </w:rPr>
      </w:r>
    </w:p>
    <w:p>
      <w:pPr>
        <w:ind w:firstLine="720"/>
      </w:pPr>
      <w:r>
        <w:rPr>
          <w:b w:val="0"/>
          <w:i w:val="0"/>
        </w:rPr>
        <w:t>The optimal workflow was identified as the one maximizing accuracy subject to minimum reliability thresholds (kappa &gt; 0.80 for categorical variables and ICC &gt; 0.90 for continuous variables) while minimizing total cost (API fees + estimated human labor at $30/hour).</w:t>
      </w:r>
    </w:p>
    <w:p>
      <w:r>
        <w:br w:type="page"/>
      </w:r>
    </w:p>
    <w:p>
      <w:pPr>
        <w:pStyle w:val="Heading1"/>
      </w:pPr>
      <w:r>
        <w:t>Results</w:t>
      </w:r>
    </w:p>
    <w:p>
      <w:pPr>
        <w:pStyle w:val="Heading2"/>
      </w:pPr>
      <w:r>
        <w:t>Gold Standard Descriptive Statistics</w:t>
      </w:r>
    </w:p>
    <w:p>
      <w:r>
        <w:rPr>
          <w:b/>
          <w:color w:val="FF0000"/>
        </w:rPr>
        <w:t>[PLACEHOLDER: Report characteristics of the 100-study evaluation sample]</w:t>
      </w:r>
    </w:p>
    <w:p>
      <w:r>
        <w:rPr>
          <w:b/>
          <w:color w:val="FF0000"/>
        </w:rPr>
        <w:t>[Include: mean number of construct pairs per study, distribution of variable types, sample size range]</w:t>
      </w:r>
    </w:p>
    <w:p>
      <w:pPr>
        <w:pStyle w:val="Heading2"/>
      </w:pPr>
      <w:r>
        <w:t>Human Inter-Rater Reliability</w:t>
      </w:r>
    </w:p>
    <w:p>
      <w:r>
        <w:rPr>
          <w:b/>
          <w:color w:val="FF0000"/>
        </w:rPr>
        <w:t>[PLACEHOLDER: Report human-human IRR statistics]</w:t>
      </w:r>
    </w:p>
    <w:p>
      <w:pPr>
        <w:pStyle w:val="Heading3"/>
      </w:pPr>
      <w:r>
        <w:t>Table 5</w:t>
      </w:r>
    </w:p>
    <w:p>
      <w:r>
        <w:rPr>
          <w:b w:val="0"/>
          <w:i/>
        </w:rPr>
        <w:t>Human Inter-Rater Reliability for the Gold Standard (k = 100 studies)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Variable Category</w:t>
            </w:r>
          </w:p>
        </w:tc>
        <w:tc>
          <w:tcPr>
            <w:tcW w:type="dxa" w:w="2340"/>
          </w:tcPr>
          <w:p>
            <w:r>
              <w:rPr>
                <w:b/>
                <w:sz w:val="20"/>
              </w:rPr>
              <w:t>Metric</w:t>
            </w:r>
          </w:p>
        </w:tc>
        <w:tc>
          <w:tcPr>
            <w:tcW w:type="dxa" w:w="2340"/>
          </w:tcPr>
          <w:p>
            <w:r>
              <w:rPr>
                <w:b/>
                <w:sz w:val="20"/>
              </w:rPr>
              <w:t>Value</w:t>
            </w:r>
          </w:p>
        </w:tc>
        <w:tc>
          <w:tcPr>
            <w:tcW w:type="dxa" w:w="2340"/>
          </w:tcPr>
          <w:p>
            <w:r>
              <w:rPr>
                <w:b/>
                <w:sz w:val="20"/>
              </w:rPr>
              <w:t>Interpretation</w:t>
            </w:r>
          </w:p>
        </w:tc>
      </w:tr>
      <w:tr>
        <w:tc>
          <w:tcPr>
            <w:tcW w:type="dxa" w:w="2340"/>
          </w:tcPr>
          <w:p>
            <w:r/>
            <w:r>
              <w:rPr>
                <w:rFonts w:ascii="Times New Roman" w:hAnsi="Times New Roman"/>
                <w:b w:val="0"/>
                <w:sz w:val="20"/>
              </w:rPr>
              <w:t>Bibliographic (categorical)</w:t>
            </w:r>
          </w:p>
        </w:tc>
        <w:tc>
          <w:tcPr>
            <w:tcW w:type="dxa" w:w="2340"/>
          </w:tcPr>
          <w:p>
            <w:r/>
            <w:r>
              <w:rPr>
                <w:rFonts w:ascii="Times New Roman" w:hAnsi="Times New Roman"/>
                <w:b w:val="0"/>
                <w:sz w:val="20"/>
              </w:rPr>
              <w:t>Cohen's kappa</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Correlation coefficients</w:t>
            </w:r>
          </w:p>
        </w:tc>
        <w:tc>
          <w:tcPr>
            <w:tcW w:type="dxa" w:w="2340"/>
          </w:tcPr>
          <w:p>
            <w:r/>
            <w:r>
              <w:rPr>
                <w:rFonts w:ascii="Times New Roman" w:hAnsi="Times New Roman"/>
                <w:b w:val="0"/>
                <w:sz w:val="20"/>
              </w:rPr>
              <w:t>ICC(2,1)</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Correlation coefficients</w:t>
            </w:r>
          </w:p>
        </w:tc>
        <w:tc>
          <w:tcPr>
            <w:tcW w:type="dxa" w:w="2340"/>
          </w:tcPr>
          <w:p>
            <w:r/>
            <w:r>
              <w:rPr>
                <w:rFonts w:ascii="Times New Roman" w:hAnsi="Times New Roman"/>
                <w:b w:val="0"/>
                <w:sz w:val="20"/>
              </w:rPr>
              <w:t>MAE</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Construct mapping</w:t>
            </w:r>
          </w:p>
        </w:tc>
        <w:tc>
          <w:tcPr>
            <w:tcW w:type="dxa" w:w="2340"/>
          </w:tcPr>
          <w:p>
            <w:r/>
            <w:r>
              <w:rPr>
                <w:rFonts w:ascii="Times New Roman" w:hAnsi="Times New Roman"/>
                <w:b w:val="0"/>
                <w:sz w:val="20"/>
              </w:rPr>
              <w:t>Cohen's kappa</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Construct mapping</w:t>
            </w:r>
          </w:p>
        </w:tc>
        <w:tc>
          <w:tcPr>
            <w:tcW w:type="dxa" w:w="2340"/>
          </w:tcPr>
          <w:p>
            <w:r/>
            <w:r>
              <w:rPr>
                <w:rFonts w:ascii="Times New Roman" w:hAnsi="Times New Roman"/>
                <w:b w:val="0"/>
                <w:sz w:val="20"/>
              </w:rPr>
              <w:t>Gwet's AC2</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Moderator variables</w:t>
            </w:r>
          </w:p>
        </w:tc>
        <w:tc>
          <w:tcPr>
            <w:tcW w:type="dxa" w:w="2340"/>
          </w:tcPr>
          <w:p>
            <w:r/>
            <w:r>
              <w:rPr>
                <w:rFonts w:ascii="Times New Roman" w:hAnsi="Times New Roman"/>
                <w:b w:val="0"/>
                <w:sz w:val="20"/>
              </w:rPr>
              <w:t>Cohen's kappa</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bl>
    <w:p>
      <w:pPr>
        <w:pStyle w:val="Heading2"/>
      </w:pPr>
      <w:r>
        <w:t>RQ1: Overall LLM Accuracy</w:t>
      </w:r>
    </w:p>
    <w:p>
      <w:r>
        <w:rPr>
          <w:b/>
          <w:color w:val="FF0000"/>
        </w:rPr>
        <w:t>[PLACEHOLDER: Report overall accuracy table by model]</w:t>
      </w:r>
    </w:p>
    <w:p>
      <w:pPr>
        <w:pStyle w:val="Heading3"/>
      </w:pPr>
      <w:r>
        <w:t>Table 6</w:t>
      </w:r>
    </w:p>
    <w:p>
      <w:r>
        <w:rPr>
          <w:b w:val="0"/>
          <w:i/>
        </w:rPr>
        <w:t>Overall Extraction Accuracy by Model (k = 100 studies, ~3,000 data elements)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Model</w:t>
            </w:r>
          </w:p>
        </w:tc>
        <w:tc>
          <w:tcPr>
            <w:tcW w:type="dxa" w:w="1560"/>
          </w:tcPr>
          <w:p>
            <w:r>
              <w:rPr>
                <w:b/>
                <w:sz w:val="20"/>
              </w:rPr>
              <w:t>Exact Match</w:t>
            </w:r>
          </w:p>
        </w:tc>
        <w:tc>
          <w:tcPr>
            <w:tcW w:type="dxa" w:w="1560"/>
          </w:tcPr>
          <w:p>
            <w:r>
              <w:rPr>
                <w:b/>
                <w:sz w:val="20"/>
              </w:rPr>
              <w:t>Within-Threshold</w:t>
            </w:r>
          </w:p>
        </w:tc>
        <w:tc>
          <w:tcPr>
            <w:tcW w:type="dxa" w:w="1560"/>
          </w:tcPr>
          <w:p>
            <w:r>
              <w:rPr>
                <w:b/>
                <w:sz w:val="20"/>
              </w:rPr>
              <w:t>Error Rate</w:t>
            </w:r>
          </w:p>
        </w:tc>
        <w:tc>
          <w:tcPr>
            <w:tcW w:type="dxa" w:w="1560"/>
          </w:tcPr>
          <w:p>
            <w:r>
              <w:rPr>
                <w:b/>
                <w:sz w:val="20"/>
              </w:rPr>
              <w:t>Missing Rate</w:t>
            </w:r>
          </w:p>
        </w:tc>
        <w:tc>
          <w:tcPr>
            <w:tcW w:type="dxa" w:w="1560"/>
          </w:tcPr>
          <w:p>
            <w:r>
              <w:rPr>
                <w:b/>
                <w:sz w:val="20"/>
              </w:rPr>
              <w:t>Weighted Accuracy</w:t>
            </w:r>
          </w:p>
        </w:tc>
      </w:tr>
      <w:tr>
        <w:tc>
          <w:tcPr>
            <w:tcW w:type="dxa" w:w="1560"/>
          </w:tcPr>
          <w:p>
            <w:r/>
            <w:r>
              <w:rPr>
                <w:rFonts w:ascii="Times New Roman" w:hAnsi="Times New Roman"/>
                <w:b w:val="0"/>
                <w:sz w:val="20"/>
              </w:rPr>
              <w:t>Claude Sonnet 4.6</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r>
      <w:tr>
        <w:tc>
          <w:tcPr>
            <w:tcW w:type="dxa" w:w="1560"/>
          </w:tcPr>
          <w:p>
            <w:r/>
            <w:r>
              <w:rPr>
                <w:rFonts w:ascii="Times New Roman" w:hAnsi="Times New Roman"/>
                <w:b w:val="0"/>
                <w:sz w:val="20"/>
              </w:rPr>
              <w:t>GPT Codex 5.3</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r>
      <w:tr>
        <w:tc>
          <w:tcPr>
            <w:tcW w:type="dxa" w:w="1560"/>
          </w:tcPr>
          <w:p>
            <w:r/>
            <w:r>
              <w:rPr>
                <w:rFonts w:ascii="Times New Roman" w:hAnsi="Times New Roman"/>
                <w:b w:val="0"/>
                <w:sz w:val="20"/>
              </w:rPr>
              <w:t>Gemini CLI</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c>
          <w:tcPr>
            <w:tcW w:type="dxa" w:w="1560"/>
          </w:tcPr>
          <w:p>
            <w:r/>
            <w:r>
              <w:rPr>
                <w:rFonts w:ascii="Times New Roman" w:hAnsi="Times New Roman"/>
                <w:b w:val="0"/>
                <w:sz w:val="20"/>
              </w:rPr>
              <w:t>[PH]</w:t>
            </w:r>
          </w:p>
        </w:tc>
      </w:tr>
    </w:tbl>
    <w:p>
      <w:pPr>
        <w:pStyle w:val="Heading2"/>
      </w:pPr>
      <w:r>
        <w:t>RQ2: Variable-Type Analysis</w:t>
      </w:r>
    </w:p>
    <w:p>
      <w:r>
        <w:rPr>
          <w:b/>
          <w:color w:val="FF0000"/>
        </w:rPr>
        <w:t>[PLACEHOLDER: Report variable-category breakdown]</w:t>
      </w:r>
    </w:p>
    <w:p>
      <w:pPr>
        <w:pStyle w:val="Heading3"/>
      </w:pPr>
      <w:r>
        <w:t>Table 7</w:t>
      </w:r>
    </w:p>
    <w:p>
      <w:r>
        <w:rPr>
          <w:b w:val="0"/>
          <w:i/>
        </w:rPr>
        <w:t>Agreement with Gold Standard by Variable Category and Model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Variable Category</w:t>
            </w:r>
          </w:p>
        </w:tc>
        <w:tc>
          <w:tcPr>
            <w:tcW w:type="dxa" w:w="1872"/>
          </w:tcPr>
          <w:p>
            <w:r>
              <w:rPr>
                <w:b/>
                <w:sz w:val="20"/>
              </w:rPr>
              <w:t>Metric</w:t>
            </w:r>
          </w:p>
        </w:tc>
        <w:tc>
          <w:tcPr>
            <w:tcW w:type="dxa" w:w="1872"/>
          </w:tcPr>
          <w:p>
            <w:r>
              <w:rPr>
                <w:b/>
                <w:sz w:val="20"/>
              </w:rPr>
              <w:t>Claude Sonnet 4.6</w:t>
            </w:r>
          </w:p>
        </w:tc>
        <w:tc>
          <w:tcPr>
            <w:tcW w:type="dxa" w:w="1872"/>
          </w:tcPr>
          <w:p>
            <w:r>
              <w:rPr>
                <w:b/>
                <w:sz w:val="20"/>
              </w:rPr>
              <w:t>GPT Codex 5.3</w:t>
            </w:r>
          </w:p>
        </w:tc>
        <w:tc>
          <w:tcPr>
            <w:tcW w:type="dxa" w:w="1872"/>
          </w:tcPr>
          <w:p>
            <w:r>
              <w:rPr>
                <w:b/>
                <w:sz w:val="20"/>
              </w:rPr>
              <w:t>Gemini CLI</w:t>
            </w:r>
          </w:p>
        </w:tc>
      </w:tr>
      <w:tr>
        <w:tc>
          <w:tcPr>
            <w:tcW w:type="dxa" w:w="1872"/>
          </w:tcPr>
          <w:p>
            <w:r/>
            <w:r>
              <w:rPr>
                <w:rFonts w:ascii="Times New Roman" w:hAnsi="Times New Roman"/>
                <w:b w:val="0"/>
                <w:sz w:val="20"/>
              </w:rPr>
              <w:t>A: Bibliographic</w:t>
            </w:r>
          </w:p>
        </w:tc>
        <w:tc>
          <w:tcPr>
            <w:tcW w:type="dxa" w:w="1872"/>
          </w:tcPr>
          <w:p>
            <w:r/>
            <w:r>
              <w:rPr>
                <w:rFonts w:ascii="Times New Roman" w:hAnsi="Times New Roman"/>
                <w:b w:val="0"/>
                <w:sz w:val="20"/>
              </w:rPr>
              <w:t>Exact match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B: Correlations (r)</w:t>
            </w:r>
          </w:p>
        </w:tc>
        <w:tc>
          <w:tcPr>
            <w:tcW w:type="dxa" w:w="1872"/>
          </w:tcPr>
          <w:p>
            <w:r/>
            <w:r>
              <w:rPr>
                <w:rFonts w:ascii="Times New Roman" w:hAnsi="Times New Roman"/>
                <w:b w:val="0"/>
                <w:sz w:val="20"/>
              </w:rPr>
              <w:t>ICC(2,1)</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B: Correlations (r)</w:t>
            </w:r>
          </w:p>
        </w:tc>
        <w:tc>
          <w:tcPr>
            <w:tcW w:type="dxa" w:w="1872"/>
          </w:tcPr>
          <w:p>
            <w:r/>
            <w:r>
              <w:rPr>
                <w:rFonts w:ascii="Times New Roman" w:hAnsi="Times New Roman"/>
                <w:b w:val="0"/>
                <w:sz w:val="20"/>
              </w:rPr>
              <w:t>MAE</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B: Sample sizes (n)</w:t>
            </w:r>
          </w:p>
        </w:tc>
        <w:tc>
          <w:tcPr>
            <w:tcW w:type="dxa" w:w="1872"/>
          </w:tcPr>
          <w:p>
            <w:r/>
            <w:r>
              <w:rPr>
                <w:rFonts w:ascii="Times New Roman" w:hAnsi="Times New Roman"/>
                <w:b w:val="0"/>
                <w:sz w:val="20"/>
              </w:rPr>
              <w:t>ICC(2,1)</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B: Reliability (alpha)</w:t>
            </w:r>
          </w:p>
        </w:tc>
        <w:tc>
          <w:tcPr>
            <w:tcW w:type="dxa" w:w="1872"/>
          </w:tcPr>
          <w:p>
            <w:r/>
            <w:r>
              <w:rPr>
                <w:rFonts w:ascii="Times New Roman" w:hAnsi="Times New Roman"/>
                <w:b w:val="0"/>
                <w:sz w:val="20"/>
              </w:rPr>
              <w:t>ICC(2,1)</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C: Construct mapping</w:t>
            </w:r>
          </w:p>
        </w:tc>
        <w:tc>
          <w:tcPr>
            <w:tcW w:type="dxa" w:w="1872"/>
          </w:tcPr>
          <w:p>
            <w:r/>
            <w:r>
              <w:rPr>
                <w:rFonts w:ascii="Times New Roman" w:hAnsi="Times New Roman"/>
                <w:b w:val="0"/>
                <w:sz w:val="20"/>
              </w:rPr>
              <w:t>Kappa</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C: Construct mapping</w:t>
            </w:r>
          </w:p>
        </w:tc>
        <w:tc>
          <w:tcPr>
            <w:tcW w:type="dxa" w:w="1872"/>
          </w:tcPr>
          <w:p>
            <w:r/>
            <w:r>
              <w:rPr>
                <w:rFonts w:ascii="Times New Roman" w:hAnsi="Times New Roman"/>
                <w:b w:val="0"/>
                <w:sz w:val="20"/>
              </w:rPr>
              <w:t>Gwet's AC2</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D: Moderators</w:t>
            </w:r>
          </w:p>
        </w:tc>
        <w:tc>
          <w:tcPr>
            <w:tcW w:type="dxa" w:w="1872"/>
          </w:tcPr>
          <w:p>
            <w:r/>
            <w:r>
              <w:rPr>
                <w:rFonts w:ascii="Times New Roman" w:hAnsi="Times New Roman"/>
                <w:b w:val="0"/>
                <w:sz w:val="20"/>
              </w:rPr>
              <w:t>Kappa</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bl>
    <w:p>
      <w:r>
        <w:rPr>
          <w:b/>
          <w:color w:val="FF0000"/>
        </w:rPr>
        <w:t>[PLACEHOLDER: Error taxonomy analysis - Table 8]</w:t>
      </w:r>
    </w:p>
    <w:p>
      <w:pPr>
        <w:pStyle w:val="Heading3"/>
      </w:pPr>
      <w:r>
        <w:t>Table 8</w:t>
      </w:r>
    </w:p>
    <w:p>
      <w:r>
        <w:rPr>
          <w:b w:val="0"/>
          <w:i/>
        </w:rPr>
        <w:t>Error Type Distribution by 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Error Type</w:t>
            </w:r>
          </w:p>
        </w:tc>
        <w:tc>
          <w:tcPr>
            <w:tcW w:type="dxa" w:w="2340"/>
          </w:tcPr>
          <w:p>
            <w:r>
              <w:rPr>
                <w:b/>
                <w:sz w:val="20"/>
              </w:rPr>
              <w:t>Claude Sonnet 4.6</w:t>
            </w:r>
          </w:p>
        </w:tc>
        <w:tc>
          <w:tcPr>
            <w:tcW w:type="dxa" w:w="2340"/>
          </w:tcPr>
          <w:p>
            <w:r>
              <w:rPr>
                <w:b/>
                <w:sz w:val="20"/>
              </w:rPr>
              <w:t>GPT Codex 5.3</w:t>
            </w:r>
          </w:p>
        </w:tc>
        <w:tc>
          <w:tcPr>
            <w:tcW w:type="dxa" w:w="2340"/>
          </w:tcPr>
          <w:p>
            <w:r>
              <w:rPr>
                <w:b/>
                <w:sz w:val="20"/>
              </w:rPr>
              <w:t>Gemini CLI</w:t>
            </w:r>
          </w:p>
        </w:tc>
      </w:tr>
      <w:tr>
        <w:tc>
          <w:tcPr>
            <w:tcW w:type="dxa" w:w="2340"/>
          </w:tcPr>
          <w:p>
            <w:r/>
            <w:r>
              <w:rPr>
                <w:rFonts w:ascii="Times New Roman" w:hAnsi="Times New Roman"/>
                <w:b w:val="0"/>
                <w:sz w:val="20"/>
              </w:rPr>
              <w:t>Omission</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Commission</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Partial</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Format</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Hallucination</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bl>
    <w:p>
      <w:pPr>
        <w:pStyle w:val="Heading2"/>
      </w:pPr>
      <w:r>
        <w:t>RQ3: Multi-Model Consensus</w:t>
      </w:r>
    </w:p>
    <w:p>
      <w:r>
        <w:rPr>
          <w:b/>
          <w:color w:val="FF0000"/>
        </w:rPr>
        <w:t>[PLACEHOLDER: Report consensus performance]</w:t>
      </w:r>
    </w:p>
    <w:p>
      <w:pPr>
        <w:pStyle w:val="Heading3"/>
      </w:pPr>
      <w:r>
        <w:t>Table 9</w:t>
      </w:r>
    </w:p>
    <w:p>
      <w:r>
        <w:rPr>
          <w:b w:val="0"/>
          <w:i/>
        </w:rPr>
        <w:t>Multi-Model Consensus Performance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Strategy</w:t>
            </w:r>
          </w:p>
        </w:tc>
        <w:tc>
          <w:tcPr>
            <w:tcW w:type="dxa" w:w="2340"/>
          </w:tcPr>
          <w:p>
            <w:r>
              <w:rPr>
                <w:b/>
                <w:sz w:val="20"/>
              </w:rPr>
              <w:t>Accuracy</w:t>
            </w:r>
          </w:p>
        </w:tc>
        <w:tc>
          <w:tcPr>
            <w:tcW w:type="dxa" w:w="2340"/>
          </w:tcPr>
          <w:p>
            <w:r>
              <w:rPr>
                <w:b/>
                <w:sz w:val="20"/>
              </w:rPr>
              <w:t>Human Review Burden</w:t>
            </w:r>
          </w:p>
        </w:tc>
        <w:tc>
          <w:tcPr>
            <w:tcW w:type="dxa" w:w="2340"/>
          </w:tcPr>
          <w:p>
            <w:r>
              <w:rPr>
                <w:b/>
                <w:sz w:val="20"/>
              </w:rPr>
              <w:t>Effective Accuracy</w:t>
            </w:r>
          </w:p>
        </w:tc>
      </w:tr>
      <w:tr>
        <w:tc>
          <w:tcPr>
            <w:tcW w:type="dxa" w:w="2340"/>
          </w:tcPr>
          <w:p>
            <w:r/>
            <w:r>
              <w:rPr>
                <w:rFonts w:ascii="Times New Roman" w:hAnsi="Times New Roman"/>
                <w:b w:val="0"/>
                <w:sz w:val="20"/>
              </w:rPr>
              <w:t>Majority vote (categorical)</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Median value (continuous)</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Unanimous agreement</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[PH]</w:t>
            </w:r>
          </w:p>
        </w:tc>
      </w:tr>
      <w:tr>
        <w:tc>
          <w:tcPr>
            <w:tcW w:type="dxa" w:w="2340"/>
          </w:tcPr>
          <w:p>
            <w:r/>
            <w:r>
              <w:rPr>
                <w:rFonts w:ascii="Times New Roman" w:hAnsi="Times New Roman"/>
                <w:b w:val="0"/>
                <w:sz w:val="20"/>
              </w:rPr>
              <w:t>Best single model</w:t>
            </w:r>
          </w:p>
        </w:tc>
        <w:tc>
          <w:tcPr>
            <w:tcW w:type="dxa" w:w="2340"/>
          </w:tcPr>
          <w:p>
            <w:r/>
            <w:r>
              <w:rPr>
                <w:rFonts w:ascii="Times New Roman" w:hAnsi="Times New Roman"/>
                <w:b w:val="0"/>
                <w:sz w:val="20"/>
              </w:rPr>
              <w:t>[PH]</w:t>
            </w:r>
          </w:p>
        </w:tc>
        <w:tc>
          <w:tcPr>
            <w:tcW w:type="dxa" w:w="2340"/>
          </w:tcPr>
          <w:p>
            <w:r/>
            <w:r>
              <w:rPr>
                <w:rFonts w:ascii="Times New Roman" w:hAnsi="Times New Roman"/>
                <w:b w:val="0"/>
                <w:sz w:val="20"/>
              </w:rPr>
              <w:t>—</w:t>
            </w:r>
          </w:p>
        </w:tc>
        <w:tc>
          <w:tcPr>
            <w:tcW w:type="dxa" w:w="2340"/>
          </w:tcPr>
          <w:p>
            <w:r/>
            <w:r>
              <w:rPr>
                <w:rFonts w:ascii="Times New Roman" w:hAnsi="Times New Roman"/>
                <w:b w:val="0"/>
                <w:sz w:val="20"/>
              </w:rPr>
              <w:t>[PH]</w:t>
            </w:r>
          </w:p>
        </w:tc>
      </w:tr>
    </w:tbl>
    <w:p>
      <w:pPr>
        <w:pStyle w:val="Heading2"/>
      </w:pPr>
      <w:r>
        <w:t>RQ4: Workflow Comparison</w:t>
      </w:r>
    </w:p>
    <w:p>
      <w:r>
        <w:rPr>
          <w:b/>
          <w:color w:val="FF0000"/>
        </w:rPr>
        <w:t>[PLACEHOLDER: Report workflow analysis]</w:t>
      </w:r>
    </w:p>
    <w:p>
      <w:pPr>
        <w:pStyle w:val="Heading3"/>
      </w:pPr>
      <w:r>
        <w:t>Table 10</w:t>
      </w:r>
    </w:p>
    <w:p>
      <w:r>
        <w:rPr>
          <w:b w:val="0"/>
          <w:i/>
        </w:rPr>
        <w:t>Workflow Cost-Accuracy Comparison (Projected for k = 300 Studies)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Workflow</w:t>
            </w:r>
          </w:p>
        </w:tc>
        <w:tc>
          <w:tcPr>
            <w:tcW w:type="dxa" w:w="1872"/>
          </w:tcPr>
          <w:p>
            <w:r>
              <w:rPr>
                <w:b/>
                <w:sz w:val="20"/>
              </w:rPr>
              <w:t>Accuracy</w:t>
            </w:r>
          </w:p>
        </w:tc>
        <w:tc>
          <w:tcPr>
            <w:tcW w:type="dxa" w:w="1872"/>
          </w:tcPr>
          <w:p>
            <w:r>
              <w:rPr>
                <w:b/>
                <w:sz w:val="20"/>
              </w:rPr>
              <w:t>Time (hours)</w:t>
            </w:r>
          </w:p>
        </w:tc>
        <w:tc>
          <w:tcPr>
            <w:tcW w:type="dxa" w:w="1872"/>
          </w:tcPr>
          <w:p>
            <w:r>
              <w:rPr>
                <w:b/>
                <w:sz w:val="20"/>
              </w:rPr>
              <w:t>Cost (USD)</w:t>
            </w:r>
          </w:p>
        </w:tc>
        <w:tc>
          <w:tcPr>
            <w:tcW w:type="dxa" w:w="1872"/>
          </w:tcPr>
          <w:p>
            <w:r>
              <w:rPr>
                <w:b/>
                <w:sz w:val="20"/>
              </w:rPr>
              <w:t>Error Rate</w:t>
            </w:r>
          </w:p>
        </w:tc>
      </w:tr>
      <w:tr>
        <w:tc>
          <w:tcPr>
            <w:tcW w:type="dxa" w:w="1872"/>
          </w:tcPr>
          <w:p>
            <w:r/>
            <w:r>
              <w:rPr>
                <w:rFonts w:ascii="Times New Roman" w:hAnsi="Times New Roman"/>
                <w:b w:val="0"/>
                <w:sz w:val="20"/>
              </w:rPr>
              <w:t>W1: Full human</w:t>
            </w:r>
          </w:p>
        </w:tc>
        <w:tc>
          <w:tcPr>
            <w:tcW w:type="dxa" w:w="1872"/>
          </w:tcPr>
          <w:p>
            <w:r/>
            <w:r>
              <w:rPr>
                <w:rFonts w:ascii="Times New Roman" w:hAnsi="Times New Roman"/>
                <w:b w:val="0"/>
                <w:sz w:val="20"/>
              </w:rPr>
              <w:t>Reference</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W2: Single AI + full verify</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W3: Single AI + selective</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W4: Multi-AI + selective</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r>
        <w:tc>
          <w:tcPr>
            <w:tcW w:type="dxa" w:w="1872"/>
          </w:tcPr>
          <w:p>
            <w:r/>
            <w:r>
              <w:rPr>
                <w:rFonts w:ascii="Times New Roman" w:hAnsi="Times New Roman"/>
                <w:b w:val="0"/>
                <w:sz w:val="20"/>
              </w:rPr>
              <w:t>W5: AI-first + audit</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c>
          <w:tcPr>
            <w:tcW w:type="dxa" w:w="1872"/>
          </w:tcPr>
          <w:p>
            <w:r/>
            <w:r>
              <w:rPr>
                <w:rFonts w:ascii="Times New Roman" w:hAnsi="Times New Roman"/>
                <w:b w:val="0"/>
                <w:sz w:val="20"/>
              </w:rPr>
              <w:t>[PH]</w:t>
            </w:r>
          </w:p>
        </w:tc>
      </w:tr>
    </w:tbl>
    <w:p>
      <w:pPr>
        <w:pStyle w:val="Heading2"/>
      </w:pPr>
      <w:r>
        <w:t>Supplementary Analyses</w:t>
      </w:r>
    </w:p>
    <w:p>
      <w:r>
        <w:rPr>
          <w:b/>
          <w:i w:val="0"/>
        </w:rPr>
        <w:t>Bland-Altman Analysis for Correlation Coefficients</w:t>
      </w:r>
    </w:p>
    <w:p>
      <w:r>
        <w:rPr>
          <w:b/>
          <w:color w:val="FF0000"/>
        </w:rPr>
        <w:t>[PLACEHOLDER: Bland-Altman plots comparing AI-extracted vs. human-extracted r values for each model. Report mean difference (bias), 95% limits of agreement, and proportion of values outside limits.]</w:t>
      </w:r>
    </w:p>
    <w:p>
      <w:r>
        <w:rPr>
          <w:b/>
          <w:i w:val="0"/>
        </w:rPr>
        <w:t>Heatmap: Model x Variable Type Accuracy</w:t>
      </w:r>
    </w:p>
    <w:p>
      <w:r>
        <w:rPr>
          <w:b/>
          <w:color w:val="FF0000"/>
        </w:rPr>
        <w:t>[PLACEHOLDER: Heatmap visualization showing accuracy rates across 3 models x 30 variable types, enabling visual identification of systematic strengths and weaknesses.]</w:t>
      </w:r>
    </w:p>
    <w:p>
      <w:r>
        <w:rPr>
          <w:b/>
          <w:i w:val="0"/>
        </w:rPr>
        <w:t>Construct Mapping Confusion Matrix</w:t>
      </w:r>
    </w:p>
    <w:p>
      <w:r>
        <w:rPr>
          <w:b/>
          <w:color w:val="FF0000"/>
        </w:rPr>
        <w:t>[PLACEHOLDER: 12x12 confusion matrices for each model, showing mapping accuracy across the 12 target constructs. Identify which construct pairs are most frequently confused.]</w:t>
      </w:r>
    </w:p>
    <w:p>
      <w:r>
        <w:br w:type="page"/>
      </w:r>
    </w:p>
    <w:p>
      <w:pPr>
        <w:pStyle w:val="Heading1"/>
      </w:pPr>
      <w:r>
        <w:t>Discussion</w:t>
      </w:r>
    </w:p>
    <w:p>
      <w:pPr>
        <w:pStyle w:val="Heading2"/>
      </w:pPr>
      <w:r>
        <w:t>Summary of Findings</w:t>
      </w:r>
    </w:p>
    <w:p>
      <w:r>
        <w:rPr>
          <w:b/>
          <w:color w:val="FF0000"/>
        </w:rPr>
        <w:t>[PLACEHOLDER: Summarize key findings from RQ1-RQ4 after data collection]</w:t>
      </w:r>
    </w:p>
    <w:p>
      <w:pPr>
        <w:pStyle w:val="Heading2"/>
      </w:pPr>
      <w:r>
        <w:t>Comparison with Prior Work</w:t>
      </w:r>
    </w:p>
    <w:p>
      <w:pPr>
        <w:ind w:firstLine="720"/>
      </w:pPr>
      <w:r>
        <w:rPr>
          <w:b w:val="0"/>
          <w:i w:val="0"/>
        </w:rPr>
        <w:t>Our findings extend the emerging literature on LLM-assisted systematic review data extraction in several important ways. Prior evaluations in clinical domains reported varying accuracy levels: Gartlehner et al. (2024) found 96.3% accuracy for simple clinical variables, while their larger evaluation (Gartlehner et al., 2025) found 77.2% concordance across more complex extraction tasks. Our study advances this work by: (a) evaluating MASEM-specific variables (correlation matrices, construct mappings) that are structurally different from clinical PICO elements; (b) comparing three frontier models rather than evaluating a single model; (c) examining educational and social science research where construct definitions are more fluid and subjective; and (d) introducing multi-model consensus as a systematic reliability-enhancing strategy.</w:t>
      </w:r>
    </w:p>
    <w:p>
      <w:r>
        <w:rPr>
          <w:b/>
          <w:color w:val="FF0000"/>
        </w:rPr>
        <w:t>[PLACEHOLDER: Discuss model-specific strengths and weaknesses based on results]</w:t>
      </w:r>
    </w:p>
    <w:p>
      <w:pPr>
        <w:pStyle w:val="Heading2"/>
      </w:pPr>
      <w:r>
        <w:t>Implications for MASEM Practice</w:t>
      </w:r>
    </w:p>
    <w:p>
      <w:pPr>
        <w:pStyle w:val="Heading3"/>
      </w:pPr>
      <w:r>
        <w:t>When AI Extraction Is Sufficient</w:t>
      </w:r>
    </w:p>
    <w:p>
      <w:r>
        <w:rPr>
          <w:b/>
          <w:color w:val="FF0000"/>
        </w:rPr>
        <w:t>[PLACEHOLDER: Based on RQ2, identify variable types where AI meets reliability thresholds (e.g., bibliographic data, sample sizes)]</w:t>
      </w:r>
    </w:p>
    <w:p>
      <w:pPr>
        <w:pStyle w:val="Heading3"/>
      </w:pPr>
      <w:r>
        <w:t>When Human Verification Remains Essential</w:t>
      </w:r>
    </w:p>
    <w:p>
      <w:r>
        <w:rPr>
          <w:b/>
          <w:color w:val="FF0000"/>
        </w:rPr>
        <w:t>[PLACEHOLDER: Based on RQ2, identify variable types requiring human oversight (e.g., construct mapping for ambiguous scales, beta-to-r conversion decisions)]</w:t>
      </w:r>
    </w:p>
    <w:p>
      <w:pPr>
        <w:pStyle w:val="Heading3"/>
      </w:pPr>
      <w:r>
        <w:t>The Case for Multi-Model Consensus</w:t>
      </w:r>
    </w:p>
    <w:p>
      <w:r>
        <w:rPr>
          <w:b/>
          <w:color w:val="FF0000"/>
        </w:rPr>
        <w:t>[PLACEHOLDER: Based on RQ3, discuss whether consensus justifies additional API costs. Address the trade-off between accuracy gain and human review burden reduction.]</w:t>
      </w:r>
    </w:p>
    <w:p>
      <w:pPr>
        <w:pStyle w:val="Heading2"/>
      </w:pPr>
      <w:r>
        <w:t>A Recommended Workflow for MASEM</w:t>
      </w:r>
    </w:p>
    <w:p>
      <w:pPr>
        <w:ind w:firstLine="720"/>
      </w:pPr>
      <w:r>
        <w:rPr>
          <w:b w:val="0"/>
          <w:i w:val="0"/>
        </w:rPr>
        <w:t>Based on our findings, we recommend [PLACEHOLDER: the optimal workflow]. This hybrid approach proceeds in three phases:</w:t>
      </w:r>
    </w:p>
    <w:p>
      <w:pPr>
        <w:ind w:firstLine="720"/>
      </w:pPr>
      <w:r>
        <w:rPr>
          <w:b w:val="0"/>
          <w:i w:val="0"/>
        </w:rPr>
        <w:t>Phase 1 — AI extraction: [PLACEHOLDER: describe which models and consensus strategy]</w:t>
      </w:r>
    </w:p>
    <w:p>
      <w:pPr>
        <w:ind w:firstLine="720"/>
      </w:pPr>
      <w:r>
        <w:rPr>
          <w:b w:val="0"/>
          <w:i w:val="0"/>
        </w:rPr>
        <w:t>Phase 2 — Automated quality control: [PLACEHOLDER: describe consensus rules and flagging criteria specific to MASEM variables]</w:t>
      </w:r>
    </w:p>
    <w:p>
      <w:pPr>
        <w:ind w:firstLine="720"/>
      </w:pPr>
      <w:r>
        <w:rPr>
          <w:b w:val="0"/>
          <w:i w:val="0"/>
        </w:rPr>
        <w:t>Phase 3 — Targeted human review: [PLACEHOLDER: describe which variable types require human attention and estimated burden]</w:t>
      </w:r>
    </w:p>
    <w:p>
      <w:pPr>
        <w:pStyle w:val="Heading2"/>
      </w:pPr>
      <w:r>
        <w:t>Alignment with Emerging Standards</w:t>
      </w:r>
    </w:p>
    <w:p>
      <w:pPr>
        <w:ind w:firstLine="720"/>
      </w:pPr>
      <w:r>
        <w:rPr>
          <w:b w:val="0"/>
          <w:i w:val="0"/>
        </w:rPr>
        <w:t>Our methodology and reporting align with the rapidly developing governance framework for AI in evidence synthesis. The Joint Position Statement of Cochrane, Campbell, JBI, and CEE (Flemyng et al., 2025) establishes that AI may be used in evidence synthesis provided it does not compromise methodological rigor, is used with human oversight, and is transparently reported. The RAISE framework (2025) provides practical guidance for building, evaluating, and selecting AI tools for evidence synthesis. Our study directly contributes to the evaluation evidence called for by RAISE Paper 2, providing domain-specific performance data for MASEM applications. We followed the PRISMA-trAIce checklist (2025) to ensure transparent reporting of all AI involvement, and the TRIPOD-LLM guideline (Collins et al., 2025) for model documentation.</w:t>
      </w:r>
    </w:p>
    <w:p>
      <w:pPr>
        <w:pStyle w:val="Heading2"/>
      </w:pPr>
      <w:r>
        <w:t>Limitations</w:t>
      </w:r>
    </w:p>
    <w:p>
      <w:pPr>
        <w:ind w:firstLine="720"/>
      </w:pPr>
      <w:r>
        <w:rPr>
          <w:b w:val="0"/>
          <w:i w:val="0"/>
        </w:rPr>
        <w:t>Several limitations should be acknowledged. First, our evaluation is based on a single MASEM dataset from the educational technology adoption domain. The 12-construct framework, coding schema, and study characteristics may not generalize to clinical, biomedical, or other MASEM applications. Replication across diverse MASEM domains is needed.</w:t>
      </w:r>
    </w:p>
    <w:p>
      <w:pPr>
        <w:ind w:firstLine="720"/>
      </w:pPr>
      <w:r>
        <w:rPr>
          <w:b w:val="0"/>
          <w:i w:val="0"/>
        </w:rPr>
        <w:t>Second, LLM capabilities evolve rapidly. The specific model versions evaluated here may be superseded within months. However, our evaluation framework and prompt library can be applied to future models, and general patterns regarding variable-type difficulty are likely to persist.</w:t>
      </w:r>
    </w:p>
    <w:p>
      <w:pPr>
        <w:ind w:firstLine="720"/>
      </w:pPr>
      <w:r>
        <w:rPr>
          <w:b w:val="0"/>
          <w:i w:val="0"/>
        </w:rPr>
        <w:t>Third, we used standardized prompts across all three models. Model-specific prompt optimization could improve individual performance but would compromise cross-model comparability. Our approach prioritizes practical replicability.</w:t>
      </w:r>
    </w:p>
    <w:p>
      <w:pPr>
        <w:ind w:firstLine="720"/>
      </w:pPr>
      <w:r>
        <w:rPr>
          <w:b w:val="0"/>
          <w:i w:val="0"/>
        </w:rPr>
        <w:t>Fourth, the human gold standard, while established through rigorous dual-coding with documented reliability, is not error-free. Residual errors may appear as AI errors in our analysis. The impact of this limitation is bounded by the human IRR statistics reported in Table 5.</w:t>
      </w:r>
    </w:p>
    <w:p>
      <w:pPr>
        <w:ind w:firstLine="720"/>
      </w:pPr>
      <w:r>
        <w:rPr>
          <w:b w:val="0"/>
          <w:i w:val="0"/>
        </w:rPr>
        <w:t>Fifth, our cost analysis reflects API pricing at the time of data collection, which is subject to rapid change. Relative cost comparisons between workflows may be more durable than absolute figures.</w:t>
      </w:r>
    </w:p>
    <w:p>
      <w:pPr>
        <w:ind w:firstLine="720"/>
      </w:pPr>
      <w:r>
        <w:rPr>
          <w:b w:val="0"/>
          <w:i w:val="0"/>
        </w:rPr>
        <w:t>Sixth, the anchoring concern: in our recommended hybrid workflow (Phase 2), humans verify AI output rather than coding independently. This may inflate agreement in production use relative to the gold standard evaluation where all coding was independent. We discuss this trade-off and recommend independent coding for high-inference variables.</w:t>
      </w:r>
    </w:p>
    <w:p>
      <w:pPr>
        <w:pStyle w:val="Heading2"/>
      </w:pPr>
      <w:r>
        <w:t>Future Directions</w:t>
      </w:r>
    </w:p>
    <w:p>
      <w:pPr>
        <w:ind w:firstLine="720"/>
      </w:pPr>
      <w:r>
        <w:rPr>
          <w:b w:val="0"/>
          <w:i w:val="0"/>
        </w:rPr>
        <w:t>1. Domain-specific replication: Apply this framework to clinical, environmental, and organizational behavior MASEM applications to assess generalizability.</w:t>
      </w:r>
    </w:p>
    <w:p>
      <w:pPr>
        <w:ind w:firstLine="720"/>
      </w:pPr>
      <w:r>
        <w:rPr>
          <w:b w:val="0"/>
          <w:i w:val="0"/>
        </w:rPr>
        <w:t>2. Fine-tuned models: Evaluate whether domain-specific fine-tuning improves extraction accuracy for MASEM variables, particularly construct mapping.</w:t>
      </w:r>
    </w:p>
    <w:p>
      <w:pPr>
        <w:ind w:firstLine="720"/>
      </w:pPr>
      <w:r>
        <w:rPr>
          <w:b w:val="0"/>
          <w:i w:val="0"/>
        </w:rPr>
        <w:t>3. Dynamic prompting: Develop adaptive prompting strategies that adjust based on study characteristics (e.g., reporting quality, table formatting, number of constructs).</w:t>
      </w:r>
    </w:p>
    <w:p>
      <w:pPr>
        <w:ind w:firstLine="720"/>
      </w:pPr>
      <w:r>
        <w:rPr>
          <w:b w:val="0"/>
          <w:i w:val="0"/>
        </w:rPr>
        <w:t>4. Longitudinal benchmarking: Establish a public benchmark dataset and leaderboard for tracking LLM performance on MASEM extraction tasks across model generations.</w:t>
      </w:r>
    </w:p>
    <w:p>
      <w:pPr>
        <w:ind w:firstLine="720"/>
      </w:pPr>
      <w:r>
        <w:rPr>
          <w:b w:val="0"/>
          <w:i w:val="0"/>
        </w:rPr>
        <w:t>5. Integration with automated screening: Combine LLM-assisted extraction with AI-assisted screening pipelines to evaluate end-to-end systematic review automation.</w:t>
      </w:r>
    </w:p>
    <w:p>
      <w:r>
        <w:br w:type="page"/>
      </w:r>
    </w:p>
    <w:p>
      <w:pPr>
        <w:pStyle w:val="Heading1"/>
      </w:pPr>
      <w:r>
        <w:t>Conclusion</w:t>
      </w:r>
    </w:p>
    <w:p>
      <w:r>
        <w:rPr>
          <w:b/>
          <w:color w:val="FF0000"/>
        </w:rPr>
        <w:t>[PLACEHOLDER: Write after results are available]</w:t>
      </w:r>
    </w:p>
    <w:p>
      <w:pPr>
        <w:ind w:firstLine="720"/>
      </w:pPr>
      <w:r>
        <w:rPr>
          <w:b w:val="0"/>
          <w:i w:val="0"/>
        </w:rPr>
        <w:t>This study provides the first comprehensive evaluation of LLM-assisted data extraction for meta-analytic structural equation modeling. By comparing three frontier models against a rigorously established human gold standard in an educational AI adoption context, we offer evidence-based guidance for integrating AI into MASEM workflows. [PLACEHOLDER: Key practical recommendation based on results]. Our findings suggest that the question is no longer whether AI can assist with systematic review data extraction, but how to optimally combine AI efficiency with human expertise to maintain the methodological rigor that gives evidence synthesis its epistemic authority.</w:t>
      </w:r>
    </w:p>
    <w:p>
      <w:r>
        <w:br w:type="page"/>
      </w:r>
    </w:p>
    <w:p>
      <w:pPr>
        <w:pStyle w:val="Heading1"/>
      </w:pPr>
      <w:r>
        <w:t>References</w:t>
      </w:r>
    </w:p>
    <w:p>
      <w:pPr>
        <w:ind w:hanging="720" w:left="720"/>
      </w:pPr>
      <w:r>
        <w:rPr>
          <w:sz w:val="24"/>
        </w:rPr>
        <w:t>Andersen, T. H., Marcussen, T. M., Termannsen, A. D., Lawaetz, T. W. H., &amp; Norgaard, O. (2025). Using artificial intelligence tools as second reviewers for data extraction in systematic reviews. Cochrane Evidence Synthesis and Methods, 3(4), e70036.</w:t>
      </w:r>
    </w:p>
    <w:p>
      <w:pPr>
        <w:ind w:hanging="720" w:left="720"/>
      </w:pPr>
      <w:r>
        <w:rPr>
          <w:sz w:val="24"/>
        </w:rPr>
        <w:t>Bossuyt, P. M., Reitsma, J. B., Bruns, D. E., et al. (2015). STARD 2015: An updated list of essential items for reporting diagnostic accuracy studies. Radiology, 277(3), 826-832.</w:t>
      </w:r>
    </w:p>
    <w:p>
      <w:pPr>
        <w:ind w:hanging="720" w:left="720"/>
      </w:pPr>
      <w:r>
        <w:rPr>
          <w:sz w:val="24"/>
        </w:rPr>
        <w:t>Brown, T. B., Mann, B., Ryder, N., et al. (2020). Language models are few-shot learners. Advances in Neural Information Processing Systems, 33, 1877-1901.</w:t>
      </w:r>
    </w:p>
    <w:p>
      <w:pPr>
        <w:ind w:hanging="720" w:left="720"/>
      </w:pPr>
      <w:r>
        <w:rPr>
          <w:sz w:val="24"/>
        </w:rPr>
        <w:t>Cheung, M. W.-L. (2015). Meta-analytic structural equation modeling: A two-stage approach. Psychological Methods, 10(1), 40-64.</w:t>
      </w:r>
    </w:p>
    <w:p>
      <w:pPr>
        <w:ind w:hanging="720" w:left="720"/>
      </w:pPr>
      <w:r>
        <w:rPr>
          <w:sz w:val="24"/>
        </w:rPr>
        <w:t>Cheung, M. W.-L., &amp; Chan, W. (2005). Meta-analytic structural equation modeling: A two-stage approach. Psychological Methods, 10(1), 40-64.</w:t>
      </w:r>
    </w:p>
    <w:p>
      <w:pPr>
        <w:ind w:hanging="720" w:left="720"/>
      </w:pPr>
      <w:r>
        <w:rPr>
          <w:sz w:val="24"/>
        </w:rPr>
        <w:t>Collins, G. S., et al. (2025). TRIPOD-LLM: Transparent Reporting of a multivariable prediction model for Individual Prognosis or Diagnosis using Large Language Models. Nature Medicine.</w:t>
      </w:r>
    </w:p>
    <w:p>
      <w:pPr>
        <w:ind w:hanging="720" w:left="720"/>
      </w:pPr>
      <w:r>
        <w:rPr>
          <w:sz w:val="24"/>
        </w:rPr>
        <w:t>Flemyng, E., et al. (2025). Joint position statement on AI use in evidence synthesis. Cochrane Database of Systematic Reviews; Campbell Systematic Reviews; JBI Evidence Synthesis; Environmental Evidence.</w:t>
      </w:r>
    </w:p>
    <w:p>
      <w:pPr>
        <w:ind w:hanging="720" w:left="720"/>
      </w:pPr>
      <w:r>
        <w:rPr>
          <w:sz w:val="24"/>
        </w:rPr>
        <w:t>Gartlehner, G., Kahwati, L., Hilscher, R., et al. (2024). Data extraction for evidence synthesis using a large language model: A proof-of-concept study. Research Synthesis Methods, 15(4), 576-589.</w:t>
      </w:r>
    </w:p>
    <w:p>
      <w:pPr>
        <w:ind w:hanging="720" w:left="720"/>
      </w:pPr>
      <w:r>
        <w:rPr>
          <w:sz w:val="24"/>
        </w:rPr>
        <w:t>Gartlehner, G., Kugley, S., Crotty, K., et al. (2025). Artificial intelligence-assisted data extraction with a large language model: A study within reviews. Annals of Internal Medicine, 178(12), 1763-1771.</w:t>
      </w:r>
    </w:p>
    <w:p>
      <w:pPr>
        <w:ind w:hanging="720" w:left="720"/>
      </w:pPr>
      <w:r>
        <w:rPr>
          <w:sz w:val="24"/>
        </w:rPr>
        <w:t>Gwet, K. L. (2008). Computing inter-rater reliability and its variance in the presence of high agreement. British Journal of Mathematical and Statistical Psychology, 61(1), 29-48.</w:t>
      </w:r>
    </w:p>
    <w:p>
      <w:pPr>
        <w:ind w:hanging="720" w:left="720"/>
      </w:pPr>
      <w:r>
        <w:rPr>
          <w:sz w:val="24"/>
        </w:rPr>
        <w:t>Jak, S., &amp; Cheung, M. W.-L. (2020). Meta-analytic structural equation modeling with moderating effects on SEM parameters. Psychological Methods, 25(4), 430-455.</w:t>
      </w:r>
    </w:p>
    <w:p>
      <w:pPr>
        <w:ind w:hanging="720" w:left="720"/>
      </w:pPr>
      <w:r>
        <w:rPr>
          <w:sz w:val="24"/>
        </w:rPr>
        <w:t>Jensen, M. M., Danielsen, M. B., Riis, J., et al. (2025). ChatGPT-4o can serve as the second rater for data extraction in systematic reviews. PLOS ONE, 20(1), e0313401.</w:t>
      </w:r>
    </w:p>
    <w:p>
      <w:pPr>
        <w:ind w:hanging="720" w:left="720"/>
      </w:pPr>
      <w:r>
        <w:rPr>
          <w:sz w:val="24"/>
        </w:rPr>
        <w:t>Jonnalagadda, S. R., Goyal, P., &amp; Huffman, M. D. (2015). Automating data extraction in systematic reviews: A systematic review. Systematic Reviews, 4, 78.</w:t>
      </w:r>
    </w:p>
    <w:p>
      <w:pPr>
        <w:ind w:hanging="720" w:left="720"/>
      </w:pPr>
      <w:r>
        <w:rPr>
          <w:sz w:val="24"/>
        </w:rPr>
        <w:t>Khan, M. A., Ayub, U., et al. (2025). Collaborative large language models for automated data extraction in living systematic reviews. Journal of the American Medical Informatics Association, 32(4), 638.</w:t>
      </w:r>
    </w:p>
    <w:p>
      <w:pPr>
        <w:ind w:hanging="720" w:left="720"/>
      </w:pPr>
      <w:r>
        <w:rPr>
          <w:sz w:val="24"/>
        </w:rPr>
        <w:t>Khraisha, Q., Put, S., Kappenberg, J., Warber, A., &amp; Ostfeld, K. (2024). Can large language models replace humans in systematic reviews? Research Synthesis Methods, 15(6), 842-862.</w:t>
      </w:r>
    </w:p>
    <w:p>
      <w:pPr>
        <w:ind w:hanging="720" w:left="720"/>
      </w:pPr>
      <w:r>
        <w:rPr>
          <w:sz w:val="24"/>
        </w:rPr>
        <w:t>Lipsey, M. W., &amp; Wilson, D. B. (2001). Practical meta-analysis. SAGE Publications.</w:t>
      </w:r>
    </w:p>
    <w:p>
      <w:pPr>
        <w:ind w:hanging="720" w:left="720"/>
      </w:pPr>
      <w:r>
        <w:rPr>
          <w:sz w:val="24"/>
        </w:rPr>
        <w:t>Peterson, R. A., &amp; Brown, S. P. (2005). On the use of beta coefficients in meta-analysis. Journal of Applied Psychology, 90(1), 175-181.</w:t>
      </w:r>
    </w:p>
    <w:p>
      <w:pPr>
        <w:ind w:hanging="720" w:left="720"/>
      </w:pPr>
      <w:r>
        <w:rPr>
          <w:sz w:val="24"/>
        </w:rPr>
        <w:t>Pigott, T. D., &amp; Polanin, J. R. (2020). Methodological guidance paper: High-quality meta-analysis in a systematic review. Review of Educational Research, 90(1), 24-46.</w:t>
      </w:r>
    </w:p>
    <w:p>
      <w:pPr>
        <w:ind w:hanging="720" w:left="720"/>
      </w:pPr>
      <w:r>
        <w:rPr>
          <w:sz w:val="24"/>
        </w:rPr>
        <w:t>PRISMA-trAIce Consortium. (2025). PRISMA-trAIce: Transparent Reporting of Artificial Intelligence in Comprehensive Evidence Synthesis. JMIR AI, 4, e80247.</w:t>
      </w:r>
    </w:p>
    <w:p>
      <w:pPr>
        <w:ind w:hanging="720" w:left="720"/>
      </w:pPr>
      <w:r>
        <w:rPr>
          <w:sz w:val="24"/>
        </w:rPr>
        <w:t>Venkatesh, V., Morris, M. G., Davis, G. B., &amp; Davis, F. D. (2003). User acceptance of information technology: Toward a unified view. MIS Quarterly, 27(3), 425-478.</w:t>
      </w:r>
    </w:p>
    <w:p>
      <w:pPr>
        <w:ind w:hanging="720" w:left="720"/>
      </w:pPr>
      <w:r>
        <w:rPr>
          <w:sz w:val="24"/>
        </w:rPr>
        <w:t>Wei, J., Wang, X., Schuurmans, D., et al. (2022). Chain-of-thought prompting elicits reasoning in large language models. Advances in Neural Information Processing Systems, 35, 24824-24837.</w:t>
      </w:r>
    </w:p>
    <w:p>
      <w:pPr>
        <w:ind w:hanging="720" w:left="720"/>
      </w:pPr>
      <w:r>
        <w:rPr>
          <w:sz w:val="24"/>
        </w:rPr>
        <w:t>You, H. (2026). AI adoption in education: A meta-analytic structural equation model integrating trust, anxiety, transparency, and autonomy. OSF Preprints. https://doi.org/[OSF-DOI-PLACEHOLDER]</w:t>
      </w:r>
    </w:p>
    <w:p>
      <w:r>
        <w:br w:type="page"/>
      </w:r>
    </w:p>
    <w:p>
      <w:pPr>
        <w:pStyle w:val="Heading1"/>
      </w:pPr>
      <w:r>
        <w:t>Appendices</w:t>
      </w:r>
    </w:p>
    <w:p>
      <w:pPr>
        <w:pStyle w:val="Heading2"/>
      </w:pPr>
      <w:r>
        <w:t>Appendix A: PRISMA-trAIce Compliance Checklist</w:t>
      </w:r>
    </w:p>
    <w:p>
      <w:r>
        <w:rPr>
          <w:b/>
          <w:color w:val="FF0000"/>
        </w:rPr>
        <w:t>[PLACEHOLDER: Complete 14-item PRISMA-trAIce checklist with page numbers for each item]</w:t>
      </w:r>
    </w:p>
    <w:p>
      <w:pPr>
        <w:pStyle w:val="Heading2"/>
      </w:pPr>
      <w:r>
        <w:t>Appendix B: TRIPOD-LLM Compliance Checklist</w:t>
      </w:r>
    </w:p>
    <w:p>
      <w:r>
        <w:rPr>
          <w:b/>
          <w:color w:val="FF0000"/>
        </w:rPr>
        <w:t>[PLACEHOLDER: Complete TRIPOD-LLM checklist]</w:t>
      </w:r>
    </w:p>
    <w:p>
      <w:pPr>
        <w:pStyle w:val="Heading2"/>
      </w:pPr>
      <w:r>
        <w:t>Appendix C: Prompt Library (Modules A-D)</w:t>
      </w:r>
    </w:p>
    <w:p>
      <w:r>
        <w:rPr>
          <w:b/>
          <w:color w:val="FF0000"/>
        </w:rPr>
        <w:t>[PLACEHOLDER: Full prompt templates for each extraction module. Include the worked example, coding rules, and JSON output specification for each.]</w:t>
      </w:r>
    </w:p>
    <w:p>
      <w:r>
        <w:rPr>
          <w:b w:val="0"/>
          <w:i/>
        </w:rPr>
        <w:t>Note. Complete prompts with all iterations are available at [OSF Repository Link].</w:t>
      </w:r>
    </w:p>
    <w:p>
      <w:pPr>
        <w:pStyle w:val="Heading2"/>
      </w:pPr>
      <w:r>
        <w:t>Appendix D: Variable-Level Accuracy Tables</w:t>
      </w:r>
    </w:p>
    <w:p>
      <w:r>
        <w:rPr>
          <w:b/>
          <w:color w:val="FF0000"/>
        </w:rPr>
        <w:t>[PLACEHOLDER: Per-variable kappa/ICC values for each of the 30 variables, for each of the 3 models]</w:t>
      </w:r>
    </w:p>
    <w:p>
      <w:pPr>
        <w:pStyle w:val="Heading2"/>
      </w:pPr>
      <w:r>
        <w:t>Appendix E: Error Examples</w:t>
      </w:r>
    </w:p>
    <w:p>
      <w:r>
        <w:rPr>
          <w:b/>
          <w:color w:val="FF0000"/>
        </w:rPr>
        <w:t>[PLACEHOLDER: Representative examples of each error type (omission, commission, partial, format, hallucination) from each model, with source text excerpts]</w:t>
      </w:r>
    </w:p>
    <w:p>
      <w:pPr>
        <w:pStyle w:val="Heading2"/>
      </w:pPr>
      <w:r>
        <w:t>Appendix F: Relationship to the Parent Meta-Analysis</w:t>
      </w:r>
    </w:p>
    <w:p>
      <w:pPr>
        <w:ind w:firstLine="720"/>
      </w:pPr>
      <w:r>
        <w:rPr>
          <w:b w:val="0"/>
          <w:i w:val="0"/>
        </w:rPr>
        <w:t>This methodological study (hereafter Paper B) and the parent meta-analysis (You, 2026; hereafter Paper A) share the same primary studies but serve distinct purposes:</w:t>
      </w:r>
    </w:p>
    <w:p>
      <w:pPr>
        <w:ind w:firstLine="720"/>
      </w:pPr>
      <w:r>
        <w:rPr>
          <w:b w:val="0"/>
          <w:i w:val="0"/>
        </w:rPr>
        <w:t>Paper A reports a substantive meta-analytic structural equation model of AI adoption in education. It uses human-coded data validated through the pipeline described in the present study but does not focus on AI-assisted coding methodology. Paper A can be read and evaluated independently as a standalone contribution to the educational technology literature.</w:t>
      </w:r>
    </w:p>
    <w:p>
      <w:pPr>
        <w:ind w:firstLine="720"/>
      </w:pPr>
      <w:r>
        <w:rPr>
          <w:b w:val="0"/>
          <w:i w:val="0"/>
        </w:rPr>
        <w:t>Paper B (this paper) evaluates the reliability of LLM-assisted coding by comparing AI extractions against the human gold standard established during Paper A's data collection. Paper B references Paper A's dataset as a benchmark but contributes independently to the research synthesis methodology literature.</w:t>
      </w:r>
    </w:p>
    <w:p>
      <w:pPr>
        <w:ind w:firstLine="720"/>
      </w:pPr>
      <w:r>
        <w:rPr>
          <w:b w:val="0"/>
          <w:i w:val="0"/>
        </w:rPr>
        <w:t>The gold standard was established through Paper A's dual-coding protocol before any AI extraction was conducted, ensuring that human coding was not influenced by AI outputs. The chronological workflow was:</w:t>
      </w:r>
    </w:p>
    <w:p>
      <w:pPr>
        <w:ind w:firstLine="720"/>
      </w:pPr>
      <w:r>
        <w:rPr>
          <w:b w:val="0"/>
          <w:i w:val="0"/>
        </w:rPr>
        <w:t>1. Human coders independently coded all studies in the 100-study evaluation sample (Paper A protocol, blinded to AI).</w:t>
      </w:r>
    </w:p>
    <w:p>
      <w:pPr>
        <w:ind w:firstLine="720"/>
      </w:pPr>
      <w:r>
        <w:rPr>
          <w:b w:val="0"/>
          <w:i w:val="0"/>
        </w:rPr>
        <w:t>2. Inter-rater reliability computed and discrepancies resolved, producing the finalized gold standard.</w:t>
      </w:r>
    </w:p>
    <w:p>
      <w:pPr>
        <w:ind w:firstLine="720"/>
      </w:pPr>
      <w:r>
        <w:rPr>
          <w:b w:val="0"/>
          <w:i w:val="0"/>
        </w:rPr>
        <w:t>3. Three LLMs independently extracted the same data (Paper B protocol).</w:t>
      </w:r>
    </w:p>
    <w:p>
      <w:pPr>
        <w:ind w:firstLine="720"/>
      </w:pPr>
      <w:r>
        <w:rPr>
          <w:b w:val="0"/>
          <w:i w:val="0"/>
        </w:rPr>
        <w:t>4. AI outputs compared against the finalized gold standard.</w:t>
      </w:r>
    </w:p>
    <w:p>
      <w:pPr>
        <w:ind w:firstLine="720"/>
      </w:pPr>
      <w:r>
        <w:rPr>
          <w:b w:val="0"/>
          <w:i w:val="0"/>
        </w:rPr>
        <w:t>This temporal separation ensures the independence and integrity of both the gold standard and the AI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