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9" w:name="Xb8326ae234e63bab7c97fac473a831eef26ea1e"/>
    <w:p>
      <w:pPr>
        <w:pStyle w:val="Heading1"/>
      </w:pPr>
      <w:r>
        <w:t xml:space="preserve">AI Adoption in Education — MASEM Coding Manual</w:t>
      </w:r>
    </w:p>
    <w:p>
      <w:pPr>
        <w:pStyle w:val="FirstParagraph"/>
      </w:pPr>
      <w:r>
        <w:rPr>
          <w:b/>
          <w:bCs/>
        </w:rPr>
        <w:t xml:space="preserve">Version 2.5</w:t>
      </w:r>
      <w:r>
        <w:t xml:space="preserve"> </w:t>
      </w:r>
      <w:r>
        <w:rPr>
          <w:b/>
          <w:bCs/>
        </w:rPr>
        <w:t xml:space="preserve">Author:</w:t>
      </w:r>
      <w:r>
        <w:t xml:space="preserve"> </w:t>
      </w:r>
      <w:r>
        <w:t xml:space="preserve">Hosung You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2026-04-25</w:t>
      </w:r>
      <w:r>
        <w:t xml:space="preserve"> </w:t>
      </w:r>
      <w:r>
        <w:rPr>
          <w:b/>
          <w:bCs/>
        </w:rPr>
        <w:t xml:space="preserve">Study:</w:t>
      </w:r>
      <w:r>
        <w:t xml:space="preserve"> </w:t>
      </w:r>
      <w:r>
        <w:t xml:space="preserve">AI Adoption in Education — Meta-Analytic Structural Equation Modeling (MASEM)</w:t>
      </w:r>
    </w:p>
    <w:p>
      <w:r>
        <w:pict>
          <v:rect style="width:0;height:1.5pt" o:hralign="center" o:hrstd="t" o:hr="t"/>
        </w:pict>
      </w:r>
    </w:p>
    <w:bookmarkStart w:id="9" w:name="version-history"/>
    <w:p>
      <w:pPr>
        <w:pStyle w:val="Heading2"/>
      </w:pPr>
      <w:r>
        <w:t xml:space="preserve">Version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198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2026-02-16</w:t>
            </w:r>
          </w:p>
        </w:tc>
        <w:tc>
          <w:tcPr/>
          <w:p>
            <w:pPr>
              <w:pStyle w:val="Compact"/>
            </w:pPr>
            <w:r>
              <w:t xml:space="preserve">Initial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2026-03-09</w:t>
            </w:r>
          </w:p>
        </w:tc>
        <w:tc>
          <w:tcPr/>
          <w:p>
            <w:pPr>
              <w:pStyle w:val="Compact"/>
            </w:pPr>
            <w:r>
              <w:t xml:space="preserve">Major revision: year range 2022–2026; education-only scope; independent coding workflow; AI metadata pre-coding; 3 CLI models (Claude, Gemini, Codex); Addendum integrated and replaced; unnecessary fields removed; study_id S001 format; full-text exclusion codes E-FT1–E-FT6 added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2026-03-10</w:t>
            </w:r>
          </w:p>
        </w:tc>
        <w:tc>
          <w:tcPr/>
          <w:p>
            <w:pPr>
              <w:pStyle w:val="Compact"/>
            </w:pPr>
            <w:r>
              <w:t xml:space="preserve">Paper A+B integrated design; 2-pair ICR (R1+R2, R3+R4); Phase 1 100건 dual + Phase 2 150건 single; calibration 10건; cross-pair adjudication; Paper B gold standard = Paper A ICR sample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</w:t>
            </w:r>
          </w:p>
        </w:tc>
        <w:tc>
          <w:tcPr/>
          <w:p>
            <w:pPr>
              <w:pStyle w:val="Compact"/>
            </w:pPr>
            <w:r>
              <w:t xml:space="preserve">2026-03-13</w:t>
            </w:r>
          </w:p>
        </w:tc>
        <w:tc>
          <w:tcPr/>
          <w:p>
            <w:pPr>
              <w:pStyle w:val="Compact"/>
            </w:pPr>
            <w:r>
              <w:t xml:space="preserve">§5 AI pre-coding scope 정정 (§5.1만 pre-coded, §5.2-5.4는 human coded + AI parallel); §5.5 coding order 명확화 + matrix_completeness 계산법 + §5.5.1 CMB coding guide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2.3</w:t>
            </w:r>
          </w:p>
        </w:tc>
        <w:tc>
          <w:tcPr/>
          <w:p>
            <w:pPr>
              <w:pStyle w:val="Compact"/>
            </w:pPr>
            <w:r>
              <w:t xml:space="preserve">2026-03-24</w:t>
            </w:r>
          </w:p>
        </w:tc>
        <w:tc>
          <w:tcPr/>
          <w:p>
            <w:pPr>
              <w:pStyle w:val="Compact"/>
            </w:pPr>
            <w:r>
              <w:t xml:space="preserve">§7.5 BI vs. UB disambiguation added (§7.6); n_constructs_measured, n_correlations_reported, matrix_completeness columns removed from STUDY_METADATA; Fornell-Larcker extraction guidance expanded (CB-SEM vs. PLS-SEM distinction)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2.4</w:t>
            </w:r>
          </w:p>
        </w:tc>
        <w:tc>
          <w:tcPr/>
          <w:p>
            <w:pPr>
              <w:pStyle w:val="Compact"/>
            </w:pPr>
            <w:r>
              <w:t xml:space="preserve">2026-04-24</w:t>
            </w:r>
          </w:p>
        </w:tc>
        <w:tc>
          <w:tcPr/>
          <w:p>
            <w:pPr>
              <w:pStyle w:val="Compact"/>
            </w:pPr>
            <w:r>
              <w:t xml:space="preserve">Phase 1 marked complete; Phase 2 reset to rotated-pair human coding (R1+R4, R2+R3); LLM outputs remain blinded until adjudication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2026-04-25</w:t>
            </w:r>
          </w:p>
        </w:tc>
        <w:tc>
          <w:tcPr/>
          <w:p>
            <w:pPr>
              <w:pStyle w:val="Compact"/>
            </w:pPr>
            <w:r>
              <w:t xml:space="preserve">Phase 1+2 defined as a combined Paper B validation corpus; raw human disagreement analyzed before adjudication;</w:t>
            </w:r>
            <w:r>
              <w:t xml:space="preserve"> </w:t>
            </w:r>
            <w:r>
              <w:rPr>
                <w:rStyle w:val="VerbatimChar"/>
              </w:rPr>
              <w:t xml:space="preserve">gold standard</w:t>
            </w:r>
            <w:r>
              <w:t xml:space="preserve"> </w:t>
            </w:r>
            <w:r>
              <w:t xml:space="preserve">terminology replaced with source-anchored adjudicated human reference standard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b3e2d857055d209873d02fdbcbcdbbf368fafea">
        <w:r>
          <w:rPr>
            <w:rStyle w:val="Hyperlink"/>
          </w:rPr>
          <w:t xml:space="preserve">Introduction and Purpose</w:t>
        </w:r>
      </w:hyperlink>
    </w:p>
    <w:p>
      <w:pPr>
        <w:pStyle w:val="Compact"/>
        <w:numPr>
          <w:ilvl w:val="0"/>
          <w:numId w:val="1001"/>
        </w:numPr>
      </w:pPr>
      <w:hyperlink w:anchor="X5dbe722e319f7fd05a139de52121315c14aa276">
        <w:r>
          <w:rPr>
            <w:rStyle w:val="Hyperlink"/>
          </w:rPr>
          <w:t xml:space="preserve">Eligibility Criteria</w:t>
        </w:r>
      </w:hyperlink>
    </w:p>
    <w:p>
      <w:pPr>
        <w:pStyle w:val="Compact"/>
        <w:numPr>
          <w:ilvl w:val="0"/>
          <w:numId w:val="1001"/>
        </w:numPr>
      </w:pPr>
      <w:hyperlink w:anchor="X53bf4239d40392147183280b12174a013a9088a">
        <w:r>
          <w:rPr>
            <w:rStyle w:val="Hyperlink"/>
          </w:rPr>
          <w:t xml:space="preserve">Coding Workflow Overview</w:t>
        </w:r>
      </w:hyperlink>
    </w:p>
    <w:p>
      <w:pPr>
        <w:pStyle w:val="Compact"/>
        <w:numPr>
          <w:ilvl w:val="0"/>
          <w:numId w:val="1001"/>
        </w:numPr>
      </w:pPr>
      <w:hyperlink w:anchor="X928617ec5eb76cb1beec715a9f6be74355ab894">
        <w:r>
          <w:rPr>
            <w:rStyle w:val="Hyperlink"/>
          </w:rPr>
          <w:t xml:space="preserve">Coder Training Protocol</w:t>
        </w:r>
      </w:hyperlink>
    </w:p>
    <w:p>
      <w:pPr>
        <w:pStyle w:val="Compact"/>
        <w:numPr>
          <w:ilvl w:val="0"/>
          <w:numId w:val="1001"/>
        </w:numPr>
      </w:pPr>
      <w:hyperlink w:anchor="Xe25a69e88f8f5da2059fec8972395640490d482">
        <w:r>
          <w:rPr>
            <w:rStyle w:val="Hyperlink"/>
          </w:rPr>
          <w:t xml:space="preserve">Study-Level Coding Instructions</w:t>
        </w:r>
      </w:hyperlink>
    </w:p>
    <w:p>
      <w:pPr>
        <w:pStyle w:val="Compact"/>
        <w:numPr>
          <w:ilvl w:val="0"/>
          <w:numId w:val="1001"/>
        </w:numPr>
      </w:pPr>
      <w:hyperlink w:anchor="X2663259e1fc88580d8aea2f863db2ae8fda1003">
        <w:r>
          <w:rPr>
            <w:rStyle w:val="Hyperlink"/>
          </w:rPr>
          <w:t xml:space="preserve">Correlation Matrix Coding Instructions</w:t>
        </w:r>
      </w:hyperlink>
    </w:p>
    <w:p>
      <w:pPr>
        <w:pStyle w:val="Compact"/>
        <w:numPr>
          <w:ilvl w:val="0"/>
          <w:numId w:val="1001"/>
        </w:numPr>
      </w:pPr>
      <w:hyperlink w:anchor="X17e38c31eec3f88285257a7b07958e53677556a">
        <w:r>
          <w:rPr>
            <w:rStyle w:val="Hyperlink"/>
          </w:rPr>
          <w:t xml:space="preserve">Construct Harmonization Instructions</w:t>
        </w:r>
      </w:hyperlink>
    </w:p>
    <w:p>
      <w:pPr>
        <w:pStyle w:val="Compact"/>
        <w:numPr>
          <w:ilvl w:val="0"/>
          <w:numId w:val="1001"/>
        </w:numPr>
      </w:pPr>
      <w:hyperlink w:anchor="X59a5c406e32e3f2dffa12bc2f75266845520582">
        <w:r>
          <w:rPr>
            <w:rStyle w:val="Hyperlink"/>
          </w:rPr>
          <w:t xml:space="preserve">Moderator Variable Coding</w:t>
        </w:r>
      </w:hyperlink>
    </w:p>
    <w:p>
      <w:pPr>
        <w:pStyle w:val="Compact"/>
        <w:numPr>
          <w:ilvl w:val="0"/>
          <w:numId w:val="1001"/>
        </w:numPr>
      </w:pPr>
      <w:hyperlink w:anchor="X2a4afdebe13b1c7900c47c4ccadb98cbe7ae985">
        <w:r>
          <w:rPr>
            <w:rStyle w:val="Hyperlink"/>
          </w:rPr>
          <w:t xml:space="preserve">Reliability Data Extraction</w:t>
        </w:r>
      </w:hyperlink>
    </w:p>
    <w:p>
      <w:pPr>
        <w:pStyle w:val="Compact"/>
        <w:numPr>
          <w:ilvl w:val="0"/>
          <w:numId w:val="1001"/>
        </w:numPr>
      </w:pPr>
      <w:hyperlink w:anchor="Xcfe5f57c7b666c88f90f69a0c4df2e5df8bfbf1">
        <w:r>
          <w:rPr>
            <w:rStyle w:val="Hyperlink"/>
          </w:rPr>
          <w:t xml:space="preserve">AI-Assisted Coding Protocol</w:t>
        </w:r>
      </w:hyperlink>
    </w:p>
    <w:p>
      <w:pPr>
        <w:pStyle w:val="Compact"/>
        <w:numPr>
          <w:ilvl w:val="0"/>
          <w:numId w:val="1001"/>
        </w:numPr>
      </w:pPr>
      <w:hyperlink w:anchor="X50f489a2ec54192fed6c9b004642e89e874f34f">
        <w:r>
          <w:rPr>
            <w:rStyle w:val="Hyperlink"/>
          </w:rPr>
          <w:t xml:space="preserve">Inter-Coder Reliability Protocol</w:t>
        </w:r>
      </w:hyperlink>
    </w:p>
    <w:p>
      <w:pPr>
        <w:pStyle w:val="Compact"/>
        <w:numPr>
          <w:ilvl w:val="0"/>
          <w:numId w:val="1001"/>
        </w:numPr>
      </w:pPr>
      <w:hyperlink w:anchor="Xeccfb28f9c95f8350b77cb6948245dadfbaef98">
        <w:r>
          <w:rPr>
            <w:rStyle w:val="Hyperlink"/>
          </w:rPr>
          <w:t xml:space="preserve">Discrepancy Resolution Protocol</w:t>
        </w:r>
      </w:hyperlink>
    </w:p>
    <w:p>
      <w:pPr>
        <w:pStyle w:val="Compact"/>
        <w:numPr>
          <w:ilvl w:val="0"/>
          <w:numId w:val="1001"/>
        </w:numPr>
      </w:pPr>
      <w:hyperlink w:anchor="Xe098ec1907cdd0394370993ee8e9e2b66145869">
        <w:r>
          <w:rPr>
            <w:rStyle w:val="Hyperlink"/>
          </w:rPr>
          <w:t xml:space="preserve">Study Exclusion Protocol</w:t>
        </w:r>
      </w:hyperlink>
    </w:p>
    <w:p>
      <w:pPr>
        <w:pStyle w:val="Compact"/>
        <w:numPr>
          <w:ilvl w:val="0"/>
          <w:numId w:val="1001"/>
        </w:numPr>
      </w:pPr>
      <w:hyperlink w:anchor="X31cb2e2e98c04edcc7e3eb906bb6e141e02dff3">
        <w:r>
          <w:rPr>
            <w:rStyle w:val="Hyperlink"/>
          </w:rPr>
          <w:t xml:space="preserve">Quality Assurance Checklist</w:t>
        </w:r>
      </w:hyperlink>
    </w:p>
    <w:p>
      <w:pPr>
        <w:pStyle w:val="Compact"/>
        <w:numPr>
          <w:ilvl w:val="0"/>
          <w:numId w:val="1001"/>
        </w:numPr>
      </w:pPr>
      <w:hyperlink w:anchor="Xcb8f34702d1980450cb726f50d1fbc110147fb8">
        <w:r>
          <w:rPr>
            <w:rStyle w:val="Hyperlink"/>
          </w:rPr>
          <w:t xml:space="preserve">References</w:t>
        </w:r>
      </w:hyperlink>
    </w:p>
    <w:p>
      <w:pPr>
        <w:pStyle w:val="Compact"/>
        <w:numPr>
          <w:ilvl w:val="0"/>
          <w:numId w:val="1001"/>
        </w:numPr>
      </w:pPr>
      <w:hyperlink w:anchor="appendix-a-decision-trees">
        <w:r>
          <w:rPr>
            <w:rStyle w:val="Hyperlink"/>
          </w:rPr>
          <w:t xml:space="preserve">Appendix A: Decision Trees</w:t>
        </w:r>
      </w:hyperlink>
    </w:p>
    <w:p>
      <w:pPr>
        <w:pStyle w:val="Compact"/>
        <w:numPr>
          <w:ilvl w:val="0"/>
          <w:numId w:val="1001"/>
        </w:numPr>
      </w:pPr>
      <w:hyperlink w:anchor="appendix-b-faq">
        <w:r>
          <w:rPr>
            <w:rStyle w:val="Hyperlink"/>
          </w:rPr>
          <w:t xml:space="preserve">Appendix B: FAQ</w:t>
        </w:r>
      </w:hyperlink>
    </w:p>
    <w:p>
      <w:pPr>
        <w:pStyle w:val="Compact"/>
        <w:numPr>
          <w:ilvl w:val="0"/>
          <w:numId w:val="1001"/>
        </w:numPr>
      </w:pPr>
      <w:hyperlink w:anchor="X126b38d1dfa1631d2124f59fb404bbc38c4ff8d">
        <w:r>
          <w:rPr>
            <w:rStyle w:val="Hyperlink"/>
          </w:rPr>
          <w:t xml:space="preserve">Appendix C: Excel Template Sheet Descriptions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4" w:name="introduction-and-purpose"/>
    <w:p>
      <w:pPr>
        <w:pStyle w:val="Heading2"/>
      </w:pPr>
      <w:r>
        <w:t xml:space="preserve">1. Introduction and Purpose</w:t>
      </w:r>
    </w:p>
    <w:bookmarkStart w:id="11" w:name="masem-study-overview"/>
    <w:p>
      <w:pPr>
        <w:pStyle w:val="Heading3"/>
      </w:pPr>
      <w:r>
        <w:t xml:space="preserve">1.1 MASEM Study Overview</w:t>
      </w:r>
    </w:p>
    <w:p>
      <w:pPr>
        <w:pStyle w:val="FirstParagraph"/>
      </w:pPr>
      <w:r>
        <w:t xml:space="preserve">This meta-analytic structural equation modeling (MASEM) study synthesizes empirical research on AI technology adoption in</w:t>
      </w:r>
      <w:r>
        <w:t xml:space="preserve"> </w:t>
      </w:r>
      <w:r>
        <w:rPr>
          <w:b/>
          <w:bCs/>
        </w:rPr>
        <w:t xml:space="preserve">educational contexts</w:t>
      </w:r>
      <w:r>
        <w:t xml:space="preserve"> </w:t>
      </w:r>
      <w:r>
        <w:t xml:space="preserve">(K-12, higher education, and vocational) to:</w:t>
      </w:r>
    </w:p>
    <w:p>
      <w:pPr>
        <w:pStyle w:val="Compact"/>
        <w:numPr>
          <w:ilvl w:val="0"/>
          <w:numId w:val="1002"/>
        </w:numPr>
      </w:pPr>
      <w:r>
        <w:t xml:space="preserve">Test the validity of traditional technology acceptance models (TAM/UTAUT) in the educational AI context</w:t>
      </w:r>
    </w:p>
    <w:p>
      <w:pPr>
        <w:pStyle w:val="Compact"/>
        <w:numPr>
          <w:ilvl w:val="0"/>
          <w:numId w:val="1002"/>
        </w:numPr>
      </w:pPr>
      <w:r>
        <w:t xml:space="preserve">Evaluate whether AI-specific constructs (Trust, Anxiety, Transparency, Autonomy) provide incremental explanatory power</w:t>
      </w:r>
    </w:p>
    <w:p>
      <w:pPr>
        <w:pStyle w:val="Compact"/>
        <w:numPr>
          <w:ilvl w:val="0"/>
          <w:numId w:val="1002"/>
        </w:numPr>
      </w:pPr>
      <w:r>
        <w:t xml:space="preserve">Identify moderators of AI adoption relationships (AI type, education level, culture, temporal period)</w:t>
      </w:r>
    </w:p>
    <w:p>
      <w:pPr>
        <w:pStyle w:val="Compact"/>
        <w:numPr>
          <w:ilvl w:val="0"/>
          <w:numId w:val="1002"/>
        </w:numPr>
      </w:pPr>
      <w:r>
        <w:t xml:space="preserve">Compare competing theoretical models using two-stage SEM (TSSEM)</w:t>
      </w:r>
    </w:p>
    <w:p>
      <w:pPr>
        <w:pStyle w:val="FirstParagraph"/>
      </w:pPr>
      <w:r>
        <w:t xml:space="preserve">The study extracts correlation matrices from primary studies to build pooled correlation matrices, then fits structural models. This requires precise extraction of Pearson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values (or standardized β for conversion) and careful harmonization of construct labels across studies.</w:t>
      </w:r>
    </w:p>
    <w:bookmarkEnd w:id="11"/>
    <w:bookmarkStart w:id="12" w:name="how-to-use-this-manual"/>
    <w:p>
      <w:pPr>
        <w:pStyle w:val="Heading3"/>
      </w:pPr>
      <w:r>
        <w:t xml:space="preserve">1.2 How to Use This Manual</w:t>
      </w:r>
    </w:p>
    <w:p>
      <w:pPr>
        <w:pStyle w:val="Compact"/>
        <w:numPr>
          <w:ilvl w:val="0"/>
          <w:numId w:val="1003"/>
        </w:numPr>
      </w:pPr>
      <w:r>
        <w:t xml:space="preserve">Read the entire manual before beginning coding</w:t>
      </w:r>
    </w:p>
    <w:p>
      <w:pPr>
        <w:pStyle w:val="Compact"/>
        <w:numPr>
          <w:ilvl w:val="0"/>
          <w:numId w:val="1003"/>
        </w:numPr>
      </w:pPr>
      <w:r>
        <w:t xml:space="preserve">Complete the training protocol (Chapter 4) before independent coding</w:t>
      </w:r>
    </w:p>
    <w:p>
      <w:pPr>
        <w:pStyle w:val="Compact"/>
        <w:numPr>
          <w:ilvl w:val="0"/>
          <w:numId w:val="1003"/>
        </w:numPr>
      </w:pPr>
      <w:r>
        <w:t xml:space="preserve">Keep the Excel codebook (</w:t>
      </w:r>
      <w:r>
        <w:rPr>
          <w:rStyle w:val="VerbatimChar"/>
        </w:rPr>
        <w:t xml:space="preserve">AI_Adoption_MASEM_Coding_v2.xlsx</w:t>
      </w:r>
      <w:r>
        <w:t xml:space="preserve">) open alongside this manual</w:t>
      </w:r>
    </w:p>
    <w:p>
      <w:pPr>
        <w:pStyle w:val="Compact"/>
        <w:numPr>
          <w:ilvl w:val="0"/>
          <w:numId w:val="1003"/>
        </w:numPr>
      </w:pPr>
      <w:r>
        <w:t xml:space="preserve">When uncertain, consult the decision trees (Appendix A)</w:t>
      </w:r>
    </w:p>
    <w:p>
      <w:pPr>
        <w:pStyle w:val="Compact"/>
        <w:numPr>
          <w:ilvl w:val="0"/>
          <w:numId w:val="1003"/>
        </w:numPr>
      </w:pPr>
      <w:r>
        <w:t xml:space="preserve">Document all ambiguous decisions in the DISCREPANCY_LOG sheet</w:t>
      </w:r>
    </w:p>
    <w:bookmarkEnd w:id="12"/>
    <w:bookmarkStart w:id="13" w:name="canonical-source-of-truth"/>
    <w:p>
      <w:pPr>
        <w:pStyle w:val="Heading3"/>
      </w:pPr>
      <w:r>
        <w:t xml:space="preserve">1.3 Canonical Source of Truth</w:t>
      </w:r>
    </w:p>
    <w:p>
      <w:pPr>
        <w:pStyle w:val="Compact"/>
        <w:numPr>
          <w:ilvl w:val="0"/>
          <w:numId w:val="1004"/>
        </w:numPr>
      </w:pPr>
      <w:r>
        <w:t xml:space="preserve">This document is the</w:t>
      </w:r>
      <w:r>
        <w:t xml:space="preserve"> </w:t>
      </w:r>
      <w:r>
        <w:rPr>
          <w:b/>
          <w:bCs/>
        </w:rPr>
        <w:t xml:space="preserve">canonical coding protocol</w:t>
      </w:r>
      <w:r>
        <w:t xml:space="preserve"> </w:t>
      </w:r>
      <w:r>
        <w:t xml:space="preserve">for the project</w:t>
      </w:r>
    </w:p>
    <w:p>
      <w:pPr>
        <w:pStyle w:val="Compact"/>
        <w:numPr>
          <w:ilvl w:val="0"/>
          <w:numId w:val="1004"/>
        </w:numPr>
      </w:pPr>
      <w:r>
        <w:t xml:space="preserve">The Excel codebook (</w:t>
      </w:r>
      <w:r>
        <w:rPr>
          <w:rStyle w:val="VerbatimChar"/>
        </w:rPr>
        <w:t xml:space="preserve">AI_Adoption_MASEM_Coding_v2.xlsx</w:t>
      </w:r>
      <w:r>
        <w:t xml:space="preserve">) is the data-entry implementation</w:t>
      </w:r>
    </w:p>
    <w:p>
      <w:pPr>
        <w:pStyle w:val="Compact"/>
        <w:numPr>
          <w:ilvl w:val="0"/>
          <w:numId w:val="1004"/>
        </w:numPr>
      </w:pPr>
      <w:r>
        <w:t xml:space="preserve">Operational mirrors (markdown/docs) must remain synchronized with this document</w:t>
      </w:r>
    </w:p>
    <w:p>
      <w:pPr>
        <w:pStyle w:val="Compact"/>
        <w:numPr>
          <w:ilvl w:val="0"/>
          <w:numId w:val="1004"/>
        </w:numPr>
      </w:pPr>
      <w:r>
        <w:t xml:space="preserve">AI screening decisions are</w:t>
      </w:r>
      <w:r>
        <w:t xml:space="preserve"> </w:t>
      </w:r>
      <w:r>
        <w:rPr>
          <w:b/>
          <w:bCs/>
        </w:rPr>
        <w:t xml:space="preserve">advisory only</w:t>
      </w:r>
      <w:r>
        <w:t xml:space="preserve"> </w:t>
      </w:r>
      <w:r>
        <w:t xml:space="preserve">— they do not finalize exclusions</w:t>
      </w:r>
    </w:p>
    <w:p>
      <w:pPr>
        <w:pStyle w:val="Compact"/>
        <w:numPr>
          <w:ilvl w:val="0"/>
          <w:numId w:val="1004"/>
        </w:numPr>
      </w:pPr>
      <w:r>
        <w:t xml:space="preserve">All raw AI outputs, human coding records, and adjudication logs must be preserved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0" w:name="eligibility-criteria"/>
    <w:p>
      <w:pPr>
        <w:pStyle w:val="Heading2"/>
      </w:pPr>
      <w:r>
        <w:t xml:space="preserve">2. Eligibility Criteria</w:t>
      </w:r>
    </w:p>
    <w:bookmarkStart w:id="15" w:name="picos-framework"/>
    <w:p>
      <w:pPr>
        <w:pStyle w:val="Heading3"/>
      </w:pPr>
      <w:r>
        <w:t xml:space="preserve">2.1 PICOS Framework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3226"/>
        <w:gridCol w:w="20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Population</w:t>
            </w:r>
          </w:p>
        </w:tc>
        <w:tc>
          <w:tcPr/>
          <w:p>
            <w:pPr>
              <w:pStyle w:val="Compact"/>
            </w:pPr>
            <w:r>
              <w:t xml:space="preserve">Students, teachers, instructors, faculty, or administrators in educational settings</w:t>
            </w:r>
          </w:p>
        </w:tc>
        <w:tc>
          <w:tcPr/>
          <w:p>
            <w:pPr>
              <w:pStyle w:val="Compact"/>
            </w:pPr>
            <w:r>
              <w:t xml:space="preserve">K-12, higher education, vocational training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Intervention/Exposure</w:t>
            </w:r>
          </w:p>
        </w:tc>
        <w:tc>
          <w:tcPr/>
          <w:p>
            <w:pPr>
              <w:pStyle w:val="Compact"/>
            </w:pPr>
            <w:r>
              <w:t xml:space="preserve">AI technology adoption/acceptance</w:t>
            </w:r>
          </w:p>
        </w:tc>
        <w:tc>
          <w:tcPr/>
          <w:p>
            <w:pPr>
              <w:pStyle w:val="Compact"/>
            </w:pPr>
            <w:r>
              <w:t xml:space="preserve">Generative AI, predictive AI, ITS, chatbots, AI-powered LMS,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Comparison</w:t>
            </w:r>
          </w:p>
        </w:tc>
        <w:tc>
          <w:tcPr/>
          <w:p>
            <w:pPr>
              <w:pStyle w:val="Compact"/>
            </w:pPr>
            <w:r>
              <w:t xml:space="preserve">Not required (correlational studies)</w:t>
            </w:r>
          </w:p>
        </w:tc>
        <w:tc>
          <w:tcPr/>
          <w:p>
            <w:pPr>
              <w:pStyle w:val="Compact"/>
            </w:pPr>
            <w:r>
              <w:t xml:space="preserve">Most studies are single-group surveys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Outcomes</w:t>
            </w:r>
          </w:p>
        </w:tc>
        <w:tc>
          <w:tcPr/>
          <w:p>
            <w:pPr>
              <w:pStyle w:val="Compact"/>
            </w:pPr>
            <w:r>
              <w:t xml:space="preserve">Correlation matrix or standardized path coefficients (β)</w:t>
            </w:r>
          </w:p>
        </w:tc>
        <w:tc>
          <w:tcPr/>
          <w:p>
            <w:pPr>
              <w:pStyle w:val="Compact"/>
            </w:pPr>
            <w:r>
              <w:t xml:space="preserve">Must include ≥ 2 of 12 target constructs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Study Design</w:t>
            </w:r>
          </w:p>
        </w:tc>
        <w:tc>
          <w:tcPr/>
          <w:p>
            <w:pPr>
              <w:pStyle w:val="Compact"/>
            </w:pPr>
            <w:r>
              <w:t xml:space="preserve">Quantitative empirical studies</w:t>
            </w:r>
          </w:p>
        </w:tc>
        <w:tc>
          <w:tcPr/>
          <w:p>
            <w:pPr>
              <w:pStyle w:val="Compact"/>
            </w:pPr>
            <w:r>
              <w:t xml:space="preserve">Cross-sectional surveys, longitudinal, experimental</w:t>
            </w:r>
          </w:p>
        </w:tc>
      </w:tr>
    </w:tbl>
    <w:bookmarkEnd w:id="15"/>
    <w:bookmarkStart w:id="16" w:name="inclusion-criteria"/>
    <w:p>
      <w:pPr>
        <w:pStyle w:val="Heading3"/>
      </w:pPr>
      <w:r>
        <w:t xml:space="preserve">2.2 Inclusion Criteria</w:t>
      </w:r>
    </w:p>
    <w:p>
      <w:pPr>
        <w:pStyle w:val="Compact"/>
        <w:numPr>
          <w:ilvl w:val="0"/>
          <w:numId w:val="1005"/>
        </w:numPr>
      </w:pPr>
      <w:r>
        <w:t xml:space="preserve">Empirical quantitative study with primary data</w:t>
      </w:r>
    </w:p>
    <w:p>
      <w:pPr>
        <w:pStyle w:val="Compact"/>
        <w:numPr>
          <w:ilvl w:val="0"/>
          <w:numId w:val="1005"/>
        </w:numPr>
      </w:pPr>
      <w:r>
        <w:t xml:space="preserve">AI technology adoption/acceptance as focal phenomenon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Educational setting/population</w:t>
      </w:r>
      <w:r>
        <w:t xml:space="preserve"> </w:t>
      </w:r>
      <w:r>
        <w:t xml:space="preserve">(K-12, higher education, or vocational)</w:t>
      </w:r>
    </w:p>
    <w:p>
      <w:pPr>
        <w:pStyle w:val="Compact"/>
        <w:numPr>
          <w:ilvl w:val="0"/>
          <w:numId w:val="1005"/>
        </w:numPr>
      </w:pPr>
      <w:r>
        <w:t xml:space="preserve">Correlation matrix OR standardized path coefficients (β) reported</w:t>
      </w:r>
    </w:p>
    <w:p>
      <w:pPr>
        <w:pStyle w:val="Compact"/>
        <w:numPr>
          <w:ilvl w:val="0"/>
          <w:numId w:val="1005"/>
        </w:numPr>
      </w:pPr>
      <w:r>
        <w:t xml:space="preserve">At least 2 of 12 target constructs measured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Published 2022–2026</w:t>
      </w:r>
    </w:p>
    <w:p>
      <w:pPr>
        <w:pStyle w:val="Compact"/>
        <w:numPr>
          <w:ilvl w:val="0"/>
          <w:numId w:val="1005"/>
        </w:numPr>
      </w:pPr>
      <w:r>
        <w:t xml:space="preserve">English language</w:t>
      </w:r>
    </w:p>
    <w:p>
      <w:pPr>
        <w:pStyle w:val="Compact"/>
        <w:numPr>
          <w:ilvl w:val="0"/>
          <w:numId w:val="1005"/>
        </w:numPr>
      </w:pPr>
      <w:r>
        <w:t xml:space="preserve">Sample size n ≥ 50</w:t>
      </w:r>
    </w:p>
    <w:p>
      <w:pPr>
        <w:pStyle w:val="Compact"/>
        <w:numPr>
          <w:ilvl w:val="0"/>
          <w:numId w:val="1005"/>
        </w:numPr>
      </w:pPr>
      <w:r>
        <w:t xml:space="preserve">Peer-reviewed journal article or full conference paper</w:t>
      </w:r>
    </w:p>
    <w:bookmarkEnd w:id="16"/>
    <w:bookmarkStart w:id="17" w:name="exclusion-criteria"/>
    <w:p>
      <w:pPr>
        <w:pStyle w:val="Heading3"/>
      </w:pPr>
      <w:r>
        <w:t xml:space="preserve">2.3 Exclusion Criteria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95"/>
        <w:gridCol w:w="51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Not empirical/quantitative (qualitative, conceptual, review)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AI not focal (general IT, e-commerce without AI)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educational context</w:t>
            </w:r>
            <w:r>
              <w:t xml:space="preserve"> </w:t>
            </w:r>
            <w:r>
              <w:t xml:space="preserve">(healthcare, manufacturing, finance, etc.)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E4</w:t>
            </w:r>
          </w:p>
        </w:tc>
        <w:tc>
          <w:tcPr/>
          <w:p>
            <w:pPr>
              <w:pStyle w:val="Compact"/>
            </w:pPr>
            <w:r>
              <w:t xml:space="preserve">No adoption/acceptance outcome measured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</w:t>
            </w:r>
          </w:p>
        </w:tc>
        <w:tc>
          <w:tcPr/>
          <w:p>
            <w:pPr>
              <w:pStyle w:val="Compact"/>
            </w:pPr>
            <w:r>
              <w:t xml:space="preserve">No effect size data (no correlation or β)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E6</w:t>
            </w:r>
          </w:p>
        </w:tc>
        <w:tc>
          <w:tcPr/>
          <w:p>
            <w:pPr>
              <w:pStyle w:val="Compact"/>
            </w:pPr>
            <w:r>
              <w:t xml:space="preserve">Not English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E7</w:t>
            </w:r>
          </w:p>
        </w:tc>
        <w:tc>
          <w:tcPr/>
          <w:p>
            <w:pPr>
              <w:pStyle w:val="Compact"/>
            </w:pPr>
            <w:r>
              <w:t xml:space="preserve">Outside 2022–2026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E8</w:t>
            </w:r>
          </w:p>
        </w:tc>
        <w:tc>
          <w:tcPr/>
          <w:p>
            <w:pPr>
              <w:pStyle w:val="Compact"/>
            </w:pPr>
            <w:r>
              <w:t xml:space="preserve">n &lt; 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E9</w:t>
            </w:r>
          </w:p>
        </w:tc>
        <w:tc>
          <w:tcPr/>
          <w:p>
            <w:pPr>
              <w:pStyle w:val="Compact"/>
            </w:pPr>
            <w:r>
              <w:t xml:space="preserve">Not peer-reviewed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E10</w:t>
            </w:r>
          </w:p>
        </w:tc>
        <w:tc>
          <w:tcPr/>
          <w:p>
            <w:pPr>
              <w:pStyle w:val="Compact"/>
            </w:pPr>
            <w:r>
              <w:t xml:space="preserve">Duplicate sample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E11</w:t>
            </w:r>
          </w:p>
        </w:tc>
        <w:tc>
          <w:tcPr/>
          <w:p>
            <w:pPr>
              <w:pStyle w:val="Compact"/>
            </w:pPr>
            <w:r>
              <w:t xml:space="preserve">Qualitative/review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E12</w:t>
            </w:r>
          </w:p>
        </w:tc>
        <w:tc>
          <w:tcPr/>
          <w:p>
            <w:pPr>
              <w:pStyle w:val="Compact"/>
            </w:pPr>
            <w:r>
              <w:t xml:space="preserve">Other</w:t>
            </w:r>
          </w:p>
        </w:tc>
      </w:tr>
    </w:tbl>
    <w:bookmarkEnd w:id="17"/>
    <w:bookmarkStart w:id="18" w:name="full-text-exclusion-criteria-phase-4"/>
    <w:p>
      <w:pPr>
        <w:pStyle w:val="Heading3"/>
      </w:pPr>
      <w:r>
        <w:t xml:space="preserve">2.4 Full-Text Exclusion Criteria (Phase 4)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E-FT1</w:t>
            </w:r>
          </w:p>
        </w:tc>
        <w:tc>
          <w:tcPr/>
          <w:p>
            <w:pPr>
              <w:pStyle w:val="Compact"/>
            </w:pPr>
            <w:r>
              <w:t xml:space="preserve">Reports &lt; 2 construct-pair statistics (r or β)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E-FT2</w:t>
            </w:r>
          </w:p>
        </w:tc>
        <w:tc>
          <w:tcPr/>
          <w:p>
            <w:pPr>
              <w:pStyle w:val="Compact"/>
            </w:pPr>
            <w:r>
              <w:t xml:space="preserve">Constructs do not map to the 12-construct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E-FT3</w:t>
            </w:r>
          </w:p>
        </w:tc>
        <w:tc>
          <w:tcPr/>
          <w:p>
            <w:pPr>
              <w:pStyle w:val="Compact"/>
            </w:pPr>
            <w:r>
              <w:t xml:space="preserve">Not educational context (upon full-text review)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E-FT4</w:t>
            </w:r>
          </w:p>
        </w:tc>
        <w:tc>
          <w:tcPr/>
          <w:p>
            <w:pPr>
              <w:pStyle w:val="Compact"/>
            </w:pPr>
            <w:r>
              <w:t xml:space="preserve">Duplicate sample (same data in multiple publications)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E-FT5</w:t>
            </w:r>
          </w:p>
        </w:tc>
        <w:tc>
          <w:tcPr/>
          <w:p>
            <w:pPr>
              <w:pStyle w:val="Compact"/>
            </w:pPr>
            <w:r>
              <w:t xml:space="preserve">Conference abstract only (no full paper available)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E-FT6</w:t>
            </w:r>
          </w:p>
        </w:tc>
        <w:tc>
          <w:tcPr/>
          <w:p>
            <w:pPr>
              <w:pStyle w:val="Compact"/>
            </w:pPr>
            <w:r>
              <w:t xml:space="preserve">Full-text inaccessible</w:t>
            </w:r>
          </w:p>
        </w:tc>
      </w:tr>
    </w:tbl>
    <w:bookmarkEnd w:id="18"/>
    <w:bookmarkStart w:id="19" w:name="borderline-decision-rules"/>
    <w:p>
      <w:pPr>
        <w:pStyle w:val="Heading3"/>
      </w:pPr>
      <w:r>
        <w:t xml:space="preserve">2.5 Borderline Decision Rules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Chatbots/virtual assistants:</w:t>
      </w:r>
      <w:r>
        <w:t xml:space="preserve"> </w:t>
      </w:r>
      <w:r>
        <w:t xml:space="preserve">INCLUDE if AI-powered and adoption is measured in educational setting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Recommendation systems:</w:t>
      </w:r>
      <w:r>
        <w:t xml:space="preserve"> </w:t>
      </w:r>
      <w:r>
        <w:t xml:space="preserve">INCLUDE if AI/ML-based and study frames as AI adoption in education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Mixed-methods studies:</w:t>
      </w:r>
      <w:r>
        <w:t xml:space="preserve"> </w:t>
      </w:r>
      <w:r>
        <w:t xml:space="preserve">INCLUDE if quantitative portion meets all criteria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Partial correlation reporting:</w:t>
      </w:r>
      <w:r>
        <w:t xml:space="preserve"> </w:t>
      </w:r>
      <w:r>
        <w:t xml:space="preserve">INCLUDE (use available-case principle)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Conference papers later published as journal articles:</w:t>
      </w:r>
      <w:r>
        <w:t xml:space="preserve"> </w:t>
      </w:r>
      <w:r>
        <w:t xml:space="preserve">Use journal version only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K-12 vs. Higher Ed ambiguity:</w:t>
      </w:r>
      <w:r>
        <w:t xml:space="preserve"> </w:t>
      </w:r>
      <w:r>
        <w:t xml:space="preserve">Code the education_level moderator; include both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coding-workflow-overview"/>
    <w:p>
      <w:pPr>
        <w:pStyle w:val="Heading2"/>
      </w:pPr>
      <w:r>
        <w:t xml:space="preserve">3. Coding Workflow Overview</w:t>
      </w:r>
    </w:p>
    <w:bookmarkStart w:id="21" w:name="workflow-diagram"/>
    <w:p>
      <w:pPr>
        <w:pStyle w:val="Heading3"/>
      </w:pPr>
      <w:r>
        <w:t xml:space="preserve">3.1 Workflow Diagram</w:t>
      </w:r>
    </w:p>
    <w:p>
      <w:pPr>
        <w:pStyle w:val="SourceCode"/>
      </w:pPr>
      <w:r>
        <w:rPr>
          <w:rStyle w:val="VerbatimChar"/>
        </w:rPr>
        <w:t xml:space="preserve">Phase 0: Calibration (10 studies)</w:t>
      </w:r>
      <w:r>
        <w:br/>
      </w:r>
      <w:r>
        <w:rPr>
          <w:rStyle w:val="VerbatimChar"/>
        </w:rPr>
        <w:t xml:space="preserve">   │  All 4 coders (R1-R4) code same 10 studies</w:t>
      </w:r>
      <w:r>
        <w:br/>
      </w:r>
      <w:r>
        <w:rPr>
          <w:rStyle w:val="VerbatimChar"/>
        </w:rPr>
        <w:t xml:space="preserve">   │  ► Calculate inter-pair consistency</w:t>
      </w:r>
      <w:r>
        <w:br/>
      </w:r>
      <w:r>
        <w:rPr>
          <w:rStyle w:val="VerbatimChar"/>
        </w:rPr>
        <w:t xml:space="preserve">   │  ► Resolve disagreements, refine rules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Phase 1: Dual Coding — 100 studies</w:t>
      </w:r>
      <w:r>
        <w:br/>
      </w:r>
      <w:r>
        <w:rPr>
          <w:rStyle w:val="VerbatimChar"/>
        </w:rPr>
        <w:t xml:space="preserve">   │  = Paper B validation Wave 1 + Paper A ICR sample</w:t>
      </w:r>
      <w:r>
        <w:br/>
      </w:r>
      <w:r>
        <w:rPr>
          <w:rStyle w:val="VerbatimChar"/>
        </w:rPr>
        <w:t xml:space="preserve">   │  Pair A (R1 + R2): 50 studies independently (blinded)</w:t>
      </w:r>
      <w:r>
        <w:br/>
      </w:r>
      <w:r>
        <w:rPr>
          <w:rStyle w:val="VerbatimChar"/>
        </w:rPr>
        <w:t xml:space="preserve">   │  Pair B (R3 + R4): 50 studies independently (blinded)</w:t>
      </w:r>
      <w:r>
        <w:br/>
      </w:r>
      <w:r>
        <w:rPr>
          <w:rStyle w:val="VerbatimChar"/>
        </w:rPr>
        <w:t xml:space="preserve">   │  ► Cross-pair adjudication for discrepancies</w:t>
      </w:r>
      <w:r>
        <w:br/>
      </w:r>
      <w:r>
        <w:rPr>
          <w:rStyle w:val="VerbatimChar"/>
        </w:rPr>
        <w:t xml:space="preserve">   │  ► ICR targets: κ ≥ .85, ICC ≥ .90, MAE ≤ .03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Phase 2: Rotated-Pair Human Coding — remaining eligible studies</w:t>
      </w:r>
      <w:r>
        <w:br/>
      </w:r>
      <w:r>
        <w:rPr>
          <w:rStyle w:val="VerbatimChar"/>
        </w:rPr>
        <w:t xml:space="preserve">   │  = Paper B validation Wave 2 + Paper A remaining studies</w:t>
      </w:r>
      <w:r>
        <w:br/>
      </w:r>
      <w:r>
        <w:rPr>
          <w:rStyle w:val="VerbatimChar"/>
        </w:rPr>
        <w:t xml:space="preserve">   │  Pair C (R1 + R4): 57 studies independent double coding</w:t>
      </w:r>
      <w:r>
        <w:br/>
      </w:r>
      <w:r>
        <w:rPr>
          <w:rStyle w:val="VerbatimChar"/>
        </w:rPr>
        <w:t xml:space="preserve">   │  Pair D (R2 + R3): 56 studies independent double coding</w:t>
      </w:r>
      <w:r>
        <w:br/>
      </w:r>
      <w:r>
        <w:rPr>
          <w:rStyle w:val="VerbatimChar"/>
        </w:rPr>
        <w:t xml:space="preserve">   │  ► LLM outputs hidden until adjudication</w:t>
      </w:r>
      <w:r>
        <w:br/>
      </w:r>
      <w:r>
        <w:rPr>
          <w:rStyle w:val="VerbatimChar"/>
        </w:rPr>
        <w:t xml:space="preserve">   │  ► Cross-pair adjudication for discrepancies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Phase 3 (parallel): AI Extraction</w:t>
      </w:r>
      <w:r>
        <w:br/>
      </w:r>
      <w:r>
        <w:rPr>
          <w:rStyle w:val="VerbatimChar"/>
        </w:rPr>
        <w:t xml:space="preserve">   │  ► 3-model consensus: Claude CLI + Gemini CLI + Codex CLI</w:t>
      </w:r>
      <w:r>
        <w:br/>
      </w:r>
      <w:r>
        <w:rPr>
          <w:rStyle w:val="VerbatimChar"/>
        </w:rPr>
        <w:t xml:space="preserve">   │  ► Results NOT shown to human coders until Phase 4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Phase 4: ICR &amp; AI-Human Comparison</w:t>
      </w:r>
      <w:r>
        <w:br/>
      </w:r>
      <w:r>
        <w:rPr>
          <w:rStyle w:val="VerbatimChar"/>
        </w:rPr>
        <w:t xml:space="preserve">   │  ► Pair A ICR (R1 vs R2) on 50 studies</w:t>
      </w:r>
      <w:r>
        <w:br/>
      </w:r>
      <w:r>
        <w:rPr>
          <w:rStyle w:val="VerbatimChar"/>
        </w:rPr>
        <w:t xml:space="preserve">   │  ► Pair B ICR (R3 vs R4) on 50 studies</w:t>
      </w:r>
      <w:r>
        <w:br/>
      </w:r>
      <w:r>
        <w:rPr>
          <w:rStyle w:val="VerbatimChar"/>
        </w:rPr>
        <w:t xml:space="preserve">   │  ► Raw human-human disagreement before adjudication</w:t>
      </w:r>
      <w:r>
        <w:br/>
      </w:r>
      <w:r>
        <w:rPr>
          <w:rStyle w:val="VerbatimChar"/>
        </w:rPr>
        <w:t xml:space="preserve">   │  ► AI-Human agreement against source-anchored adjudicated reference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Phase 5: Discrepancy Resolution</w:t>
      </w:r>
      <w:r>
        <w:br/>
      </w:r>
      <w:r>
        <w:rPr>
          <w:rStyle w:val="VerbatimChar"/>
        </w:rPr>
        <w:t xml:space="preserve">   │  ► Cross-pair adjudication for Phase 1 discrepancies</w:t>
      </w:r>
      <w:r>
        <w:br/>
      </w:r>
      <w:r>
        <w:rPr>
          <w:rStyle w:val="VerbatimChar"/>
        </w:rPr>
        <w:t xml:space="preserve">   │  ► Return to original study for all discrepancies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Phase 6: QA Final (6 Gates)</w:t>
      </w:r>
      <w:r>
        <w:br/>
      </w:r>
      <w:r>
        <w:rPr>
          <w:rStyle w:val="VerbatimChar"/>
        </w:rPr>
        <w:t xml:space="preserve">   │  ► Range, symmetry, diagonal, completeness, sample size, duplicate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Final Validated Dataset</w:t>
      </w:r>
    </w:p>
    <w:bookmarkEnd w:id="21"/>
    <w:bookmarkStart w:id="22" w:name="key-workflow-rules"/>
    <w:p>
      <w:pPr>
        <w:pStyle w:val="Heading3"/>
      </w:pPr>
      <w:r>
        <w:t xml:space="preserve">3.2 Key Workflow Rules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Calibration (Phase 0):</w:t>
      </w:r>
      <w:r>
        <w:t xml:space="preserve"> </w:t>
      </w:r>
      <w:r>
        <w:t xml:space="preserve">All 4 coders code the same 10 studies to establish inter-pair consistency before Phase 1 begins.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Dual coding (Phase 1):</w:t>
      </w:r>
      <w:r>
        <w:t xml:space="preserve"> </w:t>
      </w:r>
      <w:r>
        <w:t xml:space="preserve">Two independent pairs (R1+R2, R3+R4) each code 50 studies. This 100-study set serves dual purpose: Paper B validation Wave 1 AND Paper A ICR validation.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Cross-pair adjudication:</w:t>
      </w:r>
      <w:r>
        <w:t xml:space="preserve"> </w:t>
      </w:r>
      <w:r>
        <w:t xml:space="preserve">Discrepancies within Pair A (R1-R2) are adjudicated by R3 or R4. Discrepancies within Pair B (R3-R4) are adjudicated by R1 or R2.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Rotated-pair coding (Phase 2):</w:t>
      </w:r>
      <w:r>
        <w:t xml:space="preserve"> </w:t>
      </w:r>
      <w:r>
        <w:t xml:space="preserve">Remaining eligible studies are coded by Pair C (R1+R4) and Pair D (R2+R3). This replaces the earlier single-coding plan.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AI extraction (Phase 3):</w:t>
      </w:r>
      <w:r>
        <w:t xml:space="preserve"> </w:t>
      </w:r>
      <w:r>
        <w:t xml:space="preserve">Runs in parallel with human coding where needed. Results are NOT shown to human coders until independent coding and adjudication are complete.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Reference standard terminology:</w:t>
      </w:r>
      <w:r>
        <w:t xml:space="preserve"> </w:t>
      </w:r>
      <w:r>
        <w:t xml:space="preserve">Use source-anchored adjudicated human reference standard. Raw human disagreement is analyzed before adjudication; LLM outputs are evaluated only after reference freeze.</w:t>
      </w:r>
    </w:p>
    <w:bookmarkEnd w:id="22"/>
    <w:bookmarkStart w:id="23" w:name="estimated-timeline"/>
    <w:p>
      <w:pPr>
        <w:pStyle w:val="Heading3"/>
      </w:pPr>
      <w:r>
        <w:t xml:space="preserve">3.3 Estimated Timeline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0"/>
        <w:gridCol w:w="2200"/>
        <w:gridCol w:w="242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Personnel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0: Calibration</w:t>
            </w:r>
          </w:p>
        </w:tc>
        <w:tc>
          <w:tcPr/>
          <w:p>
            <w:pPr>
              <w:pStyle w:val="Compact"/>
            </w:pPr>
            <w:r>
              <w:t xml:space="preserve">3 days</w:t>
            </w:r>
          </w:p>
        </w:tc>
        <w:tc>
          <w:tcPr/>
          <w:p>
            <w:pPr>
              <w:pStyle w:val="Compact"/>
            </w:pPr>
            <w:r>
              <w:t xml:space="preserve">R1, R2, R3, R4 (all)</w:t>
            </w:r>
          </w:p>
        </w:tc>
        <w:tc>
          <w:tcPr/>
          <w:p>
            <w:pPr>
              <w:pStyle w:val="Compact"/>
            </w:pPr>
            <w:r>
              <w:t xml:space="preserve">Inter-pair consistency 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1: Dual coding (100 studies)</w:t>
            </w:r>
          </w:p>
        </w:tc>
        <w:tc>
          <w:tcPr/>
          <w:p>
            <w:pPr>
              <w:pStyle w:val="Compact"/>
            </w:pPr>
            <w:r>
              <w:t xml:space="preserve">3 weeks</w:t>
            </w:r>
          </w:p>
        </w:tc>
        <w:tc>
          <w:tcPr/>
          <w:p>
            <w:pPr>
              <w:pStyle w:val="Compact"/>
            </w:pPr>
            <w:r>
              <w:t xml:space="preserve">Pair A (R1+R2), Pair B (R3+R4)</w:t>
            </w:r>
          </w:p>
        </w:tc>
        <w:tc>
          <w:tcPr/>
          <w:p>
            <w:pPr>
              <w:pStyle w:val="Compact"/>
            </w:pPr>
            <w:r>
              <w:t xml:space="preserve">Paper B validation Wave 1 + Paper A ICR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2: Rotated-pair coding (113 studies)</w:t>
            </w:r>
          </w:p>
        </w:tc>
        <w:tc>
          <w:tcPr/>
          <w:p>
            <w:pPr>
              <w:pStyle w:val="Compact"/>
            </w:pPr>
            <w:r>
              <w:t xml:space="preserve">2-3 weeks</w:t>
            </w:r>
          </w:p>
        </w:tc>
        <w:tc>
          <w:tcPr/>
          <w:p>
            <w:pPr>
              <w:pStyle w:val="Compact"/>
            </w:pPr>
            <w:r>
              <w:t xml:space="preserve">Pair C (R1+R4, 57), Pair D (R2+R3, 56)</w:t>
            </w:r>
          </w:p>
        </w:tc>
        <w:tc>
          <w:tcPr/>
          <w:p>
            <w:pPr>
              <w:pStyle w:val="Compact"/>
            </w:pPr>
            <w:r>
              <w:t xml:space="preserve">Paper B validation Wave 2 + Paper A remaining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3: AI extraction (parallel)</w:t>
            </w:r>
          </w:p>
        </w:tc>
        <w:tc>
          <w:tcPr/>
          <w:p>
            <w:pPr>
              <w:pStyle w:val="Compact"/>
            </w:pPr>
            <w:r>
              <w:t xml:space="preserve">1 week</w:t>
            </w:r>
          </w:p>
        </w:tc>
        <w:tc>
          <w:tcPr/>
          <w:p>
            <w:pPr>
              <w:pStyle w:val="Compact"/>
            </w:pPr>
            <w:r>
              <w:t xml:space="preserve">AI pipeline</w:t>
            </w:r>
          </w:p>
        </w:tc>
        <w:tc>
          <w:tcPr/>
          <w:p>
            <w:pPr>
              <w:pStyle w:val="Compact"/>
            </w:pPr>
            <w:r>
              <w:t xml:space="preserve">AI consensus dataset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4: ICR calculation</w:t>
            </w:r>
          </w:p>
        </w:tc>
        <w:tc>
          <w:tcPr/>
          <w:p>
            <w:pPr>
              <w:pStyle w:val="Compact"/>
            </w:pPr>
            <w:r>
              <w:t xml:space="preserve">3 days</w:t>
            </w:r>
          </w:p>
        </w:tc>
        <w:tc>
          <w:tcPr/>
          <w:p>
            <w:pPr>
              <w:pStyle w:val="Compact"/>
            </w:pPr>
            <w:r>
              <w:t xml:space="preserve">PI</w:t>
            </w:r>
          </w:p>
        </w:tc>
        <w:tc>
          <w:tcPr/>
          <w:p>
            <w:pPr>
              <w:pStyle w:val="Compact"/>
            </w:pPr>
            <w:r>
              <w:t xml:space="preserve">ICR metrics 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5: Discrepancy resolution</w:t>
            </w:r>
          </w:p>
        </w:tc>
        <w:tc>
          <w:tcPr/>
          <w:p>
            <w:pPr>
              <w:pStyle w:val="Compact"/>
            </w:pPr>
            <w:r>
              <w:t xml:space="preserve">1 week</w:t>
            </w:r>
          </w:p>
        </w:tc>
        <w:tc>
          <w:tcPr/>
          <w:p>
            <w:pPr>
              <w:pStyle w:val="Compact"/>
            </w:pPr>
            <w:r>
              <w:t xml:space="preserve">All coders + PI</w:t>
            </w:r>
          </w:p>
        </w:tc>
        <w:tc>
          <w:tcPr/>
          <w:p>
            <w:pPr>
              <w:pStyle w:val="Compact"/>
            </w:pPr>
            <w:r>
              <w:t xml:space="preserve">Resolved dataset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6: QA finalization</w:t>
            </w:r>
          </w:p>
        </w:tc>
        <w:tc>
          <w:tcPr/>
          <w:p>
            <w:pPr>
              <w:pStyle w:val="Compact"/>
            </w:pPr>
            <w:r>
              <w:t xml:space="preserve">3 days</w:t>
            </w:r>
          </w:p>
        </w:tc>
        <w:tc>
          <w:tcPr/>
          <w:p>
            <w:pPr>
              <w:pStyle w:val="Compact"/>
            </w:pPr>
            <w:r>
              <w:t xml:space="preserve">PI</w:t>
            </w:r>
          </w:p>
        </w:tc>
        <w:tc>
          <w:tcPr/>
          <w:p>
            <w:pPr>
              <w:pStyle w:val="Compact"/>
            </w:pPr>
            <w:r>
              <w:t xml:space="preserve">Final validated dataset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5" w:name="coder-training-protocol"/>
    <w:p>
      <w:pPr>
        <w:pStyle w:val="Heading2"/>
      </w:pPr>
      <w:r>
        <w:t xml:space="preserve">4. Coder Training Protocol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5"/>
        <w:gridCol w:w="1650"/>
        <w:gridCol w:w="1980"/>
        <w:gridCol w:w="313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Activities</w:t>
            </w:r>
          </w:p>
        </w:tc>
        <w:tc>
          <w:tcPr/>
          <w:p>
            <w:pPr>
              <w:pStyle w:val="Compact"/>
            </w:pPr>
            <w:r>
              <w:t xml:space="preserve">Success Criterion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Orientation</w:t>
            </w:r>
          </w:p>
        </w:tc>
        <w:tc>
          <w:tcPr/>
          <w:p>
            <w:pPr>
              <w:pStyle w:val="Compact"/>
            </w:pPr>
            <w:r>
              <w:t xml:space="preserve">2 hours</w:t>
            </w:r>
          </w:p>
        </w:tc>
        <w:tc>
          <w:tcPr/>
          <w:p>
            <w:pPr>
              <w:pStyle w:val="Compact"/>
            </w:pPr>
            <w:r>
              <w:t xml:space="preserve">Read full manual; review Excel codebook; understand MASEM basics</w:t>
            </w:r>
          </w:p>
        </w:tc>
        <w:tc>
          <w:tcPr/>
          <w:p>
            <w:pPr>
              <w:pStyle w:val="Compact"/>
            </w:pPr>
            <w:r>
              <w:t xml:space="preserve">Can explain MASEM data requirements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Practice — Metadata</w:t>
            </w:r>
          </w:p>
        </w:tc>
        <w:tc>
          <w:tcPr/>
          <w:p>
            <w:pPr>
              <w:pStyle w:val="Compact"/>
            </w:pPr>
            <w:r>
              <w:t xml:space="preserve">1 day</w:t>
            </w:r>
          </w:p>
        </w:tc>
        <w:tc>
          <w:tcPr/>
          <w:p>
            <w:pPr>
              <w:pStyle w:val="Compact"/>
            </w:pPr>
            <w:r>
              <w:t xml:space="preserve">Code 3 practice studies independently</w:t>
            </w:r>
          </w:p>
        </w:tc>
        <w:tc>
          <w:tcPr/>
          <w:p>
            <w:pPr>
              <w:pStyle w:val="Compact"/>
            </w:pPr>
            <w:r>
              <w:t xml:space="preserve">&gt;90% agreement with reference answers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Practice — Correlations</w:t>
            </w:r>
          </w:p>
        </w:tc>
        <w:tc>
          <w:tcPr/>
          <w:p>
            <w:pPr>
              <w:pStyle w:val="Compact"/>
            </w:pPr>
            <w:r>
              <w:t xml:space="preserve">2 days</w:t>
            </w:r>
          </w:p>
        </w:tc>
        <w:tc>
          <w:tcPr/>
          <w:p>
            <w:pPr>
              <w:pStyle w:val="Compact"/>
            </w:pPr>
            <w:r>
              <w:t xml:space="preserve">Extract correlations from 3 diverse studies (full matrix, partial, β-only)</w:t>
            </w:r>
          </w:p>
        </w:tc>
        <w:tc>
          <w:tcPr/>
          <w:p>
            <w:pPr>
              <w:pStyle w:val="Compact"/>
            </w:pPr>
            <w:r>
              <w:t xml:space="preserve">&gt;95% agreement on r values (within .02)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Practice — Harmonization</w:t>
            </w:r>
          </w:p>
        </w:tc>
        <w:tc>
          <w:tcPr/>
          <w:p>
            <w:pPr>
              <w:pStyle w:val="Compact"/>
            </w:pPr>
            <w:r>
              <w:t xml:space="preserve">1 day</w:t>
            </w:r>
          </w:p>
        </w:tc>
        <w:tc>
          <w:tcPr/>
          <w:p>
            <w:pPr>
              <w:pStyle w:val="Compact"/>
            </w:pPr>
            <w:r>
              <w:t xml:space="preserve">Harmonize constructs from 3 studies using mapping tables</w:t>
            </w:r>
          </w:p>
        </w:tc>
        <w:tc>
          <w:tcPr/>
          <w:p>
            <w:pPr>
              <w:pStyle w:val="Compact"/>
            </w:pPr>
            <w:r>
              <w:t xml:space="preserve">&gt;85% agreement on construct mapping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Calibration session</w:t>
            </w:r>
          </w:p>
        </w:tc>
        <w:tc>
          <w:tcPr/>
          <w:p>
            <w:pPr>
              <w:pStyle w:val="Compact"/>
            </w:pPr>
            <w:r>
              <w:t xml:space="preserve">2 hours</w:t>
            </w:r>
          </w:p>
        </w:tc>
        <w:tc>
          <w:tcPr/>
          <w:p>
            <w:pPr>
              <w:pStyle w:val="Compact"/>
            </w:pPr>
            <w:r>
              <w:t xml:space="preserve">Compare practice coding; discuss disagreements; refine rules</w:t>
            </w:r>
          </w:p>
        </w:tc>
        <w:tc>
          <w:tcPr/>
          <w:p>
            <w:pPr>
              <w:pStyle w:val="Compact"/>
            </w:pPr>
            <w:r>
              <w:t xml:space="preserve">All disagreements resolved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Certification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Code 2 new studies independently; compare with reference answers</w:t>
            </w:r>
          </w:p>
        </w:tc>
        <w:tc>
          <w:tcPr/>
          <w:p>
            <w:pPr>
              <w:pStyle w:val="Compact"/>
            </w:pPr>
            <w:r>
              <w:t xml:space="preserve">All criteria met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Calibration (Phase 0)</w:t>
            </w:r>
          </w:p>
        </w:tc>
        <w:tc>
          <w:tcPr/>
          <w:p>
            <w:pPr>
              <w:pStyle w:val="Compact"/>
            </w:pPr>
            <w:r>
              <w:t xml:space="preserve">3 days</w:t>
            </w:r>
          </w:p>
        </w:tc>
        <w:tc>
          <w:tcPr/>
          <w:p>
            <w:pPr>
              <w:pStyle w:val="Compact"/>
            </w:pPr>
            <w:r>
              <w:t xml:space="preserve">All 4 coders code same 10 studies; calculate inter-pair κ; discuss all disagreements</w:t>
            </w:r>
          </w:p>
        </w:tc>
        <w:tc>
          <w:tcPr/>
          <w:p>
            <w:pPr>
              <w:pStyle w:val="Compact"/>
            </w:pPr>
            <w:r>
              <w:t xml:space="preserve">Inter-pair κ ≥ .80; all disagreements resolved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33" w:name="study-level-coding-instructions"/>
    <w:p>
      <w:pPr>
        <w:pStyle w:val="Heading2"/>
      </w:pPr>
      <w:r>
        <w:t xml:space="preserve">5. Study-Level Coding Instructions</w:t>
      </w:r>
    </w:p>
    <w:p>
      <w:pPr>
        <w:pStyle w:val="FirstParagraph"/>
      </w:pPr>
      <w:r>
        <w:t xml:space="preserve">All study-level variables are coded in the</w:t>
      </w:r>
      <w:r>
        <w:t xml:space="preserve"> </w:t>
      </w:r>
      <w:r>
        <w:rPr>
          <w:b/>
          <w:bCs/>
        </w:rPr>
        <w:t xml:space="preserve">STUDY_METADATA</w:t>
      </w:r>
      <w:r>
        <w:t xml:space="preserve"> </w:t>
      </w:r>
      <w:r>
        <w:t xml:space="preserve">sheet.</w:t>
      </w:r>
    </w:p>
    <w:p>
      <w:pPr>
        <w:pStyle w:val="BodyText"/>
      </w:pPr>
      <w:r>
        <w:rPr>
          <w:b/>
          <w:bCs/>
        </w:rPr>
        <w:t xml:space="preserve">AI pre-coding scope (Track 1):</w:t>
      </w:r>
      <w:r>
        <w:t xml:space="preserve"> </w:t>
      </w:r>
      <w:r>
        <w:t xml:space="preserve">Only §5.1 Identification Variables are AI pre-coded before human coding. §5.2–5.4 fields are coded independently by humans; AI extracts the same fields in parallel (Track 2) for later comparison. §5.5 Quality Assessment is human-coded only, completed after correlation extraction.</w:t>
      </w:r>
    </w:p>
    <w:bookmarkStart w:id="26" w:name="X6368f864f2241aadc2df52d33fe1dc1fa8ad352"/>
    <w:p>
      <w:pPr>
        <w:pStyle w:val="Heading3"/>
      </w:pPr>
      <w:r>
        <w:t xml:space="preserve">5.1 Identification Variables (AI Pre-Coded → Human Verified)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0"/>
        <w:gridCol w:w="1284"/>
        <w:gridCol w:w="2568"/>
        <w:gridCol w:w="19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study_id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Unique ID in S001 format</w:t>
            </w:r>
          </w:p>
        </w:tc>
        <w:tc>
          <w:tcPr/>
          <w:p>
            <w:pPr>
              <w:pStyle w:val="Compact"/>
            </w:pPr>
            <w:r>
              <w:t xml:space="preserve">S001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first_author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Last name of first author</w:t>
            </w:r>
          </w:p>
        </w:tc>
        <w:tc>
          <w:tcPr/>
          <w:p>
            <w:pPr>
              <w:pStyle w:val="Compact"/>
            </w:pPr>
            <w:r>
              <w:t xml:space="preserve">Kim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Publication year (2022–2026)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Full title of the paper</w:t>
            </w:r>
          </w:p>
        </w:tc>
        <w:tc>
          <w:tcPr/>
          <w:p>
            <w:pPr>
              <w:pStyle w:val="Compact"/>
            </w:pPr>
            <w:r>
              <w:t xml:space="preserve">AI Adoption in Higher Education…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doi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Digital Object Identifier</w:t>
            </w:r>
          </w:p>
        </w:tc>
        <w:tc>
          <w:tcPr/>
          <w:p>
            <w:pPr>
              <w:pStyle w:val="Compact"/>
            </w:pPr>
            <w:r>
              <w:t xml:space="preserve">10.1000/xyz123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source_type</w:t>
            </w:r>
          </w:p>
        </w:tc>
        <w:tc>
          <w:tcPr/>
          <w:p>
            <w:pPr>
              <w:pStyle w:val="Compact"/>
            </w:pPr>
            <w:r>
              <w:t xml:space="preserve">categorical</w:t>
            </w:r>
          </w:p>
        </w:tc>
        <w:tc>
          <w:tcPr/>
          <w:p>
            <w:pPr>
              <w:pStyle w:val="Compact"/>
            </w:pPr>
            <w:r>
              <w:t xml:space="preserve">journal, conference</w:t>
            </w:r>
          </w:p>
        </w:tc>
        <w:tc>
          <w:tcPr/>
          <w:p>
            <w:pPr>
              <w:pStyle w:val="Compact"/>
            </w:pPr>
            <w:r>
              <w:t xml:space="preserve">journal</w:t>
            </w:r>
          </w:p>
        </w:tc>
      </w:tr>
    </w:tbl>
    <w:bookmarkEnd w:id="26"/>
    <w:bookmarkStart w:id="27" w:name="Xaf08e36f9953ec9334a57044070d7febd781e7c"/>
    <w:p>
      <w:pPr>
        <w:pStyle w:val="Heading3"/>
      </w:pPr>
      <w:r>
        <w:t xml:space="preserve">5.2 Study Design Variables (Human Coded; AI Independent Extraction in Parallel)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0"/>
        <w:gridCol w:w="1284"/>
        <w:gridCol w:w="2568"/>
        <w:gridCol w:w="19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study_design</w:t>
            </w:r>
          </w:p>
        </w:tc>
        <w:tc>
          <w:tcPr/>
          <w:p>
            <w:pPr>
              <w:pStyle w:val="Compact"/>
            </w:pPr>
            <w:r>
              <w:t xml:space="preserve">categorical</w:t>
            </w:r>
          </w:p>
        </w:tc>
        <w:tc>
          <w:tcPr/>
          <w:p>
            <w:pPr>
              <w:pStyle w:val="Compact"/>
            </w:pPr>
            <w:r>
              <w:t xml:space="preserve">cross_sectional, longitudinal, experimental</w:t>
            </w:r>
          </w:p>
        </w:tc>
        <w:tc>
          <w:tcPr/>
          <w:p>
            <w:pPr>
              <w:pStyle w:val="Compact"/>
            </w:pPr>
            <w:r>
              <w:t xml:space="preserve">cross_sectional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data_collection</w:t>
            </w:r>
          </w:p>
        </w:tc>
        <w:tc>
          <w:tcPr/>
          <w:p>
            <w:pPr>
              <w:pStyle w:val="Compact"/>
            </w:pPr>
            <w:r>
              <w:t xml:space="preserve">categorical</w:t>
            </w:r>
          </w:p>
        </w:tc>
        <w:tc>
          <w:tcPr/>
          <w:p>
            <w:pPr>
              <w:pStyle w:val="Compact"/>
            </w:pPr>
            <w:r>
              <w:t xml:space="preserve">survey, experiment, mixed</w:t>
            </w:r>
          </w:p>
        </w:tc>
        <w:tc>
          <w:tcPr/>
          <w:p>
            <w:pPr>
              <w:pStyle w:val="Compact"/>
            </w:pPr>
            <w:r>
              <w:t xml:space="preserve">survey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theoretical_framework</w:t>
            </w:r>
          </w:p>
        </w:tc>
        <w:tc>
          <w:tcPr/>
          <w:p>
            <w:pPr>
              <w:pStyle w:val="Compact"/>
            </w:pPr>
            <w:r>
              <w:t xml:space="preserve">categorical</w:t>
            </w:r>
          </w:p>
        </w:tc>
        <w:tc>
          <w:tcPr/>
          <w:p>
            <w:pPr>
              <w:pStyle w:val="Compact"/>
            </w:pPr>
            <w:r>
              <w:t xml:space="preserve">TAM, UTAUT, UTAUT2, TAM_AI, UTAUT_AI, TPB, SCT, other</w:t>
            </w:r>
          </w:p>
        </w:tc>
        <w:tc>
          <w:tcPr/>
          <w:p>
            <w:pPr>
              <w:pStyle w:val="Compact"/>
            </w:pPr>
            <w:r>
              <w:t xml:space="preserve">UTAUT2</w:t>
            </w:r>
          </w:p>
        </w:tc>
      </w:tr>
    </w:tbl>
    <w:bookmarkEnd w:id="27"/>
    <w:bookmarkStart w:id="28" w:name="Xb96fa67537647cefa60d9de17c4860506c5ffc9"/>
    <w:p>
      <w:pPr>
        <w:pStyle w:val="Heading3"/>
      </w:pPr>
      <w:r>
        <w:t xml:space="preserve">5.3 Sample &amp; Context Variables (Human Coded; AI Independent Extraction in Parallel)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0"/>
        <w:gridCol w:w="1284"/>
        <w:gridCol w:w="2568"/>
        <w:gridCol w:w="19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sample_size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Total valid sample size (N). Use final analytic sample.</w:t>
            </w:r>
          </w:p>
        </w:tc>
        <w:tc>
          <w:tcPr/>
          <w:p>
            <w:pPr>
              <w:pStyle w:val="Compact"/>
            </w:pPr>
            <w:r>
              <w:t xml:space="preserve">384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sample_type</w:t>
            </w:r>
          </w:p>
        </w:tc>
        <w:tc>
          <w:tcPr/>
          <w:p>
            <w:pPr>
              <w:pStyle w:val="Compact"/>
            </w:pPr>
            <w:r>
              <w:t xml:space="preserve">categorical</w:t>
            </w:r>
          </w:p>
        </w:tc>
        <w:tc>
          <w:tcPr/>
          <w:p>
            <w:pPr>
              <w:pStyle w:val="Compact"/>
            </w:pPr>
            <w:r>
              <w:t xml:space="preserve">students, instructors, mixed, administrators</w:t>
            </w:r>
          </w:p>
        </w:tc>
        <w:tc>
          <w:tcPr/>
          <w:p>
            <w:pPr>
              <w:pStyle w:val="Compact"/>
            </w:pPr>
            <w:r>
              <w:t xml:space="preserve">students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country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Country where data was collected</w:t>
            </w:r>
          </w:p>
        </w:tc>
        <w:tc>
          <w:tcPr/>
          <w:p>
            <w:pPr>
              <w:pStyle w:val="Compact"/>
            </w:pPr>
            <w:r>
              <w:t xml:space="preserve">South Korea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culture_cluster</w:t>
            </w:r>
          </w:p>
        </w:tc>
        <w:tc>
          <w:tcPr/>
          <w:p>
            <w:pPr>
              <w:pStyle w:val="Compact"/>
            </w:pPr>
            <w:r>
              <w:t xml:space="preserve">categorical</w:t>
            </w:r>
          </w:p>
        </w:tc>
        <w:tc>
          <w:tcPr/>
          <w:p>
            <w:pPr>
              <w:pStyle w:val="Compact"/>
            </w:pPr>
            <w:r>
              <w:t xml:space="preserve">individualist (IDV≥50) or collectivist (IDV&lt;50) per Hofstede</w:t>
            </w:r>
          </w:p>
        </w:tc>
        <w:tc>
          <w:tcPr/>
          <w:p>
            <w:pPr>
              <w:pStyle w:val="Compact"/>
            </w:pPr>
            <w:r>
              <w:t xml:space="preserve">collectivist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education_level</w:t>
            </w:r>
          </w:p>
        </w:tc>
        <w:tc>
          <w:tcPr/>
          <w:p>
            <w:pPr>
              <w:pStyle w:val="Compact"/>
            </w:pPr>
            <w:r>
              <w:t xml:space="preserve">categorical</w:t>
            </w:r>
          </w:p>
        </w:tc>
        <w:tc>
          <w:tcPr/>
          <w:p>
            <w:pPr>
              <w:pStyle w:val="Compact"/>
            </w:pPr>
            <w:r>
              <w:t xml:space="preserve">K-12, undergraduate, graduate, vocational, mixed</w:t>
            </w:r>
          </w:p>
        </w:tc>
        <w:tc>
          <w:tcPr/>
          <w:p>
            <w:pPr>
              <w:pStyle w:val="Compact"/>
            </w:pPr>
            <w:r>
              <w:t xml:space="preserve">undergraduate</w:t>
            </w:r>
          </w:p>
        </w:tc>
      </w:tr>
    </w:tbl>
    <w:bookmarkEnd w:id="28"/>
    <w:bookmarkStart w:id="29" w:name="X8ed9e2edbe447195b8c190b9e2af680146aa688"/>
    <w:p>
      <w:pPr>
        <w:pStyle w:val="Heading3"/>
      </w:pPr>
      <w:r>
        <w:t xml:space="preserve">5.4 AI Technology Variables (Human Coded; AI Independent Extraction in Parallel)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0"/>
        <w:gridCol w:w="1284"/>
        <w:gridCol w:w="2568"/>
        <w:gridCol w:w="19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ai_type</w:t>
            </w:r>
          </w:p>
        </w:tc>
        <w:tc>
          <w:tcPr/>
          <w:p>
            <w:pPr>
              <w:pStyle w:val="Compact"/>
            </w:pPr>
            <w:r>
              <w:t xml:space="preserve">categorical</w:t>
            </w:r>
          </w:p>
        </w:tc>
        <w:tc>
          <w:tcPr/>
          <w:p>
            <w:pPr>
              <w:pStyle w:val="Compact"/>
            </w:pPr>
            <w:r>
              <w:t xml:space="preserve">generative, predictive, decision_support, conversational, robotic, general</w:t>
            </w:r>
          </w:p>
        </w:tc>
        <w:tc>
          <w:tcPr/>
          <w:p>
            <w:pPr>
              <w:pStyle w:val="Compact"/>
            </w:pPr>
            <w:r>
              <w:t xml:space="preserve">generative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ai_tool_name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Specific AI tool if named</w:t>
            </w:r>
          </w:p>
        </w:tc>
        <w:tc>
          <w:tcPr/>
          <w:p>
            <w:pPr>
              <w:pStyle w:val="Compact"/>
            </w:pPr>
            <w:r>
              <w:t xml:space="preserve">ChatGPT</w:t>
            </w:r>
          </w:p>
        </w:tc>
      </w:tr>
    </w:tbl>
    <w:bookmarkEnd w:id="29"/>
    <w:bookmarkStart w:id="31" w:name="X01c866703924a21d2ca9f8d9bbce024aaec1f61"/>
    <w:p>
      <w:pPr>
        <w:pStyle w:val="Heading3"/>
      </w:pPr>
      <w:r>
        <w:t xml:space="preserve">5.5 Quality Assessment Variables (Human Coded Only — Complete After §6 Correlation Extraction)</w:t>
      </w:r>
    </w:p>
    <w:p>
      <w:pPr>
        <w:pStyle w:val="BlockText"/>
      </w:pPr>
      <w:r>
        <w:rPr>
          <w:b/>
          <w:bCs/>
        </w:rPr>
        <w:t xml:space="preserve">Coding order:</w:t>
      </w:r>
      <w:r>
        <w:t xml:space="preserve"> </w:t>
      </w:r>
      <w:r>
        <w:t xml:space="preserve">Code §5.5 variables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completing the CORRELATION_MATRIX sheet (§6), because</w:t>
      </w:r>
      <w:r>
        <w:t xml:space="preserve"> </w:t>
      </w:r>
      <w:r>
        <w:rPr>
          <w:rStyle w:val="VerbatimChar"/>
        </w:rPr>
        <w:t xml:space="preserve">n_constructs_measured</w:t>
      </w:r>
      <w:r>
        <w:t xml:space="preserve">,</w:t>
      </w:r>
      <w:r>
        <w:t xml:space="preserve"> </w:t>
      </w:r>
      <w:r>
        <w:rPr>
          <w:rStyle w:val="VerbatimChar"/>
        </w:rPr>
        <w:t xml:space="preserve">n_correlations_reported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matrix_completeness</w:t>
      </w:r>
      <w:r>
        <w:t xml:space="preserve"> </w:t>
      </w:r>
      <w:r>
        <w:t xml:space="preserve">are derived from your extraction results.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950"/>
        <w:gridCol w:w="1900"/>
        <w:gridCol w:w="2059"/>
        <w:gridCol w:w="14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How to Code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n_constructs_measured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Number of our 12 target constructs measured in this study</w:t>
            </w:r>
          </w:p>
        </w:tc>
        <w:tc>
          <w:tcPr/>
          <w:p>
            <w:pPr>
              <w:pStyle w:val="Compact"/>
            </w:pPr>
            <w:r>
              <w:t xml:space="preserve">Count how many of the 12 constructs (PE, EE, SI, FC, BI, UB, ATT, SE, TRU, ANX, TRA, AUT) you mapped in CONSTRUCT_MAPPING for this study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n_correlations_reported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Number of pairwise correlations involving our target constructs</w:t>
            </w:r>
          </w:p>
        </w:tc>
        <w:tc>
          <w:tcPr/>
          <w:p>
            <w:pPr>
              <w:pStyle w:val="Compact"/>
            </w:pPr>
            <w:r>
              <w:t xml:space="preserve">Count the rows you entered in CORRELATION_MATRIX for this study_id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matrix_completeness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Proportion of reported pairs out of all possible pairs (0–1)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Formula:</w:t>
            </w:r>
            <w:r>
              <w:t xml:space="preserve"> </w:t>
            </w:r>
            <w:r>
              <w:rPr>
                <w:rStyle w:val="VerbatimChar"/>
              </w:rPr>
              <w:t xml:space="preserve">n_correlations_reported / (n_constructs_measured × (n_constructs_measured − 1) / 2)</w:t>
            </w:r>
            <w:r>
              <w:t xml:space="preserve">. Example: 6 constructs → 15 possible pairs; 12 reported → 12/15 = 0.80</w:t>
            </w:r>
          </w:p>
        </w:tc>
        <w:tc>
          <w:tcPr/>
          <w:p>
            <w:pPr>
              <w:pStyle w:val="Compact"/>
            </w:pPr>
            <w:r>
              <w:t xml:space="preserve">0.80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common_method_bias</w:t>
            </w:r>
          </w:p>
        </w:tc>
        <w:tc>
          <w:tcPr/>
          <w:p>
            <w:pPr>
              <w:pStyle w:val="Compact"/>
            </w:pPr>
            <w:r>
              <w:t xml:space="preserve">categorical</w:t>
            </w:r>
          </w:p>
        </w:tc>
        <w:tc>
          <w:tcPr/>
          <w:p>
            <w:pPr>
              <w:pStyle w:val="Compact"/>
            </w:pPr>
            <w:r>
              <w:t xml:space="preserve">Whether the study addressed CMB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Search the paper</w:t>
            </w:r>
            <w:r>
              <w:t xml:space="preserve"> </w:t>
            </w:r>
            <w:r>
              <w:t xml:space="preserve">(usually Method or Results section) for CMB-related keywords. See §5.5.1 below.</w:t>
            </w:r>
          </w:p>
        </w:tc>
        <w:tc>
          <w:tcPr/>
          <w:p>
            <w:pPr>
              <w:pStyle w:val="Compact"/>
            </w:pPr>
            <w:r>
              <w:t xml:space="preserve">addressed</w:t>
            </w:r>
          </w:p>
        </w:tc>
      </w:tr>
    </w:tbl>
    <w:bookmarkStart w:id="30" w:name="common-method-bias-cmb-coding-guide"/>
    <w:p>
      <w:pPr>
        <w:pStyle w:val="Heading4"/>
      </w:pPr>
      <w:r>
        <w:t xml:space="preserve">5.5.1 Common Method Bias (CMB) Coding Guide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5"/>
        <w:gridCol w:w="1650"/>
        <w:gridCol w:w="51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Criteria</w:t>
            </w:r>
          </w:p>
        </w:tc>
        <w:tc>
          <w:tcPr/>
          <w:p>
            <w:pPr>
              <w:pStyle w:val="Compact"/>
            </w:pPr>
            <w:r>
              <w:t xml:space="preserve">Keywords to Search For in Paper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addressed</w:t>
            </w:r>
          </w:p>
        </w:tc>
        <w:tc>
          <w:tcPr/>
          <w:p>
            <w:pPr>
              <w:pStyle w:val="Compact"/>
            </w:pPr>
            <w:r>
              <w:t xml:space="preserve">Study</w:t>
            </w:r>
            <w:r>
              <w:t xml:space="preserve"> </w:t>
            </w:r>
            <w:r>
              <w:rPr>
                <w:b/>
                <w:bCs/>
              </w:rPr>
              <w:t xml:space="preserve">performed a statistical test</w:t>
            </w:r>
            <w:r>
              <w:t xml:space="preserve"> </w:t>
            </w:r>
            <w:r>
              <w:t xml:space="preserve">for CMB and reported results</w:t>
            </w:r>
          </w:p>
        </w:tc>
        <w:tc>
          <w:tcPr/>
          <w:p>
            <w:pPr>
              <w:pStyle w:val="Compact"/>
            </w:pPr>
            <w:r>
              <w:t xml:space="preserve">“Harman’s single factor test”</w:t>
            </w:r>
            <w:r>
              <w:t xml:space="preserve">,</w:t>
            </w:r>
            <w:r>
              <w:t xml:space="preserve"> </w:t>
            </w:r>
            <w:r>
              <w:t xml:space="preserve">“common method variance”</w:t>
            </w:r>
            <w:r>
              <w:t xml:space="preserve">,</w:t>
            </w:r>
            <w:r>
              <w:t xml:space="preserve"> </w:t>
            </w:r>
            <w:r>
              <w:t xml:space="preserve">“common method bias”</w:t>
            </w:r>
            <w:r>
              <w:t xml:space="preserve">,</w:t>
            </w:r>
            <w:r>
              <w:t xml:space="preserve"> </w:t>
            </w:r>
            <w:r>
              <w:t xml:space="preserve">“marker variable”</w:t>
            </w:r>
            <w:r>
              <w:t xml:space="preserve">,</w:t>
            </w:r>
            <w:r>
              <w:t xml:space="preserve"> </w:t>
            </w:r>
            <w:r>
              <w:t xml:space="preserve">“common latent factor (CLF)”</w:t>
            </w:r>
            <w:r>
              <w:t xml:space="preserve">,</w:t>
            </w:r>
            <w:r>
              <w:t xml:space="preserve"> </w:t>
            </w:r>
            <w:r>
              <w:t xml:space="preserve">“unmeasured latent method factor”</w:t>
            </w:r>
            <w:r>
              <w:t xml:space="preserve">,</w:t>
            </w:r>
            <w:r>
              <w:t xml:space="preserve"> </w:t>
            </w:r>
            <w:r>
              <w:t xml:space="preserve">“CFA marker technique”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Study mentioned</w:t>
            </w:r>
            <w:r>
              <w:t xml:space="preserve"> </w:t>
            </w:r>
            <w:r>
              <w:rPr>
                <w:b/>
                <w:bCs/>
              </w:rPr>
              <w:t xml:space="preserve">procedural remedies only</w:t>
            </w:r>
            <w:r>
              <w:t xml:space="preserve"> </w:t>
            </w:r>
            <w:r>
              <w:t xml:space="preserve">without statistical test</w:t>
            </w:r>
          </w:p>
        </w:tc>
        <w:tc>
          <w:tcPr/>
          <w:p>
            <w:pPr>
              <w:pStyle w:val="Compact"/>
            </w:pPr>
            <w:r>
              <w:t xml:space="preserve">“procedural remedies”</w:t>
            </w:r>
            <w:r>
              <w:t xml:space="preserve">,</w:t>
            </w:r>
            <w:r>
              <w:t xml:space="preserve"> </w:t>
            </w:r>
            <w:r>
              <w:t xml:space="preserve">“anonymity assured”</w:t>
            </w:r>
            <w:r>
              <w:t xml:space="preserve">,</w:t>
            </w:r>
            <w:r>
              <w:t xml:space="preserve"> </w:t>
            </w:r>
            <w:r>
              <w:t xml:space="preserve">“temporal separation”</w:t>
            </w:r>
            <w:r>
              <w:t xml:space="preserve">,</w:t>
            </w:r>
            <w:r>
              <w:t xml:space="preserve"> </w:t>
            </w:r>
            <w:r>
              <w:t xml:space="preserve">“different scale anchors”</w:t>
            </w:r>
            <w:r>
              <w:t xml:space="preserve">,</w:t>
            </w:r>
            <w:r>
              <w:t xml:space="preserve"> </w:t>
            </w:r>
            <w:r>
              <w:t xml:space="preserve">“counterbalancing items”</w:t>
            </w:r>
            <w:r>
              <w:t xml:space="preserve">,</w:t>
            </w:r>
            <w:r>
              <w:t xml:space="preserve"> </w:t>
            </w:r>
            <w:r>
              <w:t xml:space="preserve">“we took steps to reduce CMB”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not_addressed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mention</w:t>
            </w:r>
            <w:r>
              <w:t xml:space="preserve"> </w:t>
            </w:r>
            <w:r>
              <w:t xml:space="preserve">of CMB anywhere in the paper</w:t>
            </w:r>
          </w:p>
        </w:tc>
        <w:tc>
          <w:tcPr/>
          <w:p>
            <w:pPr>
              <w:pStyle w:val="Compact"/>
            </w:pPr>
            <w:r>
              <w:t xml:space="preserve">(none of the above keywords found)</w:t>
            </w:r>
          </w:p>
        </w:tc>
      </w:tr>
    </w:tbl>
    <w:p>
      <w:pPr>
        <w:pStyle w:val="BlockText"/>
      </w:pPr>
      <w:r>
        <w:rPr>
          <w:b/>
          <w:bCs/>
        </w:rPr>
        <w:t xml:space="preserve">Tip:</w:t>
      </w:r>
      <w:r>
        <w:t xml:space="preserve"> </w:t>
      </w:r>
      <w:r>
        <w:t xml:space="preserve">Use Ctrl+F to search the PDF for</w:t>
      </w:r>
      <w:r>
        <w:t xml:space="preserve"> </w:t>
      </w:r>
      <w:r>
        <w:t xml:space="preserve">“common method”</w:t>
      </w:r>
      <w:r>
        <w:t xml:space="preserve">,</w:t>
      </w:r>
      <w:r>
        <w:t xml:space="preserve"> </w:t>
      </w:r>
      <w:r>
        <w:t xml:space="preserve">“Harman”</w:t>
      </w:r>
      <w:r>
        <w:t xml:space="preserve">,</w:t>
      </w:r>
      <w:r>
        <w:t xml:space="preserve"> </w:t>
      </w:r>
      <w:r>
        <w:t xml:space="preserve">“CMV”</w:t>
      </w:r>
      <w:r>
        <w:t xml:space="preserve">, or</w:t>
      </w:r>
      <w:r>
        <w:t xml:space="preserve"> </w:t>
      </w:r>
      <w:r>
        <w:t xml:space="preserve">“CMB”</w:t>
      </w:r>
      <w:r>
        <w:t xml:space="preserve">. If none appear, code as</w:t>
      </w:r>
      <w:r>
        <w:t xml:space="preserve"> </w:t>
      </w:r>
      <w:r>
        <w:rPr>
          <w:rStyle w:val="VerbatimChar"/>
        </w:rPr>
        <w:t xml:space="preserve">not_addressed</w:t>
      </w:r>
      <w:r>
        <w:t xml:space="preserve">.</w:t>
      </w:r>
    </w:p>
    <w:bookmarkEnd w:id="30"/>
    <w:bookmarkEnd w:id="31"/>
    <w:bookmarkStart w:id="32" w:name="source-management-variables"/>
    <w:p>
      <w:pPr>
        <w:pStyle w:val="Heading3"/>
      </w:pPr>
      <w:r>
        <w:t xml:space="preserve">5.6 Source Management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0"/>
        <w:gridCol w:w="1284"/>
        <w:gridCol w:w="2568"/>
        <w:gridCol w:w="19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human_coder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Initials of the human coder</w:t>
            </w:r>
          </w:p>
        </w:tc>
        <w:tc>
          <w:tcPr/>
          <w:p>
            <w:pPr>
              <w:pStyle w:val="Compact"/>
            </w:pPr>
            <w:r>
              <w:t xml:space="preserve">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coding_date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Date coding completed (YYYY-MM-DD)</w:t>
            </w:r>
          </w:p>
        </w:tc>
        <w:tc>
          <w:tcPr/>
          <w:p>
            <w:pPr>
              <w:pStyle w:val="Compact"/>
            </w:pPr>
            <w:r>
              <w:t xml:space="preserve">2026-04-01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ai_precoded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Whether AI pre-coded metadata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ai_precoded_verified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Whether human verified AI metadata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End w:id="33"/>
    <w:bookmarkStart w:id="39" w:name="correlation-matrix-coding-instructions"/>
    <w:p>
      <w:pPr>
        <w:pStyle w:val="Heading2"/>
      </w:pPr>
      <w:r>
        <w:t xml:space="preserve">6. Correlation Matrix Coding Instructions</w:t>
      </w:r>
    </w:p>
    <w:p>
      <w:pPr>
        <w:pStyle w:val="BlockText"/>
      </w:pPr>
      <w:r>
        <w:rPr>
          <w:b/>
          <w:bCs/>
        </w:rPr>
        <w:t xml:space="preserve">This is the most critical chapter.</w:t>
      </w:r>
      <w:r>
        <w:t xml:space="preserve"> </w:t>
      </w:r>
      <w:r>
        <w:t xml:space="preserve">MASEM requires pairwise Pearson correlations between constructs. All correlation data is coded in the CORRELATION_MATRIX sheet.</w:t>
      </w:r>
    </w:p>
    <w:bookmarkStart w:id="34" w:name="variable-reference"/>
    <w:p>
      <w:pPr>
        <w:pStyle w:val="Heading3"/>
      </w:pPr>
      <w:r>
        <w:t xml:space="preserve">6.1 Variable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0"/>
        <w:gridCol w:w="1284"/>
        <w:gridCol w:w="2568"/>
        <w:gridCol w:w="19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study_id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Links to STUDY_METADATA</w:t>
            </w:r>
          </w:p>
        </w:tc>
        <w:tc>
          <w:tcPr/>
          <w:p>
            <w:pPr>
              <w:pStyle w:val="Compact"/>
            </w:pPr>
            <w:r>
              <w:t xml:space="preserve">S001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construct_row</w:t>
            </w:r>
          </w:p>
        </w:tc>
        <w:tc>
          <w:tcPr/>
          <w:p>
            <w:pPr>
              <w:pStyle w:val="Compact"/>
            </w:pPr>
            <w:r>
              <w:t xml:space="preserve">categorical</w:t>
            </w:r>
          </w:p>
        </w:tc>
        <w:tc>
          <w:tcPr/>
          <w:p>
            <w:pPr>
              <w:pStyle w:val="Compact"/>
            </w:pPr>
            <w:r>
              <w:t xml:space="preserve">Row construct (one of 12)</w:t>
            </w:r>
          </w:p>
        </w:tc>
        <w:tc>
          <w:tcPr/>
          <w:p>
            <w:pPr>
              <w:pStyle w:val="Compact"/>
            </w:pPr>
            <w:r>
              <w:t xml:space="preserve">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construct_col</w:t>
            </w:r>
          </w:p>
        </w:tc>
        <w:tc>
          <w:tcPr/>
          <w:p>
            <w:pPr>
              <w:pStyle w:val="Compact"/>
            </w:pPr>
            <w:r>
              <w:t xml:space="preserve">categorical</w:t>
            </w:r>
          </w:p>
        </w:tc>
        <w:tc>
          <w:tcPr/>
          <w:p>
            <w:pPr>
              <w:pStyle w:val="Compact"/>
            </w:pPr>
            <w:r>
              <w:t xml:space="preserve">Column construct (one of 12)</w:t>
            </w:r>
          </w:p>
        </w:tc>
        <w:tc>
          <w:tcPr/>
          <w:p>
            <w:pPr>
              <w:pStyle w:val="Compact"/>
            </w:pPr>
            <w:r>
              <w:t xml:space="preserve">BI</w:t>
            </w:r>
          </w:p>
        </w:tc>
      </w:tr>
      <w:tr>
        <w:tc>
          <w:tcPr/>
          <w:p>
            <w:pPr>
              <w:pStyle w:val="Compact"/>
            </w:pPr>
            <w:r>
              <w:t xml:space="preserve">r_value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Pearson correlation (-1 to 1)</w:t>
            </w:r>
          </w:p>
        </w:tc>
        <w:tc>
          <w:tcPr/>
          <w:p>
            <w:pPr>
              <w:pStyle w:val="Compact"/>
            </w:pPr>
            <w:r>
              <w:t xml:space="preserve">0.52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r_source</w:t>
            </w:r>
          </w:p>
        </w:tc>
        <w:tc>
          <w:tcPr/>
          <w:p>
            <w:pPr>
              <w:pStyle w:val="Compact"/>
            </w:pPr>
            <w:r>
              <w:t xml:space="preserve">categorical</w:t>
            </w:r>
          </w:p>
        </w:tc>
        <w:tc>
          <w:tcPr/>
          <w:p>
            <w:pPr>
              <w:pStyle w:val="Compact"/>
            </w:pPr>
            <w:r>
              <w:t xml:space="preserve">direct, beta_converted, author_provided</w:t>
            </w:r>
          </w:p>
        </w:tc>
        <w:tc>
          <w:tcPr/>
          <w:p>
            <w:pPr>
              <w:pStyle w:val="Compac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original_beta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Original β if r_source=beta_converted, else 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r_sample_size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Pairwise N if differs from study N, else 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p_value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Reported p-value if available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significance</w:t>
            </w:r>
          </w:p>
        </w:tc>
        <w:tc>
          <w:tcPr/>
          <w:p>
            <w:pPr>
              <w:pStyle w:val="Compact"/>
            </w:pPr>
            <w:r>
              <w:t xml:space="preserve">categorical</w:t>
            </w:r>
          </w:p>
        </w:tc>
        <w:tc>
          <w:tcPr/>
          <w:p>
            <w:pPr>
              <w:pStyle w:val="Compact"/>
            </w:pPr>
            <w:r>
              <w:t xml:space="preserve">p&lt;.001, p&lt;.01, p&lt;.05, ns, NR</w:t>
            </w:r>
          </w:p>
        </w:tc>
        <w:tc>
          <w:tcPr/>
          <w:p>
            <w:pPr>
              <w:pStyle w:val="Compact"/>
            </w:pPr>
            <w:r>
              <w:t xml:space="preserve">p&lt;.001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source_location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Location in paper</w:t>
            </w:r>
          </w:p>
        </w:tc>
        <w:tc>
          <w:tcPr/>
          <w:p>
            <w:pPr>
              <w:pStyle w:val="Compact"/>
            </w:pPr>
            <w:r>
              <w:t xml:space="preserve">Table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extraction_notes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Notes about extraction decisions</w:t>
            </w:r>
          </w:p>
        </w:tc>
        <w:tc>
          <w:tcPr/>
          <w:p>
            <w:pPr>
              <w:pStyle w:val="Compact"/>
            </w:pPr>
            <w:r>
              <w:t xml:space="preserve">Lower triangle only</w:t>
            </w:r>
          </w:p>
        </w:tc>
      </w:tr>
    </w:tbl>
    <w:bookmarkEnd w:id="34"/>
    <w:bookmarkStart w:id="35" w:name="correlation-extraction-protocol"/>
    <w:p>
      <w:pPr>
        <w:pStyle w:val="Heading3"/>
      </w:pPr>
      <w:r>
        <w:t xml:space="preserve">6.2 Correlation Extraction Protocol</w:t>
      </w:r>
    </w:p>
    <w:p>
      <w:pPr>
        <w:pStyle w:val="FirstParagraph"/>
      </w:pPr>
      <w:r>
        <w:rPr>
          <w:b/>
          <w:bCs/>
        </w:rPr>
        <w:t xml:space="preserve">Step 1:</w:t>
      </w:r>
      <w:r>
        <w:t xml:space="preserve"> </w:t>
      </w:r>
      <w:r>
        <w:t xml:space="preserve">Identify the correlation matrix table. Look for tables titled</w:t>
      </w:r>
      <w:r>
        <w:t xml:space="preserve"> </w:t>
      </w:r>
      <w:r>
        <w:t xml:space="preserve">“Correlations,”</w:t>
      </w:r>
      <w:r>
        <w:t xml:space="preserve"> </w:t>
      </w:r>
      <w:r>
        <w:t xml:space="preserve">“Descriptive Statistics and Correlations,”</w:t>
      </w:r>
      <w:r>
        <w:t xml:space="preserve"> </w:t>
      </w:r>
      <w:r>
        <w:t xml:space="preserve">or</w:t>
      </w:r>
      <w:r>
        <w:t xml:space="preserve"> </w:t>
      </w:r>
      <w:r>
        <w:t xml:space="preserve">“Inter-Construct Correlations.”</w:t>
      </w:r>
      <w:r>
        <w:t xml:space="preserve"> </w:t>
      </w:r>
      <w:r>
        <w:t xml:space="preserve">The diagonal should be 1.00 or reliability coefficients.</w:t>
      </w:r>
    </w:p>
    <w:p>
      <w:pPr>
        <w:pStyle w:val="BodyText"/>
      </w:pPr>
      <w:r>
        <w:rPr>
          <w:b/>
          <w:bCs/>
        </w:rPr>
        <w:t xml:space="preserve">Step 2:</w:t>
      </w:r>
      <w:r>
        <w:t xml:space="preserve"> </w:t>
      </w:r>
      <w:r>
        <w:t xml:space="preserve">Map study constructs to our 12 target constructs using the harmonization rules in Chapter 7. Record the mapping in the CONSTRUCT_MAPPING sheet.</w:t>
      </w:r>
    </w:p>
    <w:p>
      <w:pPr>
        <w:pStyle w:val="BodyText"/>
      </w:pPr>
      <w:r>
        <w:rPr>
          <w:b/>
          <w:bCs/>
        </w:rPr>
        <w:t xml:space="preserve">Step 3:</w:t>
      </w:r>
      <w:r>
        <w:t xml:space="preserve"> </w:t>
      </w:r>
      <w:r>
        <w:t xml:space="preserve">Extract all pairwise correlations involving our constructs. Preserve the source-reported precision, up to three decimal places when the source table reports three decimals. Do not round a three-decimal source value to two decimals during adjudication (for example, retain</w:t>
      </w:r>
      <w:r>
        <w:t xml:space="preserve"> </w:t>
      </w:r>
      <w:r>
        <w:rPr>
          <w:rStyle w:val="VerbatimChar"/>
        </w:rPr>
        <w:t xml:space="preserve">.558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.56</w:t>
      </w:r>
      <w:r>
        <w:t xml:space="preserve">). If the source table reports only two decimals, retain two decimals. Ignore significance asterisks (record effect size, not p-value). If only lower triangle shown, mirror values.</w:t>
      </w:r>
    </w:p>
    <w:p>
      <w:pPr>
        <w:pStyle w:val="BodyText"/>
      </w:pPr>
      <w:r>
        <w:rPr>
          <w:b/>
          <w:bCs/>
        </w:rPr>
        <w:t xml:space="preserve">Step 3a:</w:t>
      </w:r>
      <w:r>
        <w:t xml:space="preserve"> </w:t>
      </w:r>
      <w:r>
        <w:t xml:space="preserve">Do not treat HTMT, CR, AVE, or the diagonal square-root AVE entries in Fornell-Larcker tables as construct correlations. A Fornell-Larcker table may be used only when its off-diagonal cells are clearly the latent construct correlation matrix; never code the diagonal square-root AVE values as correlations. HTMT may be recorded as measurement-validity evidence, but HTMT-only evidence is not a usable MASEM correlation matrix. If no Pearson/latent correlation matrix is reported, use standardized path coefficients only under the beta-to-r rule in Section 6.3.</w:t>
      </w:r>
    </w:p>
    <w:p>
      <w:pPr>
        <w:pStyle w:val="BodyText"/>
      </w:pPr>
      <w:r>
        <w:rPr>
          <w:b/>
          <w:bCs/>
        </w:rPr>
        <w:t xml:space="preserve">Step 4:</w:t>
      </w:r>
      <w:r>
        <w:t xml:space="preserve"> </w:t>
      </w:r>
      <w:r>
        <w:t xml:space="preserve">Record sample size per correlation. Use overall study N as default. If pairwise N differs, record pairwise N.</w:t>
      </w:r>
    </w:p>
    <w:p>
      <w:pPr>
        <w:pStyle w:val="BodyText"/>
      </w:pPr>
      <w:r>
        <w:rPr>
          <w:b/>
          <w:bCs/>
        </w:rPr>
        <w:t xml:space="preserve">Step 5:</w:t>
      </w:r>
      <w:r>
        <w:t xml:space="preserve"> </w:t>
      </w:r>
      <w:r>
        <w:t xml:space="preserve">Document source location and any extraction decisions.</w:t>
      </w:r>
    </w:p>
    <w:bookmarkEnd w:id="35"/>
    <w:bookmarkStart w:id="36" w:name="beta-to-r-conversion-peterson-brown-2005"/>
    <w:p>
      <w:pPr>
        <w:pStyle w:val="Heading3"/>
      </w:pPr>
      <w:r>
        <w:t xml:space="preserve">6.3 Beta-to-r Conversion (Peterson &amp; Brown, 2005)</w:t>
      </w:r>
    </w:p>
    <w:p>
      <w:pPr>
        <w:pStyle w:val="FirstParagraph"/>
      </w:pPr>
      <w:r>
        <w:t xml:space="preserve">When a study reports only standardized path coefficients (β) without a correlation matrix:</w:t>
      </w:r>
    </w:p>
    <w:p>
      <w:pPr>
        <w:pStyle w:val="BlockText"/>
      </w:pPr>
      <w:r>
        <w:rPr>
          <w:b/>
          <w:bCs/>
        </w:rPr>
        <w:t xml:space="preserve">r = β + 0.05 × λ</w:t>
      </w:r>
      <w:r>
        <w:t xml:space="preserve">, where λ = 1 if β ≥ 0, λ = −1 if β &lt; 0</w:t>
      </w:r>
    </w:p>
    <w:p>
      <w:pPr>
        <w:pStyle w:val="FirstParagraph"/>
      </w:pPr>
      <w:r>
        <w:t xml:space="preserve">Examples:</w:t>
      </w:r>
      <w:r>
        <w:t xml:space="preserve"> </w:t>
      </w:r>
      <w:r>
        <w:t xml:space="preserve">- β = 0.40 → r = 0.40 + 0.05(1) =</w:t>
      </w:r>
      <w:r>
        <w:t xml:space="preserve"> </w:t>
      </w:r>
      <w:r>
        <w:rPr>
          <w:b/>
          <w:bCs/>
        </w:rPr>
        <w:t xml:space="preserve">0.45</w:t>
      </w:r>
      <w:r>
        <w:t xml:space="preserve"> </w:t>
      </w:r>
      <w:r>
        <w:t xml:space="preserve">- β = −0.30 → r = −0.30 + 0.05(−1) =</w:t>
      </w:r>
      <w:r>
        <w:t xml:space="preserve"> </w:t>
      </w:r>
      <w:r>
        <w:rPr>
          <w:b/>
          <w:bCs/>
        </w:rPr>
        <w:t xml:space="preserve">−0.35</w:t>
      </w:r>
    </w:p>
    <w:p>
      <w:pPr>
        <w:pStyle w:val="BodyText"/>
      </w:pPr>
      <w:r>
        <w:t xml:space="preserve">Always set</w:t>
      </w:r>
      <w:r>
        <w:t xml:space="preserve"> </w:t>
      </w:r>
      <w:r>
        <w:rPr>
          <w:rStyle w:val="VerbatimChar"/>
        </w:rPr>
        <w:t xml:space="preserve">r_source = "beta_converted"</w:t>
      </w:r>
      <w:r>
        <w:t xml:space="preserve"> </w:t>
      </w:r>
      <w:r>
        <w:t xml:space="preserve">and record</w:t>
      </w:r>
      <w:r>
        <w:t xml:space="preserve"> </w:t>
      </w:r>
      <w:r>
        <w:rPr>
          <w:rStyle w:val="VerbatimChar"/>
        </w:rPr>
        <w:t xml:space="preserve">original_beta</w:t>
      </w:r>
      <w:r>
        <w:t xml:space="preserve">. Mark study for sensitivity analysis.</w:t>
      </w:r>
    </w:p>
    <w:bookmarkEnd w:id="36"/>
    <w:bookmarkStart w:id="37" w:name="incomplete-matrix-handling"/>
    <w:p>
      <w:pPr>
        <w:pStyle w:val="Heading3"/>
      </w:pPr>
      <w:r>
        <w:t xml:space="preserve">6.4 Incomplete Matrix Handling</w:t>
      </w:r>
    </w:p>
    <w:p>
      <w:pPr>
        <w:pStyle w:val="FirstParagraph"/>
      </w:pPr>
      <w:r>
        <w:t xml:space="preserve">Apply the</w:t>
      </w:r>
      <w:r>
        <w:t xml:space="preserve"> </w:t>
      </w:r>
      <w:r>
        <w:rPr>
          <w:b/>
          <w:bCs/>
        </w:rPr>
        <w:t xml:space="preserve">available-case principle</w:t>
      </w:r>
      <w:r>
        <w:t xml:space="preserve">:</w:t>
      </w:r>
      <w:r>
        <w:t xml:space="preserve"> </w:t>
      </w:r>
      <w:r>
        <w:t xml:space="preserve">- Extract all reported correlations; leave unreported cells as NA</w:t>
      </w:r>
      <w:r>
        <w:t xml:space="preserve"> </w:t>
      </w:r>
      <w:r>
        <w:t xml:space="preserve">- Do NOT assume unreported or non-significant correlations are zero</w:t>
      </w:r>
      <w:r>
        <w:t xml:space="preserve"> </w:t>
      </w:r>
      <w:r>
        <w:t xml:space="preserve">- Record</w:t>
      </w:r>
      <w:r>
        <w:t xml:space="preserve"> </w:t>
      </w:r>
      <w:r>
        <w:rPr>
          <w:rStyle w:val="VerbatimChar"/>
        </w:rPr>
        <w:t xml:space="preserve">matrix_completeness = reported_pairs / possible_pairs</w:t>
      </w:r>
      <w:r>
        <w:t xml:space="preserve"> </w:t>
      </w:r>
      <w:r>
        <w:t xml:space="preserve">- Stage 1 TSSEM handles missing cells via FIML</w:t>
      </w:r>
    </w:p>
    <w:bookmarkEnd w:id="37"/>
    <w:bookmarkStart w:id="38" w:name="where-to-find-correlation-data"/>
    <w:p>
      <w:pPr>
        <w:pStyle w:val="Heading3"/>
      </w:pPr>
      <w:r>
        <w:t xml:space="preserve">6.5 Where to Find Correlation Data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Main text tables (Results section)</w:t>
            </w:r>
          </w:p>
        </w:tc>
        <w:tc>
          <w:tcPr/>
          <w:p>
            <w:pPr>
              <w:pStyle w:val="Compact"/>
            </w:pPr>
            <w:r>
              <w:t xml:space="preserve">Most common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Appendices</w:t>
            </w:r>
          </w:p>
        </w:tc>
        <w:tc>
          <w:tcPr/>
          <w:p>
            <w:pPr>
              <w:pStyle w:val="Compact"/>
            </w:pPr>
            <w:r>
              <w:t xml:space="preserve">Often</w:t>
            </w:r>
            <w:r>
              <w:t xml:space="preserve"> </w:t>
            </w:r>
            <w:r>
              <w:t xml:space="preserve">“Appendix: Correlation Matrix”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Supplementary materials / OSF</w:t>
            </w:r>
          </w:p>
        </w:tc>
        <w:tc>
          <w:tcPr/>
          <w:p>
            <w:pPr>
              <w:pStyle w:val="Compact"/>
            </w:pPr>
            <w:r>
              <w:t xml:space="preserve">Online supplements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SEM output tables</w:t>
            </w:r>
          </w:p>
        </w:tc>
        <w:tc>
          <w:tcPr/>
          <w:p>
            <w:pPr>
              <w:pStyle w:val="Compact"/>
            </w:pPr>
            <w:r>
              <w:t xml:space="preserve">May contain implied correlations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Author contact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t xml:space="preserve">“available upon request”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6" w:name="construct-harmonization-instructions"/>
    <w:p>
      <w:pPr>
        <w:pStyle w:val="Heading2"/>
      </w:pPr>
      <w:r>
        <w:t xml:space="preserve">7. Construct Harmonization Instructions</w:t>
      </w:r>
    </w:p>
    <w:p>
      <w:pPr>
        <w:pStyle w:val="FirstParagraph"/>
      </w:pPr>
      <w:r>
        <w:t xml:space="preserve">Harmonization maps diverse construct labels onto our 12 standard constructs.</w:t>
      </w:r>
      <w:r>
        <w:t xml:space="preserve"> </w:t>
      </w:r>
      <w:r>
        <w:rPr>
          <w:b/>
          <w:bCs/>
        </w:rPr>
        <w:t xml:space="preserve">Prioritize conceptual alignment over label matching.</w:t>
      </w:r>
      <w:r>
        <w:t xml:space="preserve"> </w:t>
      </w:r>
      <w:r>
        <w:t xml:space="preserve">All mappings go in the CONSTRUCT_MAPPING sheet.</w:t>
      </w:r>
    </w:p>
    <w:bookmarkStart w:id="40" w:name="the-12-target-constructs"/>
    <w:p>
      <w:pPr>
        <w:pStyle w:val="Heading3"/>
      </w:pPr>
      <w:r>
        <w:t xml:space="preserve">7.1 The 12 Target Constructs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31"/>
        <w:gridCol w:w="1340"/>
        <w:gridCol w:w="1462"/>
        <w:gridCol w:w="974"/>
        <w:gridCol w:w="34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Abbr</w:t>
            </w:r>
          </w:p>
        </w:tc>
        <w:tc>
          <w:tcPr/>
          <w:p>
            <w:pPr>
              <w:pStyle w:val="Compact"/>
            </w:pPr>
            <w:r>
              <w:t xml:space="preserve">Construct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Education-Specific Variants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</w:t>
            </w:r>
          </w:p>
        </w:tc>
        <w:tc>
          <w:tcPr/>
          <w:p>
            <w:pPr>
              <w:pStyle w:val="Compact"/>
            </w:pPr>
            <w:r>
              <w:t xml:space="preserve">Performance Expectancy</w:t>
            </w:r>
          </w:p>
        </w:tc>
        <w:tc>
          <w:tcPr/>
          <w:p>
            <w:pPr>
              <w:pStyle w:val="Compact"/>
            </w:pPr>
            <w:r>
              <w:t xml:space="preserve">Belief that AI helps attain performance gains</w:t>
            </w:r>
          </w:p>
        </w:tc>
        <w:tc>
          <w:tcPr/>
          <w:p>
            <w:pPr>
              <w:pStyle w:val="Compact"/>
            </w:pPr>
            <w:r>
              <w:t xml:space="preserve">UTAUT / TAM (PU)</w:t>
            </w:r>
          </w:p>
        </w:tc>
        <w:tc>
          <w:tcPr/>
          <w:p>
            <w:pPr>
              <w:pStyle w:val="Compact"/>
            </w:pPr>
            <w:r>
              <w:t xml:space="preserve">Learning Effectiveness, Academic Performance Expectancy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EE</w:t>
            </w:r>
          </w:p>
        </w:tc>
        <w:tc>
          <w:tcPr/>
          <w:p>
            <w:pPr>
              <w:pStyle w:val="Compact"/>
            </w:pPr>
            <w:r>
              <w:t xml:space="preserve">Effort Expectancy</w:t>
            </w:r>
          </w:p>
        </w:tc>
        <w:tc>
          <w:tcPr/>
          <w:p>
            <w:pPr>
              <w:pStyle w:val="Compact"/>
            </w:pPr>
            <w:r>
              <w:t xml:space="preserve">Perceived ease of using AI</w:t>
            </w:r>
          </w:p>
        </w:tc>
        <w:tc>
          <w:tcPr/>
          <w:p>
            <w:pPr>
              <w:pStyle w:val="Compact"/>
            </w:pPr>
            <w:r>
              <w:t xml:space="preserve">UTAUT / TAM (PEOU)</w:t>
            </w:r>
          </w:p>
        </w:tc>
        <w:tc>
          <w:tcPr/>
          <w:p>
            <w:pPr>
              <w:pStyle w:val="Compact"/>
            </w:pPr>
            <w:r>
              <w:t xml:space="preserve">AI Learning Ease, Educational AI Usability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</w:t>
            </w:r>
          </w:p>
        </w:tc>
        <w:tc>
          <w:tcPr/>
          <w:p>
            <w:pPr>
              <w:pStyle w:val="Compact"/>
            </w:pPr>
            <w:r>
              <w:t xml:space="preserve">Social Influence</w:t>
            </w:r>
          </w:p>
        </w:tc>
        <w:tc>
          <w:tcPr/>
          <w:p>
            <w:pPr>
              <w:pStyle w:val="Compact"/>
            </w:pPr>
            <w:r>
              <w:t xml:space="preserve">Important others believe one should use AI</w:t>
            </w:r>
          </w:p>
        </w:tc>
        <w:tc>
          <w:tcPr/>
          <w:p>
            <w:pPr>
              <w:pStyle w:val="Compact"/>
            </w:pPr>
            <w:r>
              <w:t xml:space="preserve">UTAUT / TRA (SN)</w:t>
            </w:r>
          </w:p>
        </w:tc>
        <w:tc>
          <w:tcPr/>
          <w:p>
            <w:pPr>
              <w:pStyle w:val="Compact"/>
            </w:pPr>
            <w:r>
              <w:t xml:space="preserve">Peer Influence, Instructor Encouragement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FC</w:t>
            </w:r>
          </w:p>
        </w:tc>
        <w:tc>
          <w:tcPr/>
          <w:p>
            <w:pPr>
              <w:pStyle w:val="Compact"/>
            </w:pPr>
            <w:r>
              <w:t xml:space="preserve">Facilitating Conditions</w:t>
            </w:r>
          </w:p>
        </w:tc>
        <w:tc>
          <w:tcPr/>
          <w:p>
            <w:pPr>
              <w:pStyle w:val="Compact"/>
            </w:pPr>
            <w:r>
              <w:t xml:space="preserve">Organizational/technical infrastructure for AI use</w:t>
            </w:r>
          </w:p>
        </w:tc>
        <w:tc>
          <w:tcPr/>
          <w:p>
            <w:pPr>
              <w:pStyle w:val="Compact"/>
            </w:pPr>
            <w:r>
              <w:t xml:space="preserve">UTAUT / TPB (PBC)</w:t>
            </w:r>
          </w:p>
        </w:tc>
        <w:tc>
          <w:tcPr/>
          <w:p>
            <w:pPr>
              <w:pStyle w:val="Compact"/>
            </w:pPr>
            <w:r>
              <w:t xml:space="preserve">Institutional AI Support, University AI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</w:t>
            </w:r>
          </w:p>
        </w:tc>
        <w:tc>
          <w:tcPr/>
          <w:p>
            <w:pPr>
              <w:pStyle w:val="Compact"/>
            </w:pPr>
            <w:r>
              <w:t xml:space="preserve">Behavioral Intention</w:t>
            </w:r>
          </w:p>
        </w:tc>
        <w:tc>
          <w:tcPr/>
          <w:p>
            <w:pPr>
              <w:pStyle w:val="Compact"/>
            </w:pPr>
            <w:r>
              <w:t xml:space="preserve">Strength of intention to adopt/use AI</w:t>
            </w:r>
          </w:p>
        </w:tc>
        <w:tc>
          <w:tcPr/>
          <w:p>
            <w:pPr>
              <w:pStyle w:val="Compact"/>
            </w:pPr>
            <w:r>
              <w:t xml:space="preserve">TAM / UTAUT</w:t>
            </w:r>
          </w:p>
        </w:tc>
        <w:tc>
          <w:tcPr/>
          <w:p>
            <w:pPr>
              <w:pStyle w:val="Compact"/>
            </w:pPr>
            <w:r>
              <w:t xml:space="preserve">Intent to Use AI for Academic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UB</w:t>
            </w:r>
          </w:p>
        </w:tc>
        <w:tc>
          <w:tcPr/>
          <w:p>
            <w:pPr>
              <w:pStyle w:val="Compact"/>
            </w:pPr>
            <w:r>
              <w:t xml:space="preserve">Use Behavior</w:t>
            </w:r>
          </w:p>
        </w:tc>
        <w:tc>
          <w:tcPr/>
          <w:p>
            <w:pPr>
              <w:pStyle w:val="Compact"/>
            </w:pPr>
            <w:r>
              <w:t xml:space="preserve">Actual use of AI technology</w:t>
            </w:r>
          </w:p>
        </w:tc>
        <w:tc>
          <w:tcPr/>
          <w:p>
            <w:pPr>
              <w:pStyle w:val="Compact"/>
            </w:pPr>
            <w:r>
              <w:t xml:space="preserve">TAM / UTAUT</w:t>
            </w:r>
          </w:p>
        </w:tc>
        <w:tc>
          <w:tcPr/>
          <w:p>
            <w:pPr>
              <w:pStyle w:val="Compact"/>
            </w:pPr>
            <w:r>
              <w:t xml:space="preserve">AI Usage for Learning/Teaching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</w:t>
            </w:r>
          </w:p>
        </w:tc>
        <w:tc>
          <w:tcPr/>
          <w:p>
            <w:pPr>
              <w:pStyle w:val="Compact"/>
            </w:pPr>
            <w:r>
              <w:t xml:space="preserve">Attitude</w:t>
            </w:r>
          </w:p>
        </w:tc>
        <w:tc>
          <w:tcPr/>
          <w:p>
            <w:pPr>
              <w:pStyle w:val="Compact"/>
            </w:pPr>
            <w:r>
              <w:t xml:space="preserve">Overall evaluative judgment about using AI</w:t>
            </w:r>
          </w:p>
        </w:tc>
        <w:tc>
          <w:tcPr/>
          <w:p>
            <w:pPr>
              <w:pStyle w:val="Compact"/>
            </w:pPr>
            <w:r>
              <w:t xml:space="preserve">TRA / TAM</w:t>
            </w:r>
          </w:p>
        </w:tc>
        <w:tc>
          <w:tcPr/>
          <w:p>
            <w:pPr>
              <w:pStyle w:val="Compact"/>
            </w:pPr>
            <w:r>
              <w:t xml:space="preserve">Attitude Toward AI in Education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Self-Efficacy</w:t>
            </w:r>
          </w:p>
        </w:tc>
        <w:tc>
          <w:tcPr/>
          <w:p>
            <w:pPr>
              <w:pStyle w:val="Compact"/>
            </w:pPr>
            <w:r>
              <w:t xml:space="preserve">Belief in own capability to use AI</w:t>
            </w:r>
          </w:p>
        </w:tc>
        <w:tc>
          <w:tcPr/>
          <w:p>
            <w:pPr>
              <w:pStyle w:val="Compact"/>
            </w:pPr>
            <w:r>
              <w:t xml:space="preserve">SCT (Bandura)</w:t>
            </w:r>
          </w:p>
        </w:tc>
        <w:tc>
          <w:tcPr/>
          <w:p>
            <w:pPr>
              <w:pStyle w:val="Compact"/>
            </w:pPr>
            <w:r>
              <w:t xml:space="preserve">Academic AI Self-Efficacy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</w:t>
            </w:r>
          </w:p>
        </w:tc>
        <w:tc>
          <w:tcPr/>
          <w:p>
            <w:pPr>
              <w:pStyle w:val="Compact"/>
            </w:pPr>
            <w:r>
              <w:t xml:space="preserve">AI Trust</w:t>
            </w:r>
          </w:p>
        </w:tc>
        <w:tc>
          <w:tcPr/>
          <w:p>
            <w:pPr>
              <w:pStyle w:val="Compact"/>
            </w:pPr>
            <w:r>
              <w:t xml:space="preserve">Willingness to be vulnerable based on positive AI expectations</w:t>
            </w:r>
          </w:p>
        </w:tc>
        <w:tc>
          <w:tcPr/>
          <w:p>
            <w:pPr>
              <w:pStyle w:val="Compact"/>
            </w:pPr>
            <w:r>
              <w:t xml:space="preserve">Trust theory (Mayer)</w:t>
            </w:r>
          </w:p>
        </w:tc>
        <w:tc>
          <w:tcPr/>
          <w:p>
            <w:pPr>
              <w:pStyle w:val="Compact"/>
            </w:pPr>
            <w:r>
              <w:t xml:space="preserve">Trust in Educational 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ANX</w:t>
            </w:r>
          </w:p>
        </w:tc>
        <w:tc>
          <w:tcPr/>
          <w:p>
            <w:pPr>
              <w:pStyle w:val="Compact"/>
            </w:pPr>
            <w:r>
              <w:t xml:space="preserve">AI Anxiety</w:t>
            </w:r>
          </w:p>
        </w:tc>
        <w:tc>
          <w:tcPr/>
          <w:p>
            <w:pPr>
              <w:pStyle w:val="Compact"/>
            </w:pPr>
            <w:r>
              <w:t xml:space="preserve">Apprehension or fear about AI</w:t>
            </w:r>
          </w:p>
        </w:tc>
        <w:tc>
          <w:tcPr/>
          <w:p>
            <w:pPr>
              <w:pStyle w:val="Compact"/>
            </w:pPr>
            <w:r>
              <w:t xml:space="preserve">Computer anxiety lit.</w:t>
            </w:r>
          </w:p>
        </w:tc>
        <w:tc>
          <w:tcPr/>
          <w:p>
            <w:pPr>
              <w:pStyle w:val="Compact"/>
            </w:pPr>
            <w:r>
              <w:t xml:space="preserve">AI Academic Integrity Anxiety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</w:t>
            </w:r>
          </w:p>
        </w:tc>
        <w:tc>
          <w:tcPr/>
          <w:p>
            <w:pPr>
              <w:pStyle w:val="Compact"/>
            </w:pPr>
            <w:r>
              <w:t xml:space="preserve">AI Transparency</w:t>
            </w:r>
          </w:p>
        </w:tc>
        <w:tc>
          <w:tcPr/>
          <w:p>
            <w:pPr>
              <w:pStyle w:val="Compact"/>
            </w:pPr>
            <w:r>
              <w:t xml:space="preserve">Perceived ability to understand AI decisions</w:t>
            </w:r>
          </w:p>
        </w:tc>
        <w:tc>
          <w:tcPr/>
          <w:p>
            <w:pPr>
              <w:pStyle w:val="Compact"/>
            </w:pPr>
            <w:r>
              <w:t xml:space="preserve">XAI literature</w:t>
            </w:r>
          </w:p>
        </w:tc>
        <w:tc>
          <w:tcPr/>
          <w:p>
            <w:pPr>
              <w:pStyle w:val="Compact"/>
            </w:pPr>
            <w:r>
              <w:t xml:space="preserve">AI Grading Transparency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</w:t>
            </w:r>
          </w:p>
        </w:tc>
        <w:tc>
          <w:tcPr/>
          <w:p>
            <w:pPr>
              <w:pStyle w:val="Compact"/>
            </w:pPr>
            <w:r>
              <w:t xml:space="preserve">Perceived AI Autonomy</w:t>
            </w:r>
          </w:p>
        </w:tc>
        <w:tc>
          <w:tcPr/>
          <w:p>
            <w:pPr>
              <w:pStyle w:val="Compact"/>
            </w:pPr>
            <w:r>
              <w:t xml:space="preserve">Perceived degree of AI independent operation</w:t>
            </w:r>
          </w:p>
        </w:tc>
        <w:tc>
          <w:tcPr/>
          <w:p>
            <w:pPr>
              <w:pStyle w:val="Compact"/>
            </w:pPr>
            <w:r>
              <w:t xml:space="preserve">Automation literature</w:t>
            </w:r>
          </w:p>
        </w:tc>
        <w:tc>
          <w:tcPr/>
          <w:p>
            <w:pPr>
              <w:pStyle w:val="Compact"/>
            </w:pPr>
            <w:r>
              <w:t xml:space="preserve">AI Autonomy in Education</w:t>
            </w:r>
          </w:p>
        </w:tc>
      </w:tr>
    </w:tbl>
    <w:bookmarkEnd w:id="40"/>
    <w:bookmarkStart w:id="41" w:name="tamutaut-cross-reference-table"/>
    <w:p>
      <w:pPr>
        <w:pStyle w:val="Heading3"/>
      </w:pPr>
      <w:r>
        <w:t xml:space="preserve">7.2 TAM/UTAUT Cross-Reference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95"/>
        <w:gridCol w:w="1806"/>
        <w:gridCol w:w="1250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Study Construct Label</w:t>
            </w:r>
          </w:p>
        </w:tc>
        <w:tc>
          <w:tcPr/>
          <w:p>
            <w:pPr>
              <w:pStyle w:val="Compact"/>
            </w:pPr>
            <w:r>
              <w:t xml:space="preserve">Model Origin</w:t>
            </w:r>
          </w:p>
        </w:tc>
        <w:tc>
          <w:tcPr/>
          <w:p>
            <w:pPr>
              <w:pStyle w:val="Compact"/>
            </w:pPr>
            <w:r>
              <w:t xml:space="preserve">Maps to</w:t>
            </w:r>
          </w:p>
        </w:tc>
        <w:tc>
          <w:tcPr/>
          <w:p>
            <w:pPr>
              <w:pStyle w:val="Compact"/>
            </w:pPr>
            <w:r>
              <w:t xml:space="preserve">Confidence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Perceived Usefulness (PU)</w:t>
            </w:r>
          </w:p>
        </w:tc>
        <w:tc>
          <w:tcPr/>
          <w:p>
            <w:pPr>
              <w:pStyle w:val="Compact"/>
            </w:pPr>
            <w:r>
              <w:t xml:space="preserve">TAM</w:t>
            </w:r>
          </w:p>
        </w:tc>
        <w:tc>
          <w:tcPr/>
          <w:p>
            <w:pPr>
              <w:pStyle w:val="Compact"/>
            </w:pPr>
            <w:r>
              <w:t xml:space="preserve">PE</w:t>
            </w:r>
          </w:p>
        </w:tc>
        <w:tc>
          <w:tcPr/>
          <w:p>
            <w:pPr>
              <w:pStyle w:val="Compact"/>
            </w:pPr>
            <w:r>
              <w:t xml:space="preserve">Exact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Perceived Ease of Use (PEOU)</w:t>
            </w:r>
          </w:p>
        </w:tc>
        <w:tc>
          <w:tcPr/>
          <w:p>
            <w:pPr>
              <w:pStyle w:val="Compact"/>
            </w:pPr>
            <w:r>
              <w:t xml:space="preserve">TAM</w:t>
            </w:r>
          </w:p>
        </w:tc>
        <w:tc>
          <w:tcPr/>
          <w:p>
            <w:pPr>
              <w:pStyle w:val="Compact"/>
            </w:pPr>
            <w:r>
              <w:t xml:space="preserve">EE</w:t>
            </w:r>
          </w:p>
        </w:tc>
        <w:tc>
          <w:tcPr/>
          <w:p>
            <w:pPr>
              <w:pStyle w:val="Compact"/>
            </w:pPr>
            <w:r>
              <w:t xml:space="preserve">Exact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Attitude Toward Using</w:t>
            </w:r>
          </w:p>
        </w:tc>
        <w:tc>
          <w:tcPr/>
          <w:p>
            <w:pPr>
              <w:pStyle w:val="Compact"/>
            </w:pPr>
            <w:r>
              <w:t xml:space="preserve">TAM</w:t>
            </w:r>
          </w:p>
        </w:tc>
        <w:tc>
          <w:tcPr/>
          <w:p>
            <w:pPr>
              <w:pStyle w:val="Compact"/>
            </w:pPr>
            <w:r>
              <w:t xml:space="preserve">ATT</w:t>
            </w:r>
          </w:p>
        </w:tc>
        <w:tc>
          <w:tcPr/>
          <w:p>
            <w:pPr>
              <w:pStyle w:val="Compact"/>
            </w:pPr>
            <w:r>
              <w:t xml:space="preserve">Exact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Behavioral Intention to Use</w:t>
            </w:r>
          </w:p>
        </w:tc>
        <w:tc>
          <w:tcPr/>
          <w:p>
            <w:pPr>
              <w:pStyle w:val="Compact"/>
            </w:pPr>
            <w:r>
              <w:t xml:space="preserve">TAM/UTAUT</w:t>
            </w:r>
          </w:p>
        </w:tc>
        <w:tc>
          <w:tcPr/>
          <w:p>
            <w:pPr>
              <w:pStyle w:val="Compact"/>
            </w:pPr>
            <w:r>
              <w:t xml:space="preserve">BI</w:t>
            </w:r>
          </w:p>
        </w:tc>
        <w:tc>
          <w:tcPr/>
          <w:p>
            <w:pPr>
              <w:pStyle w:val="Compact"/>
            </w:pPr>
            <w:r>
              <w:t xml:space="preserve">Exact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Actual System Use</w:t>
            </w:r>
          </w:p>
        </w:tc>
        <w:tc>
          <w:tcPr/>
          <w:p>
            <w:pPr>
              <w:pStyle w:val="Compact"/>
            </w:pPr>
            <w:r>
              <w:t xml:space="preserve">TAM/UTAUT</w:t>
            </w:r>
          </w:p>
        </w:tc>
        <w:tc>
          <w:tcPr/>
          <w:p>
            <w:pPr>
              <w:pStyle w:val="Compact"/>
            </w:pPr>
            <w:r>
              <w:t xml:space="preserve">UB</w:t>
            </w:r>
          </w:p>
        </w:tc>
        <w:tc>
          <w:tcPr/>
          <w:p>
            <w:pPr>
              <w:pStyle w:val="Compact"/>
            </w:pPr>
            <w:r>
              <w:t xml:space="preserve">Exact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Performance Expectancy</w:t>
            </w:r>
          </w:p>
        </w:tc>
        <w:tc>
          <w:tcPr/>
          <w:p>
            <w:pPr>
              <w:pStyle w:val="Compact"/>
            </w:pPr>
            <w:r>
              <w:t xml:space="preserve">UTAUT</w:t>
            </w:r>
          </w:p>
        </w:tc>
        <w:tc>
          <w:tcPr/>
          <w:p>
            <w:pPr>
              <w:pStyle w:val="Compact"/>
            </w:pPr>
            <w:r>
              <w:t xml:space="preserve">PE</w:t>
            </w:r>
          </w:p>
        </w:tc>
        <w:tc>
          <w:tcPr/>
          <w:p>
            <w:pPr>
              <w:pStyle w:val="Compact"/>
            </w:pPr>
            <w:r>
              <w:t xml:space="preserve">Exact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Effort Expectancy</w:t>
            </w:r>
          </w:p>
        </w:tc>
        <w:tc>
          <w:tcPr/>
          <w:p>
            <w:pPr>
              <w:pStyle w:val="Compact"/>
            </w:pPr>
            <w:r>
              <w:t xml:space="preserve">UTAUT</w:t>
            </w:r>
          </w:p>
        </w:tc>
        <w:tc>
          <w:tcPr/>
          <w:p>
            <w:pPr>
              <w:pStyle w:val="Compact"/>
            </w:pPr>
            <w:r>
              <w:t xml:space="preserve">EE</w:t>
            </w:r>
          </w:p>
        </w:tc>
        <w:tc>
          <w:tcPr/>
          <w:p>
            <w:pPr>
              <w:pStyle w:val="Compact"/>
            </w:pPr>
            <w:r>
              <w:t xml:space="preserve">Exact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Social Influence</w:t>
            </w:r>
          </w:p>
        </w:tc>
        <w:tc>
          <w:tcPr/>
          <w:p>
            <w:pPr>
              <w:pStyle w:val="Compact"/>
            </w:pPr>
            <w:r>
              <w:t xml:space="preserve">UTAUT</w:t>
            </w:r>
          </w:p>
        </w:tc>
        <w:tc>
          <w:tcPr/>
          <w:p>
            <w:pPr>
              <w:pStyle w:val="Compact"/>
            </w:pPr>
            <w:r>
              <w:t xml:space="preserve">SI</w:t>
            </w:r>
          </w:p>
        </w:tc>
        <w:tc>
          <w:tcPr/>
          <w:p>
            <w:pPr>
              <w:pStyle w:val="Compact"/>
            </w:pPr>
            <w:r>
              <w:t xml:space="preserve">Exact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Facilitating Conditions</w:t>
            </w:r>
          </w:p>
        </w:tc>
        <w:tc>
          <w:tcPr/>
          <w:p>
            <w:pPr>
              <w:pStyle w:val="Compact"/>
            </w:pPr>
            <w:r>
              <w:t xml:space="preserve">UTAUT</w:t>
            </w:r>
          </w:p>
        </w:tc>
        <w:tc>
          <w:tcPr/>
          <w:p>
            <w:pPr>
              <w:pStyle w:val="Compact"/>
            </w:pPr>
            <w:r>
              <w:t xml:space="preserve">FC</w:t>
            </w:r>
          </w:p>
        </w:tc>
        <w:tc>
          <w:tcPr/>
          <w:p>
            <w:pPr>
              <w:pStyle w:val="Compact"/>
            </w:pPr>
            <w:r>
              <w:t xml:space="preserve">Exact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Subjective Norm</w:t>
            </w:r>
          </w:p>
        </w:tc>
        <w:tc>
          <w:tcPr/>
          <w:p>
            <w:pPr>
              <w:pStyle w:val="Compact"/>
            </w:pPr>
            <w:r>
              <w:t xml:space="preserve">TRA/TPB</w:t>
            </w:r>
          </w:p>
        </w:tc>
        <w:tc>
          <w:tcPr/>
          <w:p>
            <w:pPr>
              <w:pStyle w:val="Compact"/>
            </w:pPr>
            <w:r>
              <w:t xml:space="preserve">SI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Perceived Behavioral Control</w:t>
            </w:r>
          </w:p>
        </w:tc>
        <w:tc>
          <w:tcPr/>
          <w:p>
            <w:pPr>
              <w:pStyle w:val="Compact"/>
            </w:pPr>
            <w:r>
              <w:t xml:space="preserve">TPB</w:t>
            </w:r>
          </w:p>
        </w:tc>
        <w:tc>
          <w:tcPr/>
          <w:p>
            <w:pPr>
              <w:pStyle w:val="Compact"/>
            </w:pPr>
            <w:r>
              <w:t xml:space="preserve">FC or SE</w:t>
            </w:r>
          </w:p>
        </w:tc>
        <w:tc>
          <w:tcPr/>
          <w:p>
            <w:pPr>
              <w:pStyle w:val="Compact"/>
            </w:pPr>
            <w:r>
              <w:t xml:space="preserve">High (check items)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Relative Advantage</w:t>
            </w:r>
          </w:p>
        </w:tc>
        <w:tc>
          <w:tcPr/>
          <w:p>
            <w:pPr>
              <w:pStyle w:val="Compact"/>
            </w:pPr>
            <w:r>
              <w:t xml:space="preserve">DOI</w:t>
            </w:r>
          </w:p>
        </w:tc>
        <w:tc>
          <w:tcPr/>
          <w:p>
            <w:pPr>
              <w:pStyle w:val="Compact"/>
            </w:pPr>
            <w:r>
              <w:t xml:space="preserve">PE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Complexity</w:t>
            </w:r>
          </w:p>
        </w:tc>
        <w:tc>
          <w:tcPr/>
          <w:p>
            <w:pPr>
              <w:pStyle w:val="Compact"/>
            </w:pPr>
            <w:r>
              <w:t xml:space="preserve">DOI</w:t>
            </w:r>
          </w:p>
        </w:tc>
        <w:tc>
          <w:tcPr/>
          <w:p>
            <w:pPr>
              <w:pStyle w:val="Compact"/>
            </w:pPr>
            <w:r>
              <w:t xml:space="preserve">EE (reverse)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Compatibility</w:t>
            </w:r>
          </w:p>
        </w:tc>
        <w:tc>
          <w:tcPr/>
          <w:p>
            <w:pPr>
              <w:pStyle w:val="Compact"/>
            </w:pPr>
            <w:r>
              <w:t xml:space="preserve">DOI</w:t>
            </w:r>
          </w:p>
        </w:tc>
        <w:tc>
          <w:tcPr/>
          <w:p>
            <w:pPr>
              <w:pStyle w:val="Compact"/>
            </w:pPr>
            <w:r>
              <w:t xml:space="preserve">FC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 Self-Efficacy</w:t>
            </w:r>
          </w:p>
        </w:tc>
        <w:tc>
          <w:tcPr/>
          <w:p>
            <w:pPr>
              <w:pStyle w:val="Compact"/>
            </w:pPr>
            <w:r>
              <w:t xml:space="preserve">SCT</w:t>
            </w:r>
          </w:p>
        </w:tc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Anxiety (computer/technology)</w:t>
            </w:r>
          </w:p>
        </w:tc>
        <w:tc>
          <w:tcPr/>
          <w:p>
            <w:pPr>
              <w:pStyle w:val="Compact"/>
            </w:pPr>
            <w:r>
              <w:t xml:space="preserve">Various</w:t>
            </w:r>
          </w:p>
        </w:tc>
        <w:tc>
          <w:tcPr/>
          <w:p>
            <w:pPr>
              <w:pStyle w:val="Compact"/>
            </w:pPr>
            <w:r>
              <w:t xml:space="preserve">ANX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Hedonic Motivation</w:t>
            </w:r>
          </w:p>
        </w:tc>
        <w:tc>
          <w:tcPr/>
          <w:p>
            <w:pPr>
              <w:pStyle w:val="Compact"/>
            </w:pPr>
            <w:r>
              <w:t xml:space="preserve">UTAUT2</w:t>
            </w:r>
          </w:p>
        </w:tc>
        <w:tc>
          <w:tcPr/>
          <w:p>
            <w:pPr>
              <w:pStyle w:val="Compact"/>
            </w:pPr>
            <w:r>
              <w:t xml:space="preserve">ATT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Satisfaction / User Satisfaction</w:t>
            </w:r>
          </w:p>
        </w:tc>
        <w:tc>
          <w:tcPr/>
          <w:p>
            <w:pPr>
              <w:pStyle w:val="Compact"/>
            </w:pPr>
            <w:r>
              <w:t xml:space="preserve">Various</w:t>
            </w:r>
          </w:p>
        </w:tc>
        <w:tc>
          <w:tcPr/>
          <w:p>
            <w:pPr>
              <w:pStyle w:val="Compact"/>
            </w:pPr>
            <w:r>
              <w:t xml:space="preserve">Exclude by default</w:t>
            </w:r>
          </w:p>
        </w:tc>
        <w:tc>
          <w:tcPr/>
          <w:p>
            <w:pPr>
              <w:pStyle w:val="Compact"/>
            </w:pPr>
            <w:r>
              <w:t xml:space="preserve">Do not map to ATT unless source definitions/items explicitly measure overall evaluative attitude toward using 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Perceived Risk / Risk Concern</w:t>
            </w:r>
          </w:p>
        </w:tc>
        <w:tc>
          <w:tcPr/>
          <w:p>
            <w:pPr>
              <w:pStyle w:val="Compact"/>
            </w:pPr>
            <w:r>
              <w:t xml:space="preserve">Various</w:t>
            </w:r>
          </w:p>
        </w:tc>
        <w:tc>
          <w:tcPr/>
          <w:p>
            <w:pPr>
              <w:pStyle w:val="Compact"/>
            </w:pPr>
            <w:r>
              <w:t xml:space="preserve">Exclude by default</w:t>
            </w:r>
          </w:p>
        </w:tc>
        <w:tc>
          <w:tcPr/>
          <w:p>
            <w:pPr>
              <w:pStyle w:val="Compact"/>
            </w:pPr>
            <w:r>
              <w:t xml:space="preserve">Do not map to ANX by label alone; include only if source definitions/items explicitly measure anxiety, fear, apprehension, or AI-related threat affect</w:t>
            </w:r>
          </w:p>
        </w:tc>
      </w:tr>
    </w:tbl>
    <w:bookmarkEnd w:id="41"/>
    <w:bookmarkStart w:id="42" w:name="ai-specific-construct-mappings"/>
    <w:p>
      <w:pPr>
        <w:pStyle w:val="Heading3"/>
      </w:pPr>
      <w:r>
        <w:t xml:space="preserve">7.3 AI-Specific Construct Mappings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571"/>
        <w:gridCol w:w="1397"/>
        <w:gridCol w:w="1863"/>
        <w:gridCol w:w="108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Study Construct Label</w:t>
            </w:r>
          </w:p>
        </w:tc>
        <w:tc>
          <w:tcPr/>
          <w:p>
            <w:pPr>
              <w:pStyle w:val="Compact"/>
            </w:pPr>
            <w:r>
              <w:t xml:space="preserve">Maps to</w:t>
            </w:r>
          </w:p>
        </w:tc>
        <w:tc>
          <w:tcPr/>
          <w:p>
            <w:pPr>
              <w:pStyle w:val="Compact"/>
            </w:pPr>
            <w:r>
              <w:t xml:space="preserve">Confidence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Trust in AI / AI Trust</w:t>
            </w:r>
          </w:p>
        </w:tc>
        <w:tc>
          <w:tcPr/>
          <w:p>
            <w:pPr>
              <w:pStyle w:val="Compact"/>
            </w:pPr>
            <w:r>
              <w:t xml:space="preserve">TRU</w:t>
            </w:r>
          </w:p>
        </w:tc>
        <w:tc>
          <w:tcPr/>
          <w:p>
            <w:pPr>
              <w:pStyle w:val="Compact"/>
            </w:pPr>
            <w:r>
              <w:t xml:space="preserve">Exact</w:t>
            </w:r>
          </w:p>
        </w:tc>
        <w:tc>
          <w:tcPr/>
          <w:p>
            <w:pPr>
              <w:pStyle w:val="Compact"/>
            </w:pPr>
            <w:r>
              <w:t xml:space="preserve">Direct match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Algorithmic Trust</w:t>
            </w:r>
          </w:p>
        </w:tc>
        <w:tc>
          <w:tcPr/>
          <w:p>
            <w:pPr>
              <w:pStyle w:val="Compact"/>
            </w:pPr>
            <w:r>
              <w:t xml:space="preserve">TRU</w:t>
            </w:r>
          </w:p>
        </w:tc>
        <w:tc>
          <w:tcPr/>
          <w:p>
            <w:pPr>
              <w:pStyle w:val="Compact"/>
            </w:pPr>
            <w:r>
              <w:t xml:space="preserve">Exact</w:t>
            </w:r>
          </w:p>
        </w:tc>
        <w:tc>
          <w:tcPr/>
          <w:p>
            <w:pPr>
              <w:pStyle w:val="Compact"/>
            </w:pPr>
            <w:r>
              <w:t xml:space="preserve">Trust in algorithm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Automation Trust</w:t>
            </w:r>
          </w:p>
        </w:tc>
        <w:tc>
          <w:tcPr/>
          <w:p>
            <w:pPr>
              <w:pStyle w:val="Compact"/>
            </w:pPr>
            <w:r>
              <w:t xml:space="preserve">TRU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Trust in automated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Perceived Reliability</w:t>
            </w:r>
          </w:p>
        </w:tc>
        <w:tc>
          <w:tcPr/>
          <w:p>
            <w:pPr>
              <w:pStyle w:val="Compact"/>
            </w:pPr>
            <w:r>
              <w:t xml:space="preserve">TRU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  <w:tc>
          <w:tcPr/>
          <w:p>
            <w:pPr>
              <w:pStyle w:val="Compact"/>
            </w:pPr>
            <w:r>
              <w:t xml:space="preserve">Competence dimension of trust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Anxiety</w:t>
            </w:r>
          </w:p>
        </w:tc>
        <w:tc>
          <w:tcPr/>
          <w:p>
            <w:pPr>
              <w:pStyle w:val="Compact"/>
            </w:pPr>
            <w:r>
              <w:t xml:space="preserve">ANX</w:t>
            </w:r>
          </w:p>
        </w:tc>
        <w:tc>
          <w:tcPr/>
          <w:p>
            <w:pPr>
              <w:pStyle w:val="Compact"/>
            </w:pPr>
            <w:r>
              <w:t xml:space="preserve">Exact</w:t>
            </w:r>
          </w:p>
        </w:tc>
        <w:tc>
          <w:tcPr/>
          <w:p>
            <w:pPr>
              <w:pStyle w:val="Compact"/>
            </w:pPr>
            <w:r>
              <w:t xml:space="preserve">Direct match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Technology Anxiety</w:t>
            </w:r>
          </w:p>
        </w:tc>
        <w:tc>
          <w:tcPr/>
          <w:p>
            <w:pPr>
              <w:pStyle w:val="Compact"/>
            </w:pPr>
            <w:r>
              <w:t xml:space="preserve">ANX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If AI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Technostress</w:t>
            </w:r>
          </w:p>
        </w:tc>
        <w:tc>
          <w:tcPr/>
          <w:p>
            <w:pPr>
              <w:pStyle w:val="Compact"/>
            </w:pPr>
            <w:r>
              <w:t xml:space="preserve">ANX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  <w:tc>
          <w:tcPr/>
          <w:p>
            <w:pPr>
              <w:pStyle w:val="Compact"/>
            </w:pPr>
            <w:r>
              <w:t xml:space="preserve">Only anxiety component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Explainability / Interpretability</w:t>
            </w:r>
          </w:p>
        </w:tc>
        <w:tc>
          <w:tcPr/>
          <w:p>
            <w:pPr>
              <w:pStyle w:val="Compact"/>
            </w:pPr>
            <w:r>
              <w:t xml:space="preserve">TRA</w:t>
            </w:r>
          </w:p>
        </w:tc>
        <w:tc>
          <w:tcPr/>
          <w:p>
            <w:pPr>
              <w:pStyle w:val="Compact"/>
            </w:pPr>
            <w:r>
              <w:t xml:space="preserve">Exact</w:t>
            </w:r>
          </w:p>
        </w:tc>
        <w:tc>
          <w:tcPr/>
          <w:p>
            <w:pPr>
              <w:pStyle w:val="Compact"/>
            </w:pPr>
            <w:r>
              <w:t xml:space="preserve">XAI construct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Algorithmic Transparency</w:t>
            </w:r>
          </w:p>
        </w:tc>
        <w:tc>
          <w:tcPr/>
          <w:p>
            <w:pPr>
              <w:pStyle w:val="Compact"/>
            </w:pPr>
            <w:r>
              <w:t xml:space="preserve">TRA</w:t>
            </w:r>
          </w:p>
        </w:tc>
        <w:tc>
          <w:tcPr/>
          <w:p>
            <w:pPr>
              <w:pStyle w:val="Compact"/>
            </w:pPr>
            <w:r>
              <w:t xml:space="preserve">Exact</w:t>
            </w:r>
          </w:p>
        </w:tc>
        <w:tc>
          <w:tcPr/>
          <w:p>
            <w:pPr>
              <w:pStyle w:val="Compact"/>
            </w:pPr>
            <w:r>
              <w:t xml:space="preserve">Direct match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Black Box Perception</w:t>
            </w:r>
          </w:p>
        </w:tc>
        <w:tc>
          <w:tcPr/>
          <w:p>
            <w:pPr>
              <w:pStyle w:val="Compact"/>
            </w:pPr>
            <w:r>
              <w:t xml:space="preserve">TRA (reverse)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Reverse-coded transparency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Autonomy / Machine Autonomy</w:t>
            </w:r>
          </w:p>
        </w:tc>
        <w:tc>
          <w:tcPr/>
          <w:p>
            <w:pPr>
              <w:pStyle w:val="Compact"/>
            </w:pPr>
            <w:r>
              <w:t xml:space="preserve">AUT</w:t>
            </w:r>
          </w:p>
        </w:tc>
        <w:tc>
          <w:tcPr/>
          <w:p>
            <w:pPr>
              <w:pStyle w:val="Compact"/>
            </w:pPr>
            <w:r>
              <w:t xml:space="preserve">Exact</w:t>
            </w:r>
          </w:p>
        </w:tc>
        <w:tc>
          <w:tcPr/>
          <w:p>
            <w:pPr>
              <w:pStyle w:val="Compact"/>
            </w:pPr>
            <w:r>
              <w:t xml:space="preserve">Direct match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Perceived AI Agency</w:t>
            </w:r>
          </w:p>
        </w:tc>
        <w:tc>
          <w:tcPr/>
          <w:p>
            <w:pPr>
              <w:pStyle w:val="Compact"/>
            </w:pPr>
            <w:r>
              <w:t xml:space="preserve">AUT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Agency implies 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Automation Level</w:t>
            </w:r>
          </w:p>
        </w:tc>
        <w:tc>
          <w:tcPr/>
          <w:p>
            <w:pPr>
              <w:pStyle w:val="Compact"/>
            </w:pPr>
            <w:r>
              <w:t xml:space="preserve">AUT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Degree of autonomy</w:t>
            </w:r>
          </w:p>
        </w:tc>
      </w:tr>
    </w:tbl>
    <w:bookmarkEnd w:id="42"/>
    <w:bookmarkStart w:id="43" w:name="harmonization-decision-tree"/>
    <w:p>
      <w:pPr>
        <w:pStyle w:val="Heading3"/>
      </w:pPr>
      <w:r>
        <w:t xml:space="preserve">7.4 Harmonization Decision Tree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Exact label match</w:t>
      </w:r>
      <w:r>
        <w:t xml:space="preserve"> </w:t>
      </w:r>
      <w:r>
        <w:t xml:space="preserve">to our 12? → Code directly (confidence = exact)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TAM/UTAUT family</w:t>
      </w:r>
      <w:r>
        <w:t xml:space="preserve"> </w:t>
      </w:r>
      <w:r>
        <w:t xml:space="preserve">label? → Use cross-reference table §7.2 (confidence = high)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AI-specific</w:t>
      </w:r>
      <w:r>
        <w:t xml:space="preserve"> </w:t>
      </w:r>
      <w:r>
        <w:t xml:space="preserve">label? → Use AI mapping table §7.3 (confidence = high/exact)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Definition aligns?</w:t>
      </w:r>
      <w:r>
        <w:t xml:space="preserve"> </w:t>
      </w:r>
      <w:r>
        <w:t xml:space="preserve">→ Compare study definition to our 12 (confidence = moderate)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Items align?</w:t>
      </w:r>
      <w:r>
        <w:t xml:space="preserve"> </w:t>
      </w:r>
      <w:r>
        <w:t xml:space="preserve">→ Review scale items (confidence = moderate)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Expert review</w:t>
      </w:r>
      <w:r>
        <w:t xml:space="preserve"> </w:t>
      </w:r>
      <w:r>
        <w:t xml:space="preserve">→ Flag for PI discussion (confidence = low)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match</w:t>
      </w:r>
      <w:r>
        <w:t xml:space="preserve"> </w:t>
      </w:r>
      <w:r>
        <w:t xml:space="preserve">→ Exclude construct from coding</w:t>
      </w:r>
    </w:p>
    <w:bookmarkEnd w:id="43"/>
    <w:bookmarkStart w:id="44" w:name="ambiguous-cases-requiring-item-review"/>
    <w:p>
      <w:pPr>
        <w:pStyle w:val="Heading3"/>
      </w:pPr>
      <w:r>
        <w:t xml:space="preserve">7.5 Ambiguous Cases Requiring Item Review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950"/>
        <w:gridCol w:w="23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Study Construct</w:t>
            </w:r>
          </w:p>
        </w:tc>
        <w:tc>
          <w:tcPr/>
          <w:p>
            <w:pPr>
              <w:pStyle w:val="Compact"/>
            </w:pPr>
            <w:r>
              <w:t xml:space="preserve">Possible Mappings</w:t>
            </w:r>
          </w:p>
        </w:tc>
        <w:tc>
          <w:tcPr/>
          <w:p>
            <w:pPr>
              <w:pStyle w:val="Compact"/>
            </w:pPr>
            <w:r>
              <w:t xml:space="preserve">Decision 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Value</w:t>
            </w:r>
          </w:p>
        </w:tc>
        <w:tc>
          <w:tcPr/>
          <w:p>
            <w:pPr>
              <w:pStyle w:val="Compact"/>
            </w:pPr>
            <w:r>
              <w:t xml:space="preserve">PE or ATT</w:t>
            </w:r>
          </w:p>
        </w:tc>
        <w:tc>
          <w:tcPr/>
          <w:p>
            <w:pPr>
              <w:pStyle w:val="Compact"/>
            </w:pPr>
            <w:r>
              <w:t xml:space="preserve">“valuable for tasks”</w:t>
            </w:r>
            <w:r>
              <w:t xml:space="preserve"> </w:t>
            </w:r>
            <w:r>
              <w:t xml:space="preserve">→ PE;</w:t>
            </w:r>
            <w:r>
              <w:t xml:space="preserve"> </w:t>
            </w:r>
            <w:r>
              <w:t xml:space="preserve">“valuable overall”</w:t>
            </w:r>
            <w:r>
              <w:t xml:space="preserve"> </w:t>
            </w:r>
            <w:r>
              <w:t xml:space="preserve">→ ATT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Confidence</w:t>
            </w:r>
          </w:p>
        </w:tc>
        <w:tc>
          <w:tcPr/>
          <w:p>
            <w:pPr>
              <w:pStyle w:val="Compact"/>
            </w:pPr>
            <w:r>
              <w:t xml:space="preserve">SE or TRU</w:t>
            </w:r>
          </w:p>
        </w:tc>
        <w:tc>
          <w:tcPr/>
          <w:p>
            <w:pPr>
              <w:pStyle w:val="Compact"/>
            </w:pPr>
            <w:r>
              <w:t xml:space="preserve">“confident in my ability”</w:t>
            </w:r>
            <w:r>
              <w:t xml:space="preserve"> </w:t>
            </w:r>
            <w:r>
              <w:t xml:space="preserve">→ SE;</w:t>
            </w:r>
            <w:r>
              <w:t xml:space="preserve"> </w:t>
            </w:r>
            <w:r>
              <w:t xml:space="preserve">“confident in AI”</w:t>
            </w:r>
            <w:r>
              <w:t xml:space="preserve"> </w:t>
            </w:r>
            <w:r>
              <w:t xml:space="preserve">→ TRU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Understanding</w:t>
            </w:r>
          </w:p>
        </w:tc>
        <w:tc>
          <w:tcPr/>
          <w:p>
            <w:pPr>
              <w:pStyle w:val="Compact"/>
            </w:pPr>
            <w:r>
              <w:t xml:space="preserve">TRA or EE</w:t>
            </w:r>
          </w:p>
        </w:tc>
        <w:tc>
          <w:tcPr/>
          <w:p>
            <w:pPr>
              <w:pStyle w:val="Compact"/>
            </w:pPr>
            <w:r>
              <w:t xml:space="preserve">“understand how AI works”</w:t>
            </w:r>
            <w:r>
              <w:t xml:space="preserve"> </w:t>
            </w:r>
            <w:r>
              <w:t xml:space="preserve">→ TRA;</w:t>
            </w:r>
            <w:r>
              <w:t xml:space="preserve"> </w:t>
            </w:r>
            <w:r>
              <w:t xml:space="preserve">“understand how to use”</w:t>
            </w:r>
            <w:r>
              <w:t xml:space="preserve"> </w:t>
            </w:r>
            <w:r>
              <w:t xml:space="preserve">→ 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Support</w:t>
            </w:r>
          </w:p>
        </w:tc>
        <w:tc>
          <w:tcPr/>
          <w:p>
            <w:pPr>
              <w:pStyle w:val="Compact"/>
            </w:pPr>
            <w:r>
              <w:t xml:space="preserve">FC or SI</w:t>
            </w:r>
          </w:p>
        </w:tc>
        <w:tc>
          <w:tcPr/>
          <w:p>
            <w:pPr>
              <w:pStyle w:val="Compact"/>
            </w:pPr>
            <w:r>
              <w:t xml:space="preserve">“organizational support”</w:t>
            </w:r>
            <w:r>
              <w:t xml:space="preserve"> </w:t>
            </w:r>
            <w:r>
              <w:t xml:space="preserve">→ FC;</w:t>
            </w:r>
            <w:r>
              <w:t xml:space="preserve"> </w:t>
            </w:r>
            <w:r>
              <w:t xml:space="preserve">“peer encouragement”</w:t>
            </w:r>
            <w:r>
              <w:t xml:space="preserve"> </w:t>
            </w:r>
            <w:r>
              <w:t xml:space="preserve">→ 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Perceived Control</w:t>
            </w:r>
          </w:p>
        </w:tc>
        <w:tc>
          <w:tcPr/>
          <w:p>
            <w:pPr>
              <w:pStyle w:val="Compact"/>
            </w:pPr>
            <w:r>
              <w:t xml:space="preserve">SE or FC or AUT(rev)</w:t>
            </w:r>
          </w:p>
        </w:tc>
        <w:tc>
          <w:tcPr/>
          <w:p>
            <w:pPr>
              <w:pStyle w:val="Compact"/>
            </w:pPr>
            <w:r>
              <w:t xml:space="preserve">“I can control”</w:t>
            </w:r>
            <w:r>
              <w:t xml:space="preserve"> </w:t>
            </w:r>
            <w:r>
              <w:t xml:space="preserve">→ SE/FC;</w:t>
            </w:r>
            <w:r>
              <w:t xml:space="preserve"> </w:t>
            </w:r>
            <w:r>
              <w:t xml:space="preserve">“AI controls”</w:t>
            </w:r>
            <w:r>
              <w:t xml:space="preserve"> </w:t>
            </w:r>
            <w:r>
              <w:t xml:space="preserve">→ AUT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Quality</w:t>
            </w:r>
          </w:p>
        </w:tc>
        <w:tc>
          <w:tcPr/>
          <w:p>
            <w:pPr>
              <w:pStyle w:val="Compact"/>
            </w:pPr>
            <w:r>
              <w:t xml:space="preserve">PE or TRU</w:t>
            </w:r>
          </w:p>
        </w:tc>
        <w:tc>
          <w:tcPr/>
          <w:p>
            <w:pPr>
              <w:pStyle w:val="Compact"/>
            </w:pPr>
            <w:r>
              <w:t xml:space="preserve">“output quality”</w:t>
            </w:r>
            <w:r>
              <w:t xml:space="preserve"> </w:t>
            </w:r>
            <w:r>
              <w:t xml:space="preserve">→ PE;</w:t>
            </w:r>
            <w:r>
              <w:t xml:space="preserve"> </w:t>
            </w:r>
            <w:r>
              <w:t xml:space="preserve">“trustworthy”</w:t>
            </w:r>
            <w:r>
              <w:t xml:space="preserve"> </w:t>
            </w:r>
            <w:r>
              <w:t xml:space="preserve">→ TRU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Capability</w:t>
            </w:r>
          </w:p>
        </w:tc>
        <w:tc>
          <w:tcPr/>
          <w:p>
            <w:pPr>
              <w:pStyle w:val="Compact"/>
            </w:pPr>
            <w:r>
              <w:t xml:space="preserve">PE or AUT</w:t>
            </w:r>
          </w:p>
        </w:tc>
        <w:tc>
          <w:tcPr/>
          <w:p>
            <w:pPr>
              <w:pStyle w:val="Compact"/>
            </w:pPr>
            <w:r>
              <w:t xml:space="preserve">“helps me”</w:t>
            </w:r>
            <w:r>
              <w:t xml:space="preserve"> </w:t>
            </w:r>
            <w:r>
              <w:t xml:space="preserve">→ PE;</w:t>
            </w:r>
            <w:r>
              <w:t xml:space="preserve"> </w:t>
            </w:r>
            <w:r>
              <w:t xml:space="preserve">“operates independently”</w:t>
            </w:r>
            <w:r>
              <w:t xml:space="preserve"> </w:t>
            </w:r>
            <w:r>
              <w:t xml:space="preserve">→ AUT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Acceptance / Adoption (composite)</w:t>
            </w:r>
          </w:p>
        </w:tc>
        <w:tc>
          <w:tcPr/>
          <w:p>
            <w:pPr>
              <w:pStyle w:val="Compact"/>
            </w:pPr>
            <w:r>
              <w:t xml:space="preserve">BI or UB</w:t>
            </w:r>
          </w:p>
        </w:tc>
        <w:tc>
          <w:tcPr/>
          <w:p>
            <w:pPr>
              <w:pStyle w:val="Compact"/>
            </w:pPr>
            <w:r>
              <w:t xml:space="preserve">See §7.6 BI vs. UB disambiguation</w:t>
            </w:r>
          </w:p>
        </w:tc>
      </w:tr>
    </w:tbl>
    <w:bookmarkEnd w:id="44"/>
    <w:bookmarkStart w:id="45" w:name="X77b1cb84ccae4ae64c54b575530ee391dd46582"/>
    <w:p>
      <w:pPr>
        <w:pStyle w:val="Heading3"/>
      </w:pPr>
      <w:r>
        <w:t xml:space="preserve">7.6 BI vs. UB Disambiguation for</w:t>
      </w:r>
      <w:r>
        <w:t xml:space="preserve"> </w:t>
      </w:r>
      <w:r>
        <w:t xml:space="preserve">“Acceptance/Adoption”</w:t>
      </w:r>
      <w:r>
        <w:t xml:space="preserve"> </w:t>
      </w:r>
      <w:r>
        <w:t xml:space="preserve">Constructs</w:t>
      </w:r>
    </w:p>
    <w:p>
      <w:pPr>
        <w:pStyle w:val="FirstParagraph"/>
      </w:pPr>
      <w:r>
        <w:t xml:space="preserve">Many studies use</w:t>
      </w:r>
      <w:r>
        <w:t xml:space="preserve"> </w:t>
      </w:r>
      <w:r>
        <w:t xml:space="preserve">“acceptance,”</w:t>
      </w:r>
      <w:r>
        <w:t xml:space="preserve"> </w:t>
      </w:r>
      <w:r>
        <w:t xml:space="preserve">“adoption,”</w:t>
      </w:r>
      <w:r>
        <w:t xml:space="preserve"> </w:t>
      </w:r>
      <w:r>
        <w:t xml:space="preserve">or combined labels (e.g.,</w:t>
      </w:r>
      <w:r>
        <w:t xml:space="preserve"> </w:t>
      </w:r>
      <w:r>
        <w:t xml:space="preserve">“Acceptance and adoption of AI Cloud-based applications”</w:t>
      </w:r>
      <w:r>
        <w:t xml:space="preserve">) without clearly distinguishing intention from behavior. Since BI → UB is a core UTAUT path, misclassification corrupts the pooled correlation matrix.</w:t>
      </w:r>
    </w:p>
    <w:p>
      <w:pPr>
        <w:pStyle w:val="BodyText"/>
      </w:pPr>
      <w:r>
        <w:rPr>
          <w:b/>
          <w:bCs/>
        </w:rPr>
        <w:t xml:space="preserve">Item-level linguistic decision framework: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3046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BI (Intention)</w:t>
            </w:r>
          </w:p>
        </w:tc>
        <w:tc>
          <w:tcPr/>
          <w:p>
            <w:pPr>
              <w:pStyle w:val="Compact"/>
            </w:pPr>
            <w:r>
              <w:t xml:space="preserve">UB (Behavior)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Tense</w:t>
            </w:r>
          </w:p>
        </w:tc>
        <w:tc>
          <w:tcPr/>
          <w:p>
            <w:pPr>
              <w:pStyle w:val="Compact"/>
            </w:pPr>
            <w:r>
              <w:t xml:space="preserve">Future (will, would, intend to)</w:t>
            </w:r>
          </w:p>
        </w:tc>
        <w:tc>
          <w:tcPr/>
          <w:p>
            <w:pPr>
              <w:pStyle w:val="Compact"/>
            </w:pPr>
            <w:r>
              <w:t xml:space="preserve">Present/past (I use, I have used)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Conditional</w:t>
            </w:r>
          </w:p>
        </w:tc>
        <w:tc>
          <w:tcPr/>
          <w:p>
            <w:pPr>
              <w:pStyle w:val="Compact"/>
            </w:pPr>
            <w:r>
              <w:t xml:space="preserve">Present (</w:t>
            </w:r>
            <w:r>
              <w:t xml:space="preserve">“If available…”</w:t>
            </w:r>
            <w:r>
              <w:t xml:space="preserve">,</w:t>
            </w:r>
            <w:r>
              <w:t xml:space="preserve"> </w:t>
            </w:r>
            <w:r>
              <w:t xml:space="preserve">“Assuming…”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Absent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 verbs</w:t>
            </w:r>
          </w:p>
        </w:tc>
        <w:tc>
          <w:tcPr/>
          <w:p>
            <w:pPr>
              <w:pStyle w:val="Compact"/>
            </w:pPr>
            <w:r>
              <w:t xml:space="preserve">intend, plan, predict, willing, expect</w:t>
            </w:r>
          </w:p>
        </w:tc>
        <w:tc>
          <w:tcPr/>
          <w:p>
            <w:pPr>
              <w:pStyle w:val="Compact"/>
            </w:pPr>
            <w:r>
              <w:t xml:space="preserve">use, utilize, depend on, adopt(ed)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Response scale</w:t>
            </w:r>
          </w:p>
        </w:tc>
        <w:tc>
          <w:tcPr/>
          <w:p>
            <w:pPr>
              <w:pStyle w:val="Compact"/>
            </w:pPr>
            <w:r>
              <w:t xml:space="preserve">Agreement Likert (agree-disagree)</w:t>
            </w:r>
          </w:p>
        </w:tc>
        <w:tc>
          <w:tcPr/>
          <w:p>
            <w:pPr>
              <w:pStyle w:val="Compact"/>
            </w:pPr>
            <w:r>
              <w:t xml:space="preserve">Frequency (never-always) or duration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Reference items for comparison:</w:t>
      </w:r>
    </w:p>
    <w:p>
      <w:pPr>
        <w:pStyle w:val="BodyText"/>
      </w:pPr>
      <w:r>
        <w:t xml:space="preserve">BI (Venkatesh et al., 2003):</w:t>
      </w:r>
      <w:r>
        <w:t xml:space="preserve"> </w:t>
      </w:r>
      <w:r>
        <w:t xml:space="preserve">“I intend to use the system in the next &lt;n&gt; months.”</w:t>
      </w:r>
      <w:r>
        <w:t xml:space="preserve"> </w:t>
      </w:r>
      <w:r>
        <w:t xml:space="preserve">/</w:t>
      </w:r>
      <w:r>
        <w:t xml:space="preserve"> </w:t>
      </w:r>
      <w:r>
        <w:t xml:space="preserve">“I predict I would use the system in the next &lt;n&gt; months.”</w:t>
      </w:r>
      <w:r>
        <w:t xml:space="preserve"> </w:t>
      </w:r>
      <w:r>
        <w:t xml:space="preserve">/</w:t>
      </w:r>
      <w:r>
        <w:t xml:space="preserve"> </w:t>
      </w:r>
      <w:r>
        <w:t xml:space="preserve">“I plan to use the system in the next &lt;n&gt; months.”</w:t>
      </w:r>
    </w:p>
    <w:p>
      <w:pPr>
        <w:pStyle w:val="BodyText"/>
      </w:pPr>
      <w:r>
        <w:t xml:space="preserve">UB (Davis, 1989; Thompson et al., 1991):</w:t>
      </w:r>
      <w:r>
        <w:t xml:space="preserve"> </w:t>
      </w:r>
      <w:r>
        <w:t xml:space="preserve">“How frequently do you use [system]?”</w:t>
      </w:r>
      <w:r>
        <w:t xml:space="preserve"> </w:t>
      </w:r>
      <w:r>
        <w:t xml:space="preserve">/</w:t>
      </w:r>
      <w:r>
        <w:t xml:space="preserve"> </w:t>
      </w:r>
      <w:r>
        <w:t xml:space="preserve">“I use [system] frequently.”</w:t>
      </w:r>
      <w:r>
        <w:t xml:space="preserve"> </w:t>
      </w:r>
      <w:r>
        <w:t xml:space="preserve">/</w:t>
      </w:r>
      <w:r>
        <w:t xml:space="preserve"> </w:t>
      </w:r>
      <w:r>
        <w:t xml:space="preserve">“How much time do you spend using [system]?”</w:t>
      </w:r>
    </w:p>
    <w:p>
      <w:pPr>
        <w:pStyle w:val="BodyText"/>
      </w:pPr>
      <w:r>
        <w:rPr>
          <w:b/>
          <w:bCs/>
        </w:rPr>
        <w:t xml:space="preserve">Decision procedure:</w:t>
      </w:r>
      <w:r>
        <w:t xml:space="preserve"> </w:t>
      </w:r>
      <w:r>
        <w:t xml:space="preserve">1. Read all items; classify each as BI-type or UB-type using the table above</w:t>
      </w:r>
      <w:r>
        <w:t xml:space="preserve"> </w:t>
      </w:r>
      <w:r>
        <w:t xml:space="preserve">2. If &gt;66% of items are one type → map to that construct (confidence = moderate+)</w:t>
      </w:r>
      <w:r>
        <w:t xml:space="preserve"> </w:t>
      </w:r>
      <w:r>
        <w:t xml:space="preserve">3. If items unavailable, check the construct’s nomological position: receives paths from PE/EE/SI/ATT and predicts UB → functions as BI</w:t>
      </w:r>
      <w:r>
        <w:t xml:space="preserve"> </w:t>
      </w:r>
      <w:r>
        <w:t xml:space="preserve">4. Fallback: code as BI with</w:t>
      </w:r>
      <w:r>
        <w:t xml:space="preserve"> </w:t>
      </w:r>
      <w:r>
        <w:rPr>
          <w:rStyle w:val="VerbatimChar"/>
        </w:rPr>
        <w:t xml:space="preserve">mapping_confidence = low</w:t>
      </w:r>
      <w:r>
        <w:t xml:space="preserve">,</w:t>
      </w:r>
      <w:r>
        <w:t xml:space="preserve"> </w:t>
      </w:r>
      <w:r>
        <w:rPr>
          <w:rStyle w:val="VerbatimChar"/>
        </w:rPr>
        <w:t xml:space="preserve">flagged_for_review = TRUE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construct_harmonization.md</w:t>
      </w:r>
      <w:r>
        <w:t xml:space="preserve"> </w:t>
      </w:r>
      <w:r>
        <w:t xml:space="preserve">Section 5, Example 7 for detailed worked examples.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moderator-variable-coding"/>
    <w:p>
      <w:pPr>
        <w:pStyle w:val="Heading2"/>
      </w:pPr>
      <w:r>
        <w:t xml:space="preserve">8. Moderator Variable Coding</w:t>
      </w:r>
    </w:p>
    <w:bookmarkStart w:id="47" w:name="variable-reference-1"/>
    <w:p>
      <w:pPr>
        <w:pStyle w:val="Heading3"/>
      </w:pPr>
      <w:r>
        <w:t xml:space="preserve">8.1 Variable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056"/>
        <w:gridCol w:w="2112"/>
        <w:gridCol w:w="1408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Levels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study_id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Links to STUDY_METADATA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ai_type</w:t>
            </w:r>
          </w:p>
        </w:tc>
        <w:tc>
          <w:tcPr/>
          <w:p>
            <w:pPr>
              <w:pStyle w:val="Compact"/>
            </w:pPr>
            <w:r>
              <w:t xml:space="preserve">categorical</w:t>
            </w:r>
          </w:p>
        </w:tc>
        <w:tc>
          <w:tcPr/>
          <w:p>
            <w:pPr>
              <w:pStyle w:val="Compact"/>
            </w:pPr>
            <w:r>
              <w:t xml:space="preserve">AI technology type</w:t>
            </w:r>
          </w:p>
        </w:tc>
        <w:tc>
          <w:tcPr/>
          <w:p>
            <w:pPr>
              <w:pStyle w:val="Compact"/>
            </w:pPr>
            <w:r>
              <w:t xml:space="preserve">generative, predictive, decision_support, conversational, robotic, general</w:t>
            </w:r>
          </w:p>
        </w:tc>
        <w:tc>
          <w:tcPr/>
          <w:p>
            <w:pPr>
              <w:pStyle w:val="Compact"/>
            </w:pPr>
            <w:r>
              <w:t xml:space="preserve">generative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education_level</w:t>
            </w:r>
          </w:p>
        </w:tc>
        <w:tc>
          <w:tcPr/>
          <w:p>
            <w:pPr>
              <w:pStyle w:val="Compact"/>
            </w:pPr>
            <w:r>
              <w:t xml:space="preserve">categorical</w:t>
            </w:r>
          </w:p>
        </w:tc>
        <w:tc>
          <w:tcPr/>
          <w:p>
            <w:pPr>
              <w:pStyle w:val="Compact"/>
            </w:pPr>
            <w:r>
              <w:t xml:space="preserve">Education context</w:t>
            </w:r>
          </w:p>
        </w:tc>
        <w:tc>
          <w:tcPr/>
          <w:p>
            <w:pPr>
              <w:pStyle w:val="Compact"/>
            </w:pPr>
            <w:r>
              <w:t xml:space="preserve">K-12, undergraduate, graduate, vocational, mixed</w:t>
            </w:r>
          </w:p>
        </w:tc>
        <w:tc>
          <w:tcPr/>
          <w:p>
            <w:pPr>
              <w:pStyle w:val="Compact"/>
            </w:pPr>
            <w:r>
              <w:t xml:space="preserve">undergraduate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temporal_period</w:t>
            </w:r>
          </w:p>
        </w:tc>
        <w:tc>
          <w:tcPr/>
          <w:p>
            <w:pPr>
              <w:pStyle w:val="Compact"/>
            </w:pPr>
            <w:r>
              <w:t xml:space="preserve">categorical</w:t>
            </w:r>
          </w:p>
        </w:tc>
        <w:tc>
          <w:tcPr/>
          <w:p>
            <w:pPr>
              <w:pStyle w:val="Compact"/>
            </w:pPr>
            <w:r>
              <w:t xml:space="preserve">Publication era</w:t>
            </w:r>
          </w:p>
        </w:tc>
        <w:tc>
          <w:tcPr/>
          <w:p>
            <w:pPr>
              <w:pStyle w:val="Compact"/>
            </w:pPr>
            <w:r>
              <w:t xml:space="preserve">pre_chatgpt (2022), post_chatgpt (2023–2026)</w:t>
            </w:r>
          </w:p>
        </w:tc>
        <w:tc>
          <w:tcPr/>
          <w:p>
            <w:pPr>
              <w:pStyle w:val="Compact"/>
            </w:pPr>
            <w:r>
              <w:t xml:space="preserve">post_chatgpt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culture_cluster</w:t>
            </w:r>
          </w:p>
        </w:tc>
        <w:tc>
          <w:tcPr/>
          <w:p>
            <w:pPr>
              <w:pStyle w:val="Compact"/>
            </w:pPr>
            <w:r>
              <w:t xml:space="preserve">categorical</w:t>
            </w:r>
          </w:p>
        </w:tc>
        <w:tc>
          <w:tcPr/>
          <w:p>
            <w:pPr>
              <w:pStyle w:val="Compact"/>
            </w:pPr>
            <w:r>
              <w:t xml:space="preserve">Hofstede-based</w:t>
            </w:r>
          </w:p>
        </w:tc>
        <w:tc>
          <w:tcPr/>
          <w:p>
            <w:pPr>
              <w:pStyle w:val="Compact"/>
            </w:pPr>
            <w:r>
              <w:t xml:space="preserve">individualist (IDV≥50), collectivist (IDV&lt;50)</w:t>
            </w:r>
          </w:p>
        </w:tc>
        <w:tc>
          <w:tcPr/>
          <w:p>
            <w:pPr>
              <w:pStyle w:val="Compact"/>
            </w:pPr>
            <w:r>
              <w:t xml:space="preserve">collectivist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sample_type</w:t>
            </w:r>
          </w:p>
        </w:tc>
        <w:tc>
          <w:tcPr/>
          <w:p>
            <w:pPr>
              <w:pStyle w:val="Compact"/>
            </w:pPr>
            <w:r>
              <w:t xml:space="preserve">categorical</w:t>
            </w:r>
          </w:p>
        </w:tc>
        <w:tc>
          <w:tcPr/>
          <w:p>
            <w:pPr>
              <w:pStyle w:val="Compact"/>
            </w:pPr>
            <w:r>
              <w:t xml:space="preserve">Respondent type</w:t>
            </w:r>
          </w:p>
        </w:tc>
        <w:tc>
          <w:tcPr/>
          <w:p>
            <w:pPr>
              <w:pStyle w:val="Compact"/>
            </w:pPr>
            <w:r>
              <w:t xml:space="preserve">students, instructors, mixed, administrators</w:t>
            </w:r>
          </w:p>
        </w:tc>
        <w:tc>
          <w:tcPr/>
          <w:p>
            <w:pPr>
              <w:pStyle w:val="Compact"/>
            </w:pPr>
            <w:r>
              <w:t xml:space="preserve">students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user_role</w:t>
            </w:r>
          </w:p>
        </w:tc>
        <w:tc>
          <w:tcPr/>
          <w:p>
            <w:pPr>
              <w:pStyle w:val="Compact"/>
            </w:pPr>
            <w:r>
              <w:t xml:space="preserve">categorical</w:t>
            </w:r>
          </w:p>
        </w:tc>
        <w:tc>
          <w:tcPr/>
          <w:p>
            <w:pPr>
              <w:pStyle w:val="Compact"/>
            </w:pPr>
            <w:r>
              <w:t xml:space="preserve">User role studied</w:t>
            </w:r>
          </w:p>
        </w:tc>
        <w:tc>
          <w:tcPr/>
          <w:p>
            <w:pPr>
              <w:pStyle w:val="Compact"/>
            </w:pPr>
            <w:r>
              <w:t xml:space="preserve">student, instructor, both</w:t>
            </w:r>
          </w:p>
        </w:tc>
        <w:tc>
          <w:tcPr/>
          <w:p>
            <w:pPr>
              <w:pStyle w:val="Compact"/>
            </w:pPr>
            <w:r>
              <w:t xml:space="preserve">student</w:t>
            </w:r>
          </w:p>
        </w:tc>
      </w:tr>
    </w:tbl>
    <w:bookmarkEnd w:id="47"/>
    <w:bookmarkStart w:id="48" w:name="moderator-coding-rules"/>
    <w:p>
      <w:pPr>
        <w:pStyle w:val="Heading3"/>
      </w:pPr>
      <w:r>
        <w:t xml:space="preserve">8.2 Moderator Coding Rules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AI Type:</w:t>
      </w:r>
      <w:r>
        <w:t xml:space="preserve"> </w:t>
      </w:r>
      <w:r>
        <w:t xml:space="preserve">Code based on the specific AI technology described. If multiple AI types, code as</w:t>
      </w:r>
      <w:r>
        <w:t xml:space="preserve"> </w:t>
      </w:r>
      <w:r>
        <w:t xml:space="preserve">“general.”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Education Level:</w:t>
      </w:r>
      <w:r>
        <w:t xml:space="preserve"> </w:t>
      </w:r>
      <w:r>
        <w:t xml:space="preserve">Code based on the sample’s educational context. If cross-level, code as</w:t>
      </w:r>
      <w:r>
        <w:t xml:space="preserve"> </w:t>
      </w:r>
      <w:r>
        <w:t xml:space="preserve">“mixed.”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Temporal Period:</w:t>
      </w:r>
      <w:r>
        <w:t xml:space="preserve"> </w:t>
      </w:r>
      <w:r>
        <w:t xml:space="preserve">Based on publication year. 2022 = pre_chatgpt; 2023–2026 = post_chatgpt.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Culture:</w:t>
      </w:r>
      <w:r>
        <w:t xml:space="preserve"> </w:t>
      </w:r>
      <w:r>
        <w:t xml:space="preserve">Use Hofstede individualism score. IDV ≥ 50 = individualist; IDV &lt; 50 = collectivist.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User Role:</w:t>
      </w:r>
      <w:r>
        <w:t xml:space="preserve"> </w:t>
      </w:r>
      <w:r>
        <w:t xml:space="preserve">Code primary respondent role.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2" w:name="reliability-data-extraction"/>
    <w:p>
      <w:pPr>
        <w:pStyle w:val="Heading2"/>
      </w:pPr>
      <w:r>
        <w:t xml:space="preserve">9. Reliability Data Extraction</w:t>
      </w:r>
    </w:p>
    <w:bookmarkStart w:id="50" w:name="variable-reference-2"/>
    <w:p>
      <w:pPr>
        <w:pStyle w:val="Heading3"/>
      </w:pPr>
      <w:r>
        <w:t xml:space="preserve">9.1 Variable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0"/>
        <w:gridCol w:w="1284"/>
        <w:gridCol w:w="2568"/>
        <w:gridCol w:w="19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study_id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Links to STUDY_METADATA</w:t>
            </w:r>
          </w:p>
        </w:tc>
        <w:tc>
          <w:tcPr/>
          <w:p>
            <w:pPr>
              <w:pStyle w:val="Compact"/>
            </w:pPr>
            <w:r>
              <w:t xml:space="preserve">S001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</w:t>
            </w:r>
          </w:p>
        </w:tc>
        <w:tc>
          <w:tcPr/>
          <w:p>
            <w:pPr>
              <w:pStyle w:val="Compact"/>
            </w:pPr>
            <w:r>
              <w:t xml:space="preserve">categorical</w:t>
            </w:r>
          </w:p>
        </w:tc>
        <w:tc>
          <w:tcPr/>
          <w:p>
            <w:pPr>
              <w:pStyle w:val="Compact"/>
            </w:pPr>
            <w:r>
              <w:t xml:space="preserve">One of 12 target constructs</w:t>
            </w:r>
          </w:p>
        </w:tc>
        <w:tc>
          <w:tcPr/>
          <w:p>
            <w:pPr>
              <w:pStyle w:val="Compact"/>
            </w:pPr>
            <w:r>
              <w:t xml:space="preserve">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study_label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Original construct label in the study</w:t>
            </w:r>
          </w:p>
        </w:tc>
        <w:tc>
          <w:tcPr/>
          <w:p>
            <w:pPr>
              <w:pStyle w:val="Compact"/>
            </w:pPr>
            <w:r>
              <w:t xml:space="preserve">Perceived Usefulness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cronbach_alpha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Cronbach’s alpha (0–1)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composite_reliability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Composite reliability / CR (0–1)</w:t>
            </w:r>
          </w:p>
        </w:tc>
        <w:tc>
          <w:tcPr/>
          <w:p>
            <w:pPr>
              <w:pStyle w:val="Compact"/>
            </w:pPr>
            <w:r>
              <w:t xml:space="preserve">0.92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ave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Average Variance Extracted (0–1)</w:t>
            </w:r>
          </w:p>
        </w:tc>
        <w:tc>
          <w:tcPr/>
          <w:p>
            <w:pPr>
              <w:pStyle w:val="Compact"/>
            </w:pPr>
            <w:r>
              <w:t xml:space="preserve">0.65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n_items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Number of scale items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scale_source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Original scale reference</w:t>
            </w:r>
          </w:p>
        </w:tc>
        <w:tc>
          <w:tcPr/>
          <w:p>
            <w:pPr>
              <w:pStyle w:val="Compact"/>
            </w:pPr>
            <w:r>
              <w:t xml:space="preserve">Venkatesh et al. (2003)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harmonization_confidence</w:t>
            </w:r>
          </w:p>
        </w:tc>
        <w:tc>
          <w:tcPr/>
          <w:p>
            <w:pPr>
              <w:pStyle w:val="Compact"/>
            </w:pPr>
            <w:r>
              <w:t xml:space="preserve">categorical</w:t>
            </w:r>
          </w:p>
        </w:tc>
        <w:tc>
          <w:tcPr/>
          <w:p>
            <w:pPr>
              <w:pStyle w:val="Compact"/>
            </w:pPr>
            <w:r>
              <w:t xml:space="preserve">exact, high, moderate, low</w:t>
            </w:r>
          </w:p>
        </w:tc>
        <w:tc>
          <w:tcPr/>
          <w:p>
            <w:pPr>
              <w:pStyle w:val="Compact"/>
            </w:pPr>
            <w:r>
              <w:t xml:space="preserve">exact</w:t>
            </w:r>
          </w:p>
        </w:tc>
      </w:tr>
    </w:tbl>
    <w:bookmarkEnd w:id="50"/>
    <w:bookmarkStart w:id="51" w:name="reliability-extraction-protocol"/>
    <w:p>
      <w:pPr>
        <w:pStyle w:val="Heading3"/>
      </w:pPr>
      <w:r>
        <w:t xml:space="preserve">9.2 Reliability Extraction Protocol</w:t>
      </w:r>
    </w:p>
    <w:p>
      <w:pPr>
        <w:pStyle w:val="Compact"/>
        <w:numPr>
          <w:ilvl w:val="0"/>
          <w:numId w:val="1010"/>
        </w:numPr>
      </w:pPr>
      <w:r>
        <w:t xml:space="preserve">Check diagonal of correlation matrix for reliability values (often α or CR)</w:t>
      </w:r>
    </w:p>
    <w:p>
      <w:pPr>
        <w:pStyle w:val="Compact"/>
        <w:numPr>
          <w:ilvl w:val="0"/>
          <w:numId w:val="1010"/>
        </w:numPr>
      </w:pPr>
      <w:r>
        <w:t xml:space="preserve">Check measurement model tables (CFA results) for CR and AVE</w:t>
      </w:r>
    </w:p>
    <w:p>
      <w:pPr>
        <w:pStyle w:val="Compact"/>
        <w:numPr>
          <w:ilvl w:val="0"/>
          <w:numId w:val="1010"/>
        </w:numPr>
      </w:pPr>
      <w:r>
        <w:t xml:space="preserve">Check</w:t>
      </w:r>
      <w:r>
        <w:t xml:space="preserve"> </w:t>
      </w:r>
      <w:r>
        <w:t xml:space="preserve">“Measures”</w:t>
      </w:r>
      <w:r>
        <w:t xml:space="preserve"> </w:t>
      </w:r>
      <w:r>
        <w:t xml:space="preserve">or</w:t>
      </w:r>
      <w:r>
        <w:t xml:space="preserve"> </w:t>
      </w:r>
      <w:r>
        <w:t xml:space="preserve">“Instruments”</w:t>
      </w:r>
      <w:r>
        <w:t xml:space="preserve"> </w:t>
      </w:r>
      <w:r>
        <w:t xml:space="preserve">section for α values</w:t>
      </w:r>
    </w:p>
    <w:p>
      <w:pPr>
        <w:pStyle w:val="Compact"/>
        <w:numPr>
          <w:ilvl w:val="0"/>
          <w:numId w:val="1010"/>
        </w:numPr>
      </w:pPr>
      <w:r>
        <w:t xml:space="preserve">If multiple estimates reported, prefer: CR &gt; α &gt; test-retest</w:t>
      </w:r>
    </w:p>
    <w:p>
      <w:pPr>
        <w:pStyle w:val="Compact"/>
        <w:numPr>
          <w:ilvl w:val="0"/>
          <w:numId w:val="1010"/>
        </w:numPr>
      </w:pPr>
      <w:r>
        <w:t xml:space="preserve">Record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available reliability indicators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8" w:name="ai-assisted-coding-protocol"/>
    <w:p>
      <w:pPr>
        <w:pStyle w:val="Heading2"/>
      </w:pPr>
      <w:r>
        <w:t xml:space="preserve">10. AI-Assisted Coding Protocol</w:t>
      </w:r>
    </w:p>
    <w:bookmarkStart w:id="53" w:name="dual-track-design"/>
    <w:p>
      <w:pPr>
        <w:pStyle w:val="Heading3"/>
      </w:pPr>
      <w:r>
        <w:t xml:space="preserve">10.1 Dual-Track Design</w:t>
      </w:r>
    </w:p>
    <w:p>
      <w:pPr>
        <w:pStyle w:val="FirstParagraph"/>
      </w:pPr>
      <w:r>
        <w:t xml:space="preserve">The AI-assisted coding protocol operates on</w:t>
      </w:r>
      <w:r>
        <w:t xml:space="preserve"> </w:t>
      </w:r>
      <w:r>
        <w:rPr>
          <w:b/>
          <w:bCs/>
        </w:rPr>
        <w:t xml:space="preserve">two separate tracks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Track 1 — AI Metadata Pre-Coding</w:t>
      </w:r>
      <w:r>
        <w:t xml:space="preserve"> </w:t>
      </w:r>
      <w:r>
        <w:t xml:space="preserve">(before human coding):</w:t>
      </w:r>
      <w:r>
        <w:t xml:space="preserve"> </w:t>
      </w:r>
      <w:r>
        <w:t xml:space="preserve">- AI extracts non-critical metadata from PDFs</w:t>
      </w:r>
      <w:r>
        <w:t xml:space="preserve"> </w:t>
      </w:r>
      <w:r>
        <w:t xml:space="preserve">- Fields: author, year, title, DOI, sample_size, country, study_design, ai_type, education_level, theoretical_framework</w:t>
      </w:r>
      <w:r>
        <w:t xml:space="preserve"> </w:t>
      </w:r>
      <w:r>
        <w:t xml:space="preserve">- Humans verify and correct during their independent coding</w:t>
      </w:r>
      <w:r>
        <w:t xml:space="preserve"> </w:t>
      </w:r>
      <w:r>
        <w:t xml:space="preserve">- This saves time on clerical tasks without introducing bias</w:t>
      </w:r>
    </w:p>
    <w:p>
      <w:pPr>
        <w:pStyle w:val="BodyText"/>
      </w:pPr>
      <w:r>
        <w:rPr>
          <w:b/>
          <w:bCs/>
        </w:rPr>
        <w:t xml:space="preserve">Track 2 — AI Independent Extraction</w:t>
      </w:r>
      <w:r>
        <w:t xml:space="preserve"> </w:t>
      </w:r>
      <w:r>
        <w:t xml:space="preserve">(parallel with human coding):</w:t>
      </w:r>
      <w:r>
        <w:t xml:space="preserve"> </w:t>
      </w:r>
      <w:r>
        <w:t xml:space="preserve">- AI extracts core MASEM data (correlations, construct mappings)</w:t>
      </w:r>
      <w:r>
        <w:t xml:space="preserve"> </w:t>
      </w:r>
      <w:r>
        <w:t xml:space="preserve">- Results are</w:t>
      </w:r>
      <w:r>
        <w:t xml:space="preserve"> </w:t>
      </w:r>
      <w:r>
        <w:rPr>
          <w:b/>
          <w:bCs/>
        </w:rPr>
        <w:t xml:space="preserve">NOT shown to human coders</w:t>
      </w:r>
      <w:r>
        <w:t xml:space="preserve"> </w:t>
      </w:r>
      <w:r>
        <w:t xml:space="preserve">until human coding is complete</w:t>
      </w:r>
      <w:r>
        <w:t xml:space="preserve"> </w:t>
      </w:r>
      <w:r>
        <w:t xml:space="preserve">- Used for AI-Human comparison metrics and validation</w:t>
      </w:r>
      <w:r>
        <w:t xml:space="preserve"> </w:t>
      </w:r>
      <w:r>
        <w:t xml:space="preserve">- 3-model consensus determines AI extraction quality</w:t>
      </w:r>
    </w:p>
    <w:bookmarkEnd w:id="53"/>
    <w:bookmarkStart w:id="54" w:name="models"/>
    <w:p>
      <w:pPr>
        <w:pStyle w:val="Heading3"/>
      </w:pPr>
      <w:r>
        <w:t xml:space="preserve">10.2 Models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CLI Tool</w:t>
            </w:r>
          </w:p>
        </w:tc>
        <w:tc>
          <w:tcPr/>
          <w:p>
            <w:pPr>
              <w:pStyle w:val="Compact"/>
            </w:pPr>
            <w:r>
              <w:t xml:space="preserve">Version (March 2026)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Claude CLI</w:t>
            </w:r>
          </w:p>
        </w:tc>
        <w:tc>
          <w:tcPr/>
          <w:p>
            <w:pPr>
              <w:pStyle w:val="Compact"/>
            </w:pPr>
            <w:r>
              <w:t xml:space="preserve">claude-sonnet-4-6</w:t>
            </w:r>
          </w:p>
        </w:tc>
        <w:tc>
          <w:tcPr/>
          <w:p>
            <w:pPr>
              <w:pStyle w:val="Compact"/>
            </w:pPr>
            <w:r>
              <w:t xml:space="preserve">Primary AI coder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Gemini</w:t>
            </w:r>
          </w:p>
        </w:tc>
        <w:tc>
          <w:tcPr/>
          <w:p>
            <w:pPr>
              <w:pStyle w:val="Compact"/>
            </w:pPr>
            <w:r>
              <w:t xml:space="preserve">Gemini CLI</w:t>
            </w:r>
          </w:p>
        </w:tc>
        <w:tc>
          <w:tcPr/>
          <w:p>
            <w:pPr>
              <w:pStyle w:val="Compact"/>
            </w:pPr>
            <w:r>
              <w:t xml:space="preserve">gemini-2.5-flash</w:t>
            </w:r>
          </w:p>
        </w:tc>
        <w:tc>
          <w:tcPr/>
          <w:p>
            <w:pPr>
              <w:pStyle w:val="Compact"/>
            </w:pPr>
            <w:r>
              <w:t xml:space="preserve">Secondary AI coder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Codex</w:t>
            </w:r>
          </w:p>
        </w:tc>
        <w:tc>
          <w:tcPr/>
          <w:p>
            <w:pPr>
              <w:pStyle w:val="Compact"/>
            </w:pPr>
            <w:r>
              <w:t xml:space="preserve">Codex CLI</w:t>
            </w:r>
          </w:p>
        </w:tc>
        <w:tc>
          <w:tcPr/>
          <w:p>
            <w:pPr>
              <w:pStyle w:val="Compact"/>
            </w:pPr>
            <w:r>
              <w:t xml:space="preserve">Latest available</w:t>
            </w:r>
          </w:p>
        </w:tc>
        <w:tc>
          <w:tcPr/>
          <w:p>
            <w:pPr>
              <w:pStyle w:val="Compact"/>
            </w:pPr>
            <w:r>
              <w:t xml:space="preserve">Tertiary AI coder</w:t>
            </w:r>
          </w:p>
        </w:tc>
      </w:tr>
    </w:tbl>
    <w:p>
      <w:pPr>
        <w:pStyle w:val="BodyText"/>
      </w:pPr>
      <w:r>
        <w:t xml:space="preserve">All models operate via CLI under authenticated sessions. Each processes the same study independently.</w:t>
      </w:r>
    </w:p>
    <w:bookmarkEnd w:id="54"/>
    <w:bookmarkStart w:id="55" w:name="execution-rules"/>
    <w:p>
      <w:pPr>
        <w:pStyle w:val="Heading3"/>
      </w:pPr>
      <w:r>
        <w:t xml:space="preserve">10.3 Execution Rules</w:t>
      </w:r>
    </w:p>
    <w:p>
      <w:pPr>
        <w:pStyle w:val="Compact"/>
        <w:numPr>
          <w:ilvl w:val="0"/>
          <w:numId w:val="1011"/>
        </w:numPr>
      </w:pPr>
      <w:r>
        <w:t xml:space="preserve">Each AI model processes the same study</w:t>
      </w:r>
      <w:r>
        <w:t xml:space="preserve"> </w:t>
      </w:r>
      <w:r>
        <w:rPr>
          <w:b/>
          <w:bCs/>
        </w:rPr>
        <w:t xml:space="preserve">independently</w:t>
      </w:r>
      <w:r>
        <w:t xml:space="preserve"> </w:t>
      </w:r>
      <w:r>
        <w:t xml:space="preserve">(no communication between models)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Human gold-standard coding is completed independently</w:t>
      </w:r>
      <w:r>
        <w:t xml:space="preserve"> </w:t>
      </w:r>
      <w:r>
        <w:t xml:space="preserve">— humans do NOT see AI extraction results for correlations and construct mappings</w:t>
      </w:r>
    </w:p>
    <w:p>
      <w:pPr>
        <w:pStyle w:val="Compact"/>
        <w:numPr>
          <w:ilvl w:val="0"/>
          <w:numId w:val="1011"/>
        </w:numPr>
      </w:pPr>
      <w:r>
        <w:t xml:space="preserve">Humans MAY see AI-precoded metadata (Track 1) as this covers non-critical clerical fields</w:t>
      </w:r>
    </w:p>
    <w:p>
      <w:pPr>
        <w:pStyle w:val="Compact"/>
        <w:numPr>
          <w:ilvl w:val="0"/>
          <w:numId w:val="1011"/>
        </w:numPr>
      </w:pPr>
      <w:r>
        <w:t xml:space="preserve">All AI raw outputs are preserved in the AI_EXTRACTION_PROVENANCE sheet</w:t>
      </w:r>
    </w:p>
    <w:p>
      <w:pPr>
        <w:pStyle w:val="Compact"/>
        <w:numPr>
          <w:ilvl w:val="0"/>
          <w:numId w:val="1011"/>
        </w:numPr>
      </w:pPr>
      <w:r>
        <w:t xml:space="preserve">AI outputs are compared to human coding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human coding is complete (Phase D)</w:t>
      </w:r>
    </w:p>
    <w:bookmarkEnd w:id="55"/>
    <w:bookmarkStart w:id="56" w:name="consensus-methods"/>
    <w:p>
      <w:pPr>
        <w:pStyle w:val="Heading3"/>
      </w:pPr>
      <w:r>
        <w:t xml:space="preserve">10.4 Consensus Methods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Full agreement</w:t>
      </w:r>
      <w:r>
        <w:t xml:space="preserve"> </w:t>
      </w:r>
      <w:r>
        <w:t xml:space="preserve">(2+ models agree exactly): Use that value. Confidence = High.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Close agreement</w:t>
      </w:r>
      <w:r>
        <w:t xml:space="preserve"> </w:t>
      </w:r>
      <w:r>
        <w:t xml:space="preserve">(all within .05): Use median. Confidence = Moderate. Flag for review.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Disagreement</w:t>
      </w:r>
      <w:r>
        <w:t xml:space="preserve"> </w:t>
      </w:r>
      <w:r>
        <w:t xml:space="preserve">(range &gt; .05): Consensus = NULL. Must review.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Construct mapping:</w:t>
      </w:r>
      <w:r>
        <w:t xml:space="preserve"> </w:t>
      </w:r>
      <w:r>
        <w:t xml:space="preserve">Majority vote (2/3 agree). If no majority, flag for human review.</w:t>
      </w:r>
    </w:p>
    <w:bookmarkEnd w:id="56"/>
    <w:bookmarkStart w:id="57" w:name="ai-human-comparison-metrics"/>
    <w:p>
      <w:pPr>
        <w:pStyle w:val="Heading3"/>
      </w:pPr>
      <w:r>
        <w:t xml:space="preserve">10.5 AI-Human Comparison Metrics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Applied To</w:t>
            </w:r>
          </w:p>
        </w:tc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Exact match rate</w:t>
            </w:r>
          </w:p>
        </w:tc>
        <w:tc>
          <w:tcPr/>
          <w:p>
            <w:pPr>
              <w:pStyle w:val="Compact"/>
            </w:pPr>
            <w:r>
              <w:t xml:space="preserve">Categorical variables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ICC(2,1)</w:t>
            </w:r>
          </w:p>
        </w:tc>
        <w:tc>
          <w:tcPr/>
          <w:p>
            <w:pPr>
              <w:pStyle w:val="Compact"/>
            </w:pPr>
            <w:r>
              <w:t xml:space="preserve">Continuous variables (r values)</w:t>
            </w:r>
          </w:p>
        </w:tc>
        <w:tc>
          <w:tcPr/>
          <w:p>
            <w:pPr>
              <w:pStyle w:val="Compact"/>
            </w:pPr>
            <w:r>
              <w:t xml:space="preserve">.80</w:t>
            </w:r>
          </w:p>
        </w:tc>
        <w:tc>
          <w:tcPr/>
          <w:p>
            <w:pPr>
              <w:pStyle w:val="Compact"/>
            </w:pPr>
            <w:r>
              <w:t xml:space="preserve">.90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Cohen’s κ</w:t>
            </w:r>
          </w:p>
        </w:tc>
        <w:tc>
          <w:tcPr/>
          <w:p>
            <w:pPr>
              <w:pStyle w:val="Compact"/>
            </w:pPr>
            <w:r>
              <w:t xml:space="preserve">Categorical variables</w:t>
            </w:r>
          </w:p>
        </w:tc>
        <w:tc>
          <w:tcPr/>
          <w:p>
            <w:pPr>
              <w:pStyle w:val="Compact"/>
            </w:pPr>
            <w:r>
              <w:t xml:space="preserve">.70</w:t>
            </w:r>
          </w:p>
        </w:tc>
        <w:tc>
          <w:tcPr/>
          <w:p>
            <w:pPr>
              <w:pStyle w:val="Compact"/>
            </w:pPr>
            <w:r>
              <w:t xml:space="preserve">.80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absolute error</w:t>
            </w:r>
          </w:p>
        </w:tc>
        <w:tc>
          <w:tcPr/>
          <w:p>
            <w:pPr>
              <w:pStyle w:val="Compact"/>
            </w:pPr>
            <w:r>
              <w:t xml:space="preserve">r values</w:t>
            </w:r>
          </w:p>
        </w:tc>
        <w:tc>
          <w:tcPr/>
          <w:p>
            <w:pPr>
              <w:pStyle w:val="Compact"/>
            </w:pPr>
            <w:r>
              <w:t xml:space="preserve">&lt;.05</w:t>
            </w:r>
          </w:p>
        </w:tc>
        <w:tc>
          <w:tcPr/>
          <w:p>
            <w:pPr>
              <w:pStyle w:val="Compact"/>
            </w:pPr>
            <w:r>
              <w:t xml:space="preserve">&lt;.02</w:t>
            </w:r>
          </w:p>
        </w:tc>
      </w:tr>
    </w:tbl>
    <w:p>
      <w:pPr>
        <w:pStyle w:val="BodyText"/>
      </w:pPr>
      <w:r>
        <w:t xml:space="preserve">These metrics quantify AI extraction quality relative to the source-anchored adjudicated human reference standard and are reported in the manuscript.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inter-coder-reliability-protocol"/>
    <w:p>
      <w:pPr>
        <w:pStyle w:val="Heading2"/>
      </w:pPr>
      <w:r>
        <w:t xml:space="preserve">11. Inter-Coder Reliability Protocol</w:t>
      </w:r>
    </w:p>
    <w:bookmarkStart w:id="59" w:name="when-to-calculate"/>
    <w:p>
      <w:pPr>
        <w:pStyle w:val="Heading3"/>
      </w:pPr>
      <w:r>
        <w:t xml:space="preserve">11.1 When to Calculate</w:t>
      </w:r>
    </w:p>
    <w:p>
      <w:pPr>
        <w:pStyle w:val="FirstParagraph"/>
      </w:pPr>
      <w:r>
        <w:t xml:space="preserve">Calculate ICR and raw disagreement on the</w:t>
      </w:r>
      <w:r>
        <w:t xml:space="preserve"> </w:t>
      </w:r>
      <w:r>
        <w:rPr>
          <w:b/>
          <w:bCs/>
        </w:rPr>
        <w:t xml:space="preserve">Phase 1+2 dual-coded set (213 studies)</w:t>
      </w:r>
      <w:r>
        <w:t xml:space="preserve">. Phase 1 uses Pair A (R1+R2) and Pair B (R3+R4). Phase 2 uses Pair C (R1+R4) and Pair D (R2+R3).</w:t>
      </w:r>
    </w:p>
    <w:p>
      <w:pPr>
        <w:pStyle w:val="BodyText"/>
      </w:pPr>
      <w:r>
        <w:rPr>
          <w:b/>
          <w:bCs/>
        </w:rPr>
        <w:t xml:space="preserve">ICR is calculated at three levels: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Within-pair:</w:t>
      </w:r>
      <w:r>
        <w:t xml:space="preserve"> </w:t>
      </w:r>
      <w:r>
        <w:t xml:space="preserve">R1 vs R2 (50 studies), R3 vs R4 (50 studies)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Inter-pair consistency:</w:t>
      </w:r>
      <w:r>
        <w:t xml:space="preserve"> </w:t>
      </w:r>
      <w:r>
        <w:t xml:space="preserve">Compare adjudicated pair-level reference values on the calibration set (10 studies coded by all 4)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AI-Human:</w:t>
      </w:r>
      <w:r>
        <w:t xml:space="preserve"> </w:t>
      </w:r>
      <w:r>
        <w:t xml:space="preserve">Prespecified LLM workflow vs source-anchored adjudicated human reference after reference freeze</w:t>
      </w:r>
    </w:p>
    <w:p>
      <w:pPr>
        <w:pStyle w:val="BodyText"/>
      </w:pPr>
      <w:r>
        <w:rPr>
          <w:b/>
          <w:bCs/>
        </w:rPr>
        <w:t xml:space="preserve">Stratification of Phase 1 sample (100 studies):</w:t>
      </w:r>
      <w:r>
        <w:t xml:space="preserve"> </w:t>
      </w:r>
      <w:r>
        <w:t xml:space="preserve">- Publication year (2022, 2023–2024, 2025–2026)</w:t>
      </w:r>
      <w:r>
        <w:t xml:space="preserve"> </w:t>
      </w:r>
      <w:r>
        <w:t xml:space="preserve">- AI type (generative vs. non-generative)</w:t>
      </w:r>
      <w:r>
        <w:t xml:space="preserve"> </w:t>
      </w:r>
      <w:r>
        <w:t xml:space="preserve">- Education level (K-12, undergraduate, graduate+)</w:t>
      </w:r>
    </w:p>
    <w:bookmarkEnd w:id="59"/>
    <w:bookmarkStart w:id="60" w:name="metrics-and-thresholds"/>
    <w:p>
      <w:pPr>
        <w:pStyle w:val="Heading3"/>
      </w:pPr>
      <w:r>
        <w:t xml:space="preserve">11.2 Metrics and Thresholds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95"/>
        <w:gridCol w:w="1643"/>
        <w:gridCol w:w="1344"/>
        <w:gridCol w:w="1195"/>
        <w:gridCol w:w="2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Applied To</w:t>
            </w:r>
          </w:p>
        </w:tc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If Below Minimum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Cohen’s κ</w:t>
            </w:r>
          </w:p>
        </w:tc>
        <w:tc>
          <w:tcPr/>
          <w:p>
            <w:pPr>
              <w:pStyle w:val="Compact"/>
            </w:pPr>
            <w:r>
              <w:t xml:space="preserve">Categorical variables</w:t>
            </w:r>
          </w:p>
        </w:tc>
        <w:tc>
          <w:tcPr/>
          <w:p>
            <w:pPr>
              <w:pStyle w:val="Compact"/>
            </w:pPr>
            <w:r>
              <w:t xml:space="preserve">.70</w:t>
            </w:r>
          </w:p>
        </w:tc>
        <w:tc>
          <w:tcPr/>
          <w:p>
            <w:pPr>
              <w:pStyle w:val="Compact"/>
            </w:pPr>
            <w:r>
              <w:t xml:space="preserve">.85</w:t>
            </w:r>
          </w:p>
        </w:tc>
        <w:tc>
          <w:tcPr/>
          <w:p>
            <w:pPr>
              <w:pStyle w:val="Compact"/>
            </w:pPr>
            <w:r>
              <w:t xml:space="preserve">Retrain; re-code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ICC(2,1)</w:t>
            </w:r>
          </w:p>
        </w:tc>
        <w:tc>
          <w:tcPr/>
          <w:p>
            <w:pPr>
              <w:pStyle w:val="Compact"/>
            </w:pPr>
            <w:r>
              <w:t xml:space="preserve">Continuous variables (r)</w:t>
            </w:r>
          </w:p>
        </w:tc>
        <w:tc>
          <w:tcPr/>
          <w:p>
            <w:pPr>
              <w:pStyle w:val="Compact"/>
            </w:pPr>
            <w:r>
              <w:t xml:space="preserve">.90</w:t>
            </w:r>
          </w:p>
        </w:tc>
        <w:tc>
          <w:tcPr/>
          <w:p>
            <w:pPr>
              <w:pStyle w:val="Compact"/>
            </w:pPr>
            <w:r>
              <w:t xml:space="preserve">.95</w:t>
            </w:r>
          </w:p>
        </w:tc>
        <w:tc>
          <w:tcPr/>
          <w:p>
            <w:pPr>
              <w:pStyle w:val="Compact"/>
            </w:pPr>
            <w:r>
              <w:t xml:space="preserve">Review procedure; re-code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Exact agreement %</w:t>
            </w:r>
          </w:p>
        </w:tc>
        <w:tc>
          <w:tcPr/>
          <w:p>
            <w:pPr>
              <w:pStyle w:val="Compact"/>
            </w:pPr>
            <w:r>
              <w:t xml:space="preserve">All coded variables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  <w:tc>
          <w:tcPr/>
          <w:p>
            <w:pPr>
              <w:pStyle w:val="Compact"/>
            </w:pPr>
            <w:r>
              <w:t xml:space="preserve">Identify systematic errors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 value MAE</w:t>
            </w:r>
          </w:p>
        </w:tc>
        <w:tc>
          <w:tcPr/>
          <w:p>
            <w:pPr>
              <w:pStyle w:val="Compact"/>
            </w:pPr>
            <w:r>
              <w:t xml:space="preserve">Correlation values</w:t>
            </w:r>
          </w:p>
        </w:tc>
        <w:tc>
          <w:tcPr/>
          <w:p>
            <w:pPr>
              <w:pStyle w:val="Compact"/>
            </w:pPr>
            <w:r>
              <w:t xml:space="preserve">&lt;.05</w:t>
            </w:r>
          </w:p>
        </w:tc>
        <w:tc>
          <w:tcPr/>
          <w:p>
            <w:pPr>
              <w:pStyle w:val="Compact"/>
            </w:pPr>
            <w:r>
              <w:t xml:space="preserve">&lt;.02</w:t>
            </w:r>
          </w:p>
        </w:tc>
        <w:tc>
          <w:tcPr/>
          <w:p>
            <w:pPr>
              <w:pStyle w:val="Compact"/>
            </w:pPr>
            <w:r>
              <w:t xml:space="preserve">Re-extract from source tables</w:t>
            </w:r>
          </w:p>
        </w:tc>
      </w:tr>
    </w:tbl>
    <w:bookmarkEnd w:id="60"/>
    <w:bookmarkStart w:id="61" w:name="reporting-format"/>
    <w:p>
      <w:pPr>
        <w:pStyle w:val="Heading3"/>
      </w:pPr>
      <w:r>
        <w:t xml:space="preserve">11.3 Reporting Format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 Category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n 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 harmonization</w:t>
            </w:r>
          </w:p>
        </w:tc>
        <w:tc>
          <w:tcPr/>
          <w:p>
            <w:pPr>
              <w:pStyle w:val="Compact"/>
            </w:pPr>
            <w:r>
              <w:t xml:space="preserve">Cohen’s κ</w:t>
            </w:r>
          </w:p>
        </w:tc>
        <w:tc>
          <w:tcPr/>
          <w:p>
            <w:pPr>
              <w:pStyle w:val="Compact"/>
            </w:pPr>
            <w:r>
              <w:t xml:space="preserve">[calculated]</w:t>
            </w:r>
          </w:p>
        </w:tc>
        <w:tc>
          <w:tcPr/>
          <w:p>
            <w:pPr>
              <w:pStyle w:val="Compact"/>
            </w:pPr>
            <w:r>
              <w:t xml:space="preserve">[CI]</w:t>
            </w:r>
          </w:p>
        </w:tc>
        <w:tc>
          <w:tcPr/>
          <w:p>
            <w:pPr>
              <w:pStyle w:val="Compact"/>
            </w:pPr>
            <w:r>
              <w:t xml:space="preserve">[n]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Correlation r values</w:t>
            </w:r>
          </w:p>
        </w:tc>
        <w:tc>
          <w:tcPr/>
          <w:p>
            <w:pPr>
              <w:pStyle w:val="Compact"/>
            </w:pPr>
            <w:r>
              <w:t xml:space="preserve">ICC(2,1)</w:t>
            </w:r>
          </w:p>
        </w:tc>
        <w:tc>
          <w:tcPr/>
          <w:p>
            <w:pPr>
              <w:pStyle w:val="Compact"/>
            </w:pPr>
            <w:r>
              <w:t xml:space="preserve">[calculated]</w:t>
            </w:r>
          </w:p>
        </w:tc>
        <w:tc>
          <w:tcPr/>
          <w:p>
            <w:pPr>
              <w:pStyle w:val="Compact"/>
            </w:pPr>
            <w:r>
              <w:t xml:space="preserve">[CI]</w:t>
            </w:r>
          </w:p>
        </w:tc>
        <w:tc>
          <w:tcPr/>
          <w:p>
            <w:pPr>
              <w:pStyle w:val="Compact"/>
            </w:pPr>
            <w:r>
              <w:t xml:space="preserve">[n]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Moderator coding</w:t>
            </w:r>
          </w:p>
        </w:tc>
        <w:tc>
          <w:tcPr/>
          <w:p>
            <w:pPr>
              <w:pStyle w:val="Compact"/>
            </w:pPr>
            <w:r>
              <w:t xml:space="preserve">Cohen’s κ</w:t>
            </w:r>
          </w:p>
        </w:tc>
        <w:tc>
          <w:tcPr/>
          <w:p>
            <w:pPr>
              <w:pStyle w:val="Compact"/>
            </w:pPr>
            <w:r>
              <w:t xml:space="preserve">[calculated]</w:t>
            </w:r>
          </w:p>
        </w:tc>
        <w:tc>
          <w:tcPr/>
          <w:p>
            <w:pPr>
              <w:pStyle w:val="Compact"/>
            </w:pPr>
            <w:r>
              <w:t xml:space="preserve">[CI]</w:t>
            </w:r>
          </w:p>
        </w:tc>
        <w:tc>
          <w:tcPr/>
          <w:p>
            <w:pPr>
              <w:pStyle w:val="Compact"/>
            </w:pPr>
            <w:r>
              <w:t xml:space="preserve">[n]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Quality assessment</w:t>
            </w:r>
          </w:p>
        </w:tc>
        <w:tc>
          <w:tcPr/>
          <w:p>
            <w:pPr>
              <w:pStyle w:val="Compact"/>
            </w:pPr>
            <w:r>
              <w:t xml:space="preserve">Cohen’s κ</w:t>
            </w:r>
          </w:p>
        </w:tc>
        <w:tc>
          <w:tcPr/>
          <w:p>
            <w:pPr>
              <w:pStyle w:val="Compact"/>
            </w:pPr>
            <w:r>
              <w:t xml:space="preserve">[calculated]</w:t>
            </w:r>
          </w:p>
        </w:tc>
        <w:tc>
          <w:tcPr/>
          <w:p>
            <w:pPr>
              <w:pStyle w:val="Compact"/>
            </w:pPr>
            <w:r>
              <w:t xml:space="preserve">[CI]</w:t>
            </w:r>
          </w:p>
        </w:tc>
        <w:tc>
          <w:tcPr/>
          <w:p>
            <w:pPr>
              <w:pStyle w:val="Compact"/>
            </w:pPr>
            <w:r>
              <w:t xml:space="preserve">[n]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Beta conversion</w:t>
            </w:r>
          </w:p>
        </w:tc>
        <w:tc>
          <w:tcPr/>
          <w:p>
            <w:pPr>
              <w:pStyle w:val="Compact"/>
            </w:pPr>
            <w:r>
              <w:t xml:space="preserve">ICC(2,1)</w:t>
            </w:r>
          </w:p>
        </w:tc>
        <w:tc>
          <w:tcPr/>
          <w:p>
            <w:pPr>
              <w:pStyle w:val="Compact"/>
            </w:pPr>
            <w:r>
              <w:t xml:space="preserve">[calculated]</w:t>
            </w:r>
          </w:p>
        </w:tc>
        <w:tc>
          <w:tcPr/>
          <w:p>
            <w:pPr>
              <w:pStyle w:val="Compact"/>
            </w:pPr>
            <w:r>
              <w:t xml:space="preserve">[CI]</w:t>
            </w:r>
          </w:p>
        </w:tc>
        <w:tc>
          <w:tcPr/>
          <w:p>
            <w:pPr>
              <w:pStyle w:val="Compact"/>
            </w:pPr>
            <w:r>
              <w:t xml:space="preserve">[n]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End w:id="62"/>
    <w:bookmarkStart w:id="66" w:name="discrepancy-resolution-protocol"/>
    <w:p>
      <w:pPr>
        <w:pStyle w:val="Heading2"/>
      </w:pPr>
      <w:r>
        <w:t xml:space="preserve">12. Discrepancy Resolution Protocol</w:t>
      </w:r>
    </w:p>
    <w:bookmarkStart w:id="63" w:name="discrepancy-classification"/>
    <w:p>
      <w:pPr>
        <w:pStyle w:val="Heading3"/>
      </w:pPr>
      <w:r>
        <w:t xml:space="preserve">12.1 Discrepancy Classification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24"/>
        <w:gridCol w:w="1939"/>
        <w:gridCol w:w="1616"/>
        <w:gridCol w:w="19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Examples</w:t>
            </w:r>
          </w:p>
        </w:tc>
        <w:tc>
          <w:tcPr/>
          <w:p>
            <w:pPr>
              <w:pStyle w:val="Compact"/>
            </w:pPr>
            <w:r>
              <w:t xml:space="preserve">Resolution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Clerical</w:t>
            </w:r>
          </w:p>
        </w:tc>
        <w:tc>
          <w:tcPr/>
          <w:p>
            <w:pPr>
              <w:pStyle w:val="Compact"/>
            </w:pPr>
            <w:r>
              <w:t xml:space="preserve">Typo, data entry error</w:t>
            </w:r>
          </w:p>
        </w:tc>
        <w:tc>
          <w:tcPr/>
          <w:p>
            <w:pPr>
              <w:pStyle w:val="Compact"/>
            </w:pPr>
            <w:r>
              <w:t xml:space="preserve">r = .45 vs .54 (transposition)</w:t>
            </w:r>
          </w:p>
        </w:tc>
        <w:tc>
          <w:tcPr/>
          <w:p>
            <w:pPr>
              <w:pStyle w:val="Compact"/>
            </w:pPr>
            <w:r>
              <w:t xml:space="preserve">Verify against source; correct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Interpretive</w:t>
            </w:r>
          </w:p>
        </w:tc>
        <w:tc>
          <w:tcPr/>
          <w:p>
            <w:pPr>
              <w:pStyle w:val="Compact"/>
            </w:pPr>
            <w:r>
              <w:t xml:space="preserve">Different but defensible readings</w:t>
            </w:r>
          </w:p>
        </w:tc>
        <w:tc>
          <w:tcPr/>
          <w:p>
            <w:pPr>
              <w:pStyle w:val="Compact"/>
            </w:pPr>
            <w:r>
              <w:t xml:space="preserve">Mapping</w:t>
            </w:r>
            <w:r>
              <w:t xml:space="preserve"> </w:t>
            </w:r>
            <w:r>
              <w:t xml:space="preserve">“AI Value”</w:t>
            </w:r>
            <w:r>
              <w:t xml:space="preserve"> </w:t>
            </w:r>
            <w:r>
              <w:t xml:space="preserve">to PE vs ATT</w:t>
            </w:r>
          </w:p>
        </w:tc>
        <w:tc>
          <w:tcPr/>
          <w:p>
            <w:pPr>
              <w:pStyle w:val="Compact"/>
            </w:pPr>
            <w:r>
              <w:t xml:space="preserve">Discuss; check items; decide with 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Substantive</w:t>
            </w:r>
          </w:p>
        </w:tc>
        <w:tc>
          <w:tcPr/>
          <w:p>
            <w:pPr>
              <w:pStyle w:val="Compact"/>
            </w:pPr>
            <w:r>
              <w:t xml:space="preserve">Fundamental disagreement</w:t>
            </w:r>
          </w:p>
        </w:tc>
        <w:tc>
          <w:tcPr/>
          <w:p>
            <w:pPr>
              <w:pStyle w:val="Compact"/>
            </w:pPr>
            <w:r>
              <w:t xml:space="preserve">Including vs excluding a study</w:t>
            </w:r>
          </w:p>
        </w:tc>
        <w:tc>
          <w:tcPr/>
          <w:p>
            <w:pPr>
              <w:pStyle w:val="Compact"/>
            </w:pPr>
            <w:r>
              <w:t xml:space="preserve">Full review; PI makes final decision</w:t>
            </w:r>
          </w:p>
        </w:tc>
      </w:tr>
    </w:tbl>
    <w:bookmarkEnd w:id="63"/>
    <w:bookmarkStart w:id="64" w:name="resolution-workflow"/>
    <w:p>
      <w:pPr>
        <w:pStyle w:val="Heading3"/>
      </w:pPr>
      <w:r>
        <w:t xml:space="preserve">12.2 Resolution Workflow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Identify</w:t>
      </w:r>
      <w:r>
        <w:t xml:space="preserve"> </w:t>
      </w:r>
      <w:r>
        <w:t xml:space="preserve">all discrepancies by comparing coder sheets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Classify</w:t>
      </w:r>
      <w:r>
        <w:t xml:space="preserve"> </w:t>
      </w:r>
      <w:r>
        <w:t xml:space="preserve">each discrepancy (clerical, interpretive, substantive)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Resolve</w:t>
      </w:r>
      <w:r>
        <w:t xml:space="preserve"> </w:t>
      </w:r>
      <w:r>
        <w:t xml:space="preserve">clerical errors by re-checking source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Discuss</w:t>
      </w:r>
      <w:r>
        <w:t xml:space="preserve"> </w:t>
      </w:r>
      <w:r>
        <w:t xml:space="preserve">interpretive differences; reach consensus or escalate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Escalate</w:t>
      </w:r>
      <w:r>
        <w:t xml:space="preserve"> </w:t>
      </w:r>
      <w:r>
        <w:t xml:space="preserve">substantive disagreements to PI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Document</w:t>
      </w:r>
      <w:r>
        <w:t xml:space="preserve"> </w:t>
      </w:r>
      <w:r>
        <w:t xml:space="preserve">all resolutions in DISCREPANCY_LOG</w:t>
      </w:r>
    </w:p>
    <w:bookmarkEnd w:id="64"/>
    <w:bookmarkStart w:id="65" w:name="resolution-hierarchy"/>
    <w:p>
      <w:pPr>
        <w:pStyle w:val="Heading3"/>
      </w:pPr>
      <w:r>
        <w:t xml:space="preserve">12.3 Resolution Hierarchy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Original study text</w:t>
      </w:r>
      <w:r>
        <w:t xml:space="preserve"> </w:t>
      </w:r>
      <w:r>
        <w:t xml:space="preserve">(highest authority)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Human consensus</w:t>
      </w:r>
      <w:r>
        <w:t xml:space="preserve"> </w:t>
      </w:r>
      <w:r>
        <w:t xml:space="preserve">(both human coders agree)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AI consensus</w:t>
      </w:r>
      <w:r>
        <w:t xml:space="preserve"> </w:t>
      </w:r>
      <w:r>
        <w:t xml:space="preserve">(2+ models agree AND human review confirms)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PI adjudication</w:t>
      </w:r>
      <w:r>
        <w:t xml:space="preserve"> </w:t>
      </w:r>
      <w:r>
        <w:t xml:space="preserve">(if still unclear)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9" w:name="study-exclusion-protocol"/>
    <w:p>
      <w:pPr>
        <w:pStyle w:val="Heading2"/>
      </w:pPr>
      <w:r>
        <w:t xml:space="preserve">13. Study Exclusion Protocol</w:t>
      </w:r>
    </w:p>
    <w:bookmarkStart w:id="67" w:name="variable-reference-3"/>
    <w:p>
      <w:pPr>
        <w:pStyle w:val="Heading3"/>
      </w:pPr>
      <w:r>
        <w:t xml:space="preserve">13.1 Variable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0"/>
        <w:gridCol w:w="1284"/>
        <w:gridCol w:w="2568"/>
        <w:gridCol w:w="19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study_id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Original study ID</w:t>
            </w:r>
          </w:p>
        </w:tc>
        <w:tc>
          <w:tcPr/>
          <w:p>
            <w:pPr>
              <w:pStyle w:val="Compact"/>
            </w:pPr>
            <w:r>
              <w:t xml:space="preserve">S045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first_author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First author last name</w:t>
            </w:r>
          </w:p>
        </w:tc>
        <w:tc>
          <w:tcPr/>
          <w:p>
            <w:pPr>
              <w:pStyle w:val="Compact"/>
            </w:pPr>
            <w:r>
              <w:t xml:space="preserve">Kim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Publication year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Paper title</w:t>
            </w:r>
          </w:p>
        </w:tc>
        <w:tc>
          <w:tcPr/>
          <w:p>
            <w:pPr>
              <w:pStyle w:val="Compact"/>
            </w:pPr>
            <w:r>
              <w:t xml:space="preserve">AI Acceptance…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exclusion_stage</w:t>
            </w:r>
          </w:p>
        </w:tc>
        <w:tc>
          <w:tcPr/>
          <w:p>
            <w:pPr>
              <w:pStyle w:val="Compact"/>
            </w:pPr>
            <w:r>
              <w:t xml:space="preserve">categorical</w:t>
            </w:r>
          </w:p>
        </w:tc>
        <w:tc>
          <w:tcPr/>
          <w:p>
            <w:pPr>
              <w:pStyle w:val="Compact"/>
            </w:pPr>
            <w:r>
              <w:t xml:space="preserve">title_abstract, full_text, data_extraction</w:t>
            </w:r>
          </w:p>
        </w:tc>
        <w:tc>
          <w:tcPr/>
          <w:p>
            <w:pPr>
              <w:pStyle w:val="Compact"/>
            </w:pPr>
            <w:r>
              <w:t xml:space="preserve">full_text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exclusion_code</w:t>
            </w:r>
          </w:p>
        </w:tc>
        <w:tc>
          <w:tcPr/>
          <w:p>
            <w:pPr>
              <w:pStyle w:val="Compact"/>
            </w:pPr>
            <w:r>
              <w:t xml:space="preserve">categorical</w:t>
            </w:r>
          </w:p>
        </w:tc>
        <w:tc>
          <w:tcPr/>
          <w:p>
            <w:pPr>
              <w:pStyle w:val="Compact"/>
            </w:pPr>
            <w:r>
              <w:t xml:space="preserve">E1–E12 or E-FT1–E-FT6</w:t>
            </w:r>
          </w:p>
        </w:tc>
        <w:tc>
          <w:tcPr/>
          <w:p>
            <w:pPr>
              <w:pStyle w:val="Compact"/>
            </w:pPr>
            <w:r>
              <w:t xml:space="preserve">E-FT1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detailed_rationale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Free-text explanation</w:t>
            </w:r>
          </w:p>
        </w:tc>
        <w:tc>
          <w:tcPr/>
          <w:p>
            <w:pPr>
              <w:pStyle w:val="Compact"/>
            </w:pPr>
            <w:r>
              <w:t xml:space="preserve">Only reports regression β without correlation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final_decision</w:t>
            </w:r>
          </w:p>
        </w:tc>
        <w:tc>
          <w:tcPr/>
          <w:p>
            <w:pPr>
              <w:pStyle w:val="Compact"/>
            </w:pPr>
            <w:r>
              <w:t xml:space="preserve">categorical</w:t>
            </w:r>
          </w:p>
        </w:tc>
        <w:tc>
          <w:tcPr/>
          <w:p>
            <w:pPr>
              <w:pStyle w:val="Compact"/>
            </w:pPr>
            <w:r>
              <w:t xml:space="preserve">exclude</w:t>
            </w:r>
          </w:p>
        </w:tc>
        <w:tc>
          <w:tcPr/>
          <w:p>
            <w:pPr>
              <w:pStyle w:val="Compact"/>
            </w:pPr>
            <w:r>
              <w:t xml:space="preserve">exclude</w:t>
            </w:r>
          </w:p>
        </w:tc>
      </w:tr>
    </w:tbl>
    <w:bookmarkEnd w:id="67"/>
    <w:bookmarkStart w:id="68" w:name="when-to-log"/>
    <w:p>
      <w:pPr>
        <w:pStyle w:val="Heading3"/>
      </w:pPr>
      <w:r>
        <w:t xml:space="preserve">13.2 When to Log</w:t>
      </w:r>
    </w:p>
    <w:p>
      <w:pPr>
        <w:pStyle w:val="Compact"/>
        <w:numPr>
          <w:ilvl w:val="0"/>
          <w:numId w:val="1015"/>
        </w:numPr>
      </w:pPr>
      <w:r>
        <w:t xml:space="preserve">Log every study excluded at full-text screening or later</w:t>
      </w:r>
    </w:p>
    <w:p>
      <w:pPr>
        <w:pStyle w:val="Compact"/>
        <w:numPr>
          <w:ilvl w:val="0"/>
          <w:numId w:val="1015"/>
        </w:numPr>
      </w:pPr>
      <w:r>
        <w:t xml:space="preserve">Title/abstract exclusions are tracked in PRISMA counts (not individually logged here)</w:t>
      </w:r>
    </w:p>
    <w:p>
      <w:pPr>
        <w:pStyle w:val="Compact"/>
        <w:numPr>
          <w:ilvl w:val="0"/>
          <w:numId w:val="1015"/>
        </w:numPr>
      </w:pPr>
      <w:r>
        <w:t xml:space="preserve">If initially included then excluded during data extraction, log with stage =</w:t>
      </w:r>
      <w:r>
        <w:t xml:space="preserve"> </w:t>
      </w:r>
      <w:r>
        <w:t xml:space="preserve">“data_extraction”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0" w:name="quality-assurance-checklist"/>
    <w:p>
      <w:pPr>
        <w:pStyle w:val="Heading2"/>
      </w:pPr>
      <w:r>
        <w:t xml:space="preserve">14. Quality Assurance Checklist</w:t>
      </w:r>
    </w:p>
    <w:p>
      <w:pPr>
        <w:pStyle w:val="Compact"/>
        <w:numPr>
          <w:ilvl w:val="0"/>
          <w:numId w:val="1016"/>
        </w:numPr>
      </w:pPr>
      <w:r>
        <w:t xml:space="preserve">All study-level variables completed for every included study</w:t>
      </w:r>
    </w:p>
    <w:p>
      <w:pPr>
        <w:pStyle w:val="Compact"/>
        <w:numPr>
          <w:ilvl w:val="0"/>
          <w:numId w:val="1017"/>
        </w:numPr>
      </w:pPr>
      <w:r>
        <w:t xml:space="preserve">All correlation matrix cells extracted (or marked NA with reason)</w:t>
      </w:r>
    </w:p>
    <w:p>
      <w:pPr>
        <w:pStyle w:val="Compact"/>
        <w:numPr>
          <w:ilvl w:val="0"/>
          <w:numId w:val="1018"/>
        </w:numPr>
      </w:pPr>
      <w:r>
        <w:t xml:space="preserve">Construct harmonization mapping documented for every study</w:t>
      </w:r>
    </w:p>
    <w:p>
      <w:pPr>
        <w:pStyle w:val="Compact"/>
        <w:numPr>
          <w:ilvl w:val="0"/>
          <w:numId w:val="1019"/>
        </w:numPr>
      </w:pPr>
      <w:r>
        <w:t xml:space="preserve">Beta-to-r conversions checked with formula (r = β + 0.05 × λ)</w:t>
      </w:r>
    </w:p>
    <w:p>
      <w:pPr>
        <w:pStyle w:val="Compact"/>
        <w:numPr>
          <w:ilvl w:val="0"/>
          <w:numId w:val="1020"/>
        </w:numPr>
      </w:pPr>
      <w:r>
        <w:t xml:space="preserve">Matrix symmetry verified (r(PE,BI) = r(BI,PE))</w:t>
      </w:r>
    </w:p>
    <w:p>
      <w:pPr>
        <w:pStyle w:val="Compact"/>
        <w:numPr>
          <w:ilvl w:val="0"/>
          <w:numId w:val="1021"/>
        </w:numPr>
      </w:pPr>
      <w:r>
        <w:t xml:space="preserve">Sample sizes recorded and plausible</w:t>
      </w:r>
    </w:p>
    <w:p>
      <w:pPr>
        <w:pStyle w:val="Compact"/>
        <w:numPr>
          <w:ilvl w:val="0"/>
          <w:numId w:val="1022"/>
        </w:numPr>
      </w:pPr>
      <w:r>
        <w:t xml:space="preserve">Reliability data extracted where available</w:t>
      </w:r>
    </w:p>
    <w:p>
      <w:pPr>
        <w:pStyle w:val="Compact"/>
        <w:numPr>
          <w:ilvl w:val="0"/>
          <w:numId w:val="1023"/>
        </w:numPr>
      </w:pPr>
      <w:r>
        <w:t xml:space="preserve">Moderator variables coded consistently</w:t>
      </w:r>
    </w:p>
    <w:p>
      <w:pPr>
        <w:pStyle w:val="Compact"/>
        <w:numPr>
          <w:ilvl w:val="0"/>
          <w:numId w:val="1024"/>
        </w:numPr>
      </w:pPr>
      <w:r>
        <w:t xml:space="preserve">AI provenance data preserved for AI-coded studies</w:t>
      </w:r>
    </w:p>
    <w:p>
      <w:pPr>
        <w:pStyle w:val="Compact"/>
        <w:numPr>
          <w:ilvl w:val="0"/>
          <w:numId w:val="1025"/>
        </w:numPr>
      </w:pPr>
      <w:r>
        <w:t xml:space="preserve">Discrepancy log completed for all disagreements</w:t>
      </w:r>
    </w:p>
    <w:p>
      <w:pPr>
        <w:pStyle w:val="Compact"/>
        <w:numPr>
          <w:ilvl w:val="0"/>
          <w:numId w:val="1026"/>
        </w:numPr>
      </w:pPr>
      <w:r>
        <w:t xml:space="preserve">Inter-coder reliability calculated and meets thresholds</w:t>
      </w:r>
    </w:p>
    <w:p>
      <w:pPr>
        <w:pStyle w:val="Compact"/>
        <w:numPr>
          <w:ilvl w:val="0"/>
          <w:numId w:val="1027"/>
        </w:numPr>
      </w:pPr>
      <w:r>
        <w:t xml:space="preserve">Exclusion log completed with reasons</w:t>
      </w:r>
    </w:p>
    <w:p>
      <w:pPr>
        <w:pStyle w:val="Compact"/>
        <w:numPr>
          <w:ilvl w:val="0"/>
          <w:numId w:val="1028"/>
        </w:numPr>
      </w:pPr>
      <w:r>
        <w:t xml:space="preserve">No duplicate studies in dataset</w:t>
      </w:r>
    </w:p>
    <w:p>
      <w:pPr>
        <w:pStyle w:val="Compact"/>
        <w:numPr>
          <w:ilvl w:val="0"/>
          <w:numId w:val="1029"/>
        </w:numPr>
      </w:pPr>
      <w:r>
        <w:t xml:space="preserve">Construct labels in CORRELATION_MATRIX match CONSTRUCT_MAPPING</w:t>
      </w:r>
    </w:p>
    <w:p>
      <w:r>
        <w:pict>
          <v:rect style="width:0;height:1.5pt" o:hralign="center" o:hrstd="t" o:hr="t"/>
        </w:pict>
      </w:r>
    </w:p>
    <w:bookmarkEnd w:id="70"/>
    <w:bookmarkStart w:id="71" w:name="references"/>
    <w:p>
      <w:pPr>
        <w:pStyle w:val="Heading2"/>
      </w:pPr>
      <w:r>
        <w:t xml:space="preserve">15. References</w:t>
      </w:r>
    </w:p>
    <w:p>
      <w:pPr>
        <w:pStyle w:val="Compact"/>
        <w:numPr>
          <w:ilvl w:val="0"/>
          <w:numId w:val="1030"/>
        </w:numPr>
      </w:pPr>
      <w:r>
        <w:t xml:space="preserve">Ajzen, I. (1991). The theory of planned behavior.</w:t>
      </w:r>
      <w:r>
        <w:t xml:space="preserve"> </w:t>
      </w:r>
      <w:r>
        <w:rPr>
          <w:i/>
          <w:iCs/>
        </w:rPr>
        <w:t xml:space="preserve">OBHDP</w:t>
      </w:r>
      <w:r>
        <w:t xml:space="preserve">, 50(2), 179–211.</w:t>
      </w:r>
    </w:p>
    <w:p>
      <w:pPr>
        <w:pStyle w:val="Compact"/>
        <w:numPr>
          <w:ilvl w:val="0"/>
          <w:numId w:val="1030"/>
        </w:numPr>
      </w:pPr>
      <w:r>
        <w:t xml:space="preserve">Bandura, A. (1986).</w:t>
      </w:r>
      <w:r>
        <w:t xml:space="preserve"> </w:t>
      </w:r>
      <w:r>
        <w:rPr>
          <w:i/>
          <w:iCs/>
        </w:rPr>
        <w:t xml:space="preserve">Social foundations of thought and action</w:t>
      </w:r>
      <w:r>
        <w:t xml:space="preserve">. Prentice-Hall.</w:t>
      </w:r>
    </w:p>
    <w:p>
      <w:pPr>
        <w:pStyle w:val="Compact"/>
        <w:numPr>
          <w:ilvl w:val="0"/>
          <w:numId w:val="1030"/>
        </w:numPr>
      </w:pPr>
      <w:r>
        <w:t xml:space="preserve">Cheung, M. W.-L. (2015).</w:t>
      </w:r>
      <w:r>
        <w:t xml:space="preserve"> </w:t>
      </w:r>
      <w:r>
        <w:rPr>
          <w:i/>
          <w:iCs/>
        </w:rPr>
        <w:t xml:space="preserve">Meta-analysis: A structural equation modeling approach</w:t>
      </w:r>
      <w:r>
        <w:t xml:space="preserve">. Wiley.</w:t>
      </w:r>
    </w:p>
    <w:p>
      <w:pPr>
        <w:pStyle w:val="Compact"/>
        <w:numPr>
          <w:ilvl w:val="0"/>
          <w:numId w:val="1030"/>
        </w:numPr>
      </w:pPr>
      <w:r>
        <w:t xml:space="preserve">Cheung, M. W.-L., &amp; Chan, W. (2005). Meta-analytic structural equation modeling: A two-stage approach.</w:t>
      </w:r>
      <w:r>
        <w:t xml:space="preserve"> </w:t>
      </w:r>
      <w:r>
        <w:rPr>
          <w:i/>
          <w:iCs/>
        </w:rPr>
        <w:t xml:space="preserve">Psychological Methods</w:t>
      </w:r>
      <w:r>
        <w:t xml:space="preserve">, 10(1), 40–64.</w:t>
      </w:r>
    </w:p>
    <w:p>
      <w:pPr>
        <w:pStyle w:val="Compact"/>
        <w:numPr>
          <w:ilvl w:val="0"/>
          <w:numId w:val="1030"/>
        </w:numPr>
      </w:pPr>
      <w:r>
        <w:t xml:space="preserve">Davis, F. D. (1989). Perceived usefulness, perceived ease of use, and user acceptance of information technology.</w:t>
      </w:r>
      <w:r>
        <w:t xml:space="preserve"> </w:t>
      </w:r>
      <w:r>
        <w:rPr>
          <w:i/>
          <w:iCs/>
        </w:rPr>
        <w:t xml:space="preserve">MIS Quarterly</w:t>
      </w:r>
      <w:r>
        <w:t xml:space="preserve">, 13(3), 319–340.</w:t>
      </w:r>
    </w:p>
    <w:p>
      <w:pPr>
        <w:pStyle w:val="Compact"/>
        <w:numPr>
          <w:ilvl w:val="0"/>
          <w:numId w:val="1030"/>
        </w:numPr>
      </w:pPr>
      <w:r>
        <w:t xml:space="preserve">Hofstede, G. (2001).</w:t>
      </w:r>
      <w:r>
        <w:t xml:space="preserve"> </w:t>
      </w:r>
      <w:r>
        <w:rPr>
          <w:i/>
          <w:iCs/>
        </w:rPr>
        <w:t xml:space="preserve">Culture’s consequences</w:t>
      </w:r>
      <w:r>
        <w:t xml:space="preserve"> </w:t>
      </w:r>
      <w:r>
        <w:t xml:space="preserve">(2nd ed.). Sage.</w:t>
      </w:r>
    </w:p>
    <w:p>
      <w:pPr>
        <w:pStyle w:val="Compact"/>
        <w:numPr>
          <w:ilvl w:val="0"/>
          <w:numId w:val="1030"/>
        </w:numPr>
      </w:pPr>
      <w:r>
        <w:t xml:space="preserve">Jak, S., &amp; Cheung, M. W.-L. (2020). Meta-analytic structural equation modeling with moderating effects.</w:t>
      </w:r>
      <w:r>
        <w:t xml:space="preserve"> </w:t>
      </w:r>
      <w:r>
        <w:rPr>
          <w:i/>
          <w:iCs/>
        </w:rPr>
        <w:t xml:space="preserve">Psychological Methods</w:t>
      </w:r>
      <w:r>
        <w:t xml:space="preserve">, 25(4), 430–455.</w:t>
      </w:r>
    </w:p>
    <w:p>
      <w:pPr>
        <w:pStyle w:val="Compact"/>
        <w:numPr>
          <w:ilvl w:val="0"/>
          <w:numId w:val="1030"/>
        </w:numPr>
      </w:pPr>
      <w:r>
        <w:t xml:space="preserve">Mayer, R. C., Davis, J. H., &amp; Schoorman, F. D. (1995). An integrative model of organizational trust.</w:t>
      </w:r>
      <w:r>
        <w:t xml:space="preserve"> </w:t>
      </w:r>
      <w:r>
        <w:rPr>
          <w:i/>
          <w:iCs/>
        </w:rPr>
        <w:t xml:space="preserve">AMR</w:t>
      </w:r>
      <w:r>
        <w:t xml:space="preserve">, 20(3), 709–734.</w:t>
      </w:r>
    </w:p>
    <w:p>
      <w:pPr>
        <w:pStyle w:val="Compact"/>
        <w:numPr>
          <w:ilvl w:val="0"/>
          <w:numId w:val="1030"/>
        </w:numPr>
      </w:pPr>
      <w:r>
        <w:t xml:space="preserve">Peterson, R. A., &amp; Brown, S. P. (2005). On the use of beta coefficients in meta-analysis.</w:t>
      </w:r>
      <w:r>
        <w:t xml:space="preserve"> </w:t>
      </w:r>
      <w:r>
        <w:rPr>
          <w:i/>
          <w:iCs/>
        </w:rPr>
        <w:t xml:space="preserve">JAP</w:t>
      </w:r>
      <w:r>
        <w:t xml:space="preserve">, 90(1), 175–181.</w:t>
      </w:r>
    </w:p>
    <w:p>
      <w:pPr>
        <w:pStyle w:val="Compact"/>
        <w:numPr>
          <w:ilvl w:val="0"/>
          <w:numId w:val="1030"/>
        </w:numPr>
      </w:pPr>
      <w:r>
        <w:t xml:space="preserve">Venkatesh, V., Morris, M. G., Davis, G. B., &amp; Davis, F. D. (2003). User acceptance of information technology.</w:t>
      </w:r>
      <w:r>
        <w:t xml:space="preserve"> </w:t>
      </w:r>
      <w:r>
        <w:rPr>
          <w:i/>
          <w:iCs/>
        </w:rPr>
        <w:t xml:space="preserve">MIS Quarterly</w:t>
      </w:r>
      <w:r>
        <w:t xml:space="preserve">, 27(3), 425–478.</w:t>
      </w:r>
    </w:p>
    <w:p>
      <w:pPr>
        <w:pStyle w:val="Compact"/>
        <w:numPr>
          <w:ilvl w:val="0"/>
          <w:numId w:val="1030"/>
        </w:numPr>
      </w:pPr>
      <w:r>
        <w:t xml:space="preserve">Venkatesh, V., Thong, J. Y. L., &amp; Xu, X. (2012). Consumer acceptance and use of information technology.</w:t>
      </w:r>
      <w:r>
        <w:t xml:space="preserve"> </w:t>
      </w:r>
      <w:r>
        <w:rPr>
          <w:i/>
          <w:iCs/>
        </w:rPr>
        <w:t xml:space="preserve">MIS Quarterly</w:t>
      </w:r>
      <w:r>
        <w:t xml:space="preserve">, 36(1), 157–178.</w:t>
      </w:r>
    </w:p>
    <w:p>
      <w:r>
        <w:pict>
          <v:rect style="width:0;height:1.5pt" o:hralign="center" o:hrstd="t" o:hr="t"/>
        </w:pict>
      </w:r>
    </w:p>
    <w:bookmarkEnd w:id="71"/>
    <w:bookmarkStart w:id="76" w:name="appendix-a-decision-trees"/>
    <w:p>
      <w:pPr>
        <w:pStyle w:val="Heading2"/>
      </w:pPr>
      <w:r>
        <w:t xml:space="preserve">Appendix A: Decision Trees</w:t>
      </w:r>
    </w:p>
    <w:bookmarkStart w:id="72" w:name="a.1-inclusionexclusion-decision"/>
    <w:p>
      <w:pPr>
        <w:pStyle w:val="Heading3"/>
      </w:pPr>
      <w:r>
        <w:t xml:space="preserve">A.1 Inclusion/Exclusion Decision</w:t>
      </w:r>
    </w:p>
    <w:p>
      <w:pPr>
        <w:pStyle w:val="Compact"/>
        <w:numPr>
          <w:ilvl w:val="0"/>
          <w:numId w:val="1031"/>
        </w:numPr>
      </w:pPr>
      <w:r>
        <w:t xml:space="preserve">Is it an empirical quantitative study? → NO → Exclude (E1)</w:t>
      </w:r>
    </w:p>
    <w:p>
      <w:pPr>
        <w:pStyle w:val="Compact"/>
        <w:numPr>
          <w:ilvl w:val="0"/>
          <w:numId w:val="1031"/>
        </w:numPr>
      </w:pPr>
      <w:r>
        <w:t xml:space="preserve">Does it study AI technology? → NO → Exclude (E2)</w:t>
      </w:r>
    </w:p>
    <w:p>
      <w:pPr>
        <w:pStyle w:val="Compact"/>
        <w:numPr>
          <w:ilvl w:val="0"/>
          <w:numId w:val="1031"/>
        </w:numPr>
      </w:pPr>
      <w:r>
        <w:t xml:space="preserve">Is it in an</w:t>
      </w:r>
      <w:r>
        <w:t xml:space="preserve"> </w:t>
      </w:r>
      <w:r>
        <w:rPr>
          <w:b/>
          <w:bCs/>
        </w:rPr>
        <w:t xml:space="preserve">educational setting</w:t>
      </w:r>
      <w:r>
        <w:t xml:space="preserve">? → NO → Exclude (E3)</w:t>
      </w:r>
    </w:p>
    <w:p>
      <w:pPr>
        <w:pStyle w:val="Compact"/>
        <w:numPr>
          <w:ilvl w:val="0"/>
          <w:numId w:val="1031"/>
        </w:numPr>
      </w:pPr>
      <w:r>
        <w:t xml:space="preserve">Does it measure adoption/acceptance? → NO → Exclude (E4)</w:t>
      </w:r>
    </w:p>
    <w:p>
      <w:pPr>
        <w:pStyle w:val="Compact"/>
        <w:numPr>
          <w:ilvl w:val="0"/>
          <w:numId w:val="1031"/>
        </w:numPr>
      </w:pPr>
      <w:r>
        <w:t xml:space="preserve">Does it report correlations or betas? → NO → Exclude (E5)</w:t>
      </w:r>
    </w:p>
    <w:p>
      <w:pPr>
        <w:pStyle w:val="Compact"/>
        <w:numPr>
          <w:ilvl w:val="0"/>
          <w:numId w:val="1031"/>
        </w:numPr>
      </w:pPr>
      <w:r>
        <w:t xml:space="preserve">Does it measure ≥ 2 of our 12 constructs? → NO → Exclude (E-FT1)</w:t>
      </w:r>
    </w:p>
    <w:p>
      <w:pPr>
        <w:pStyle w:val="Compact"/>
        <w:numPr>
          <w:ilvl w:val="0"/>
          <w:numId w:val="1031"/>
        </w:numPr>
      </w:pPr>
      <w:r>
        <w:t xml:space="preserve">Is N ≥ 50? → NO → Exclude (E8)</w:t>
      </w:r>
    </w:p>
    <w:p>
      <w:pPr>
        <w:pStyle w:val="Compact"/>
        <w:numPr>
          <w:ilvl w:val="0"/>
          <w:numId w:val="1031"/>
        </w:numPr>
      </w:pPr>
      <w:r>
        <w:t xml:space="preserve">Is it in English? → NO → Exclude (E6)</w:t>
      </w:r>
    </w:p>
    <w:p>
      <w:pPr>
        <w:pStyle w:val="Compact"/>
        <w:numPr>
          <w:ilvl w:val="0"/>
          <w:numId w:val="1031"/>
        </w:numPr>
      </w:pPr>
      <w:r>
        <w:t xml:space="preserve">Is it peer-reviewed (2022–2026)? → NO → Exclude (E7/E9)</w:t>
      </w:r>
    </w:p>
    <w:p>
      <w:pPr>
        <w:pStyle w:val="Compact"/>
        <w:numPr>
          <w:ilvl w:val="0"/>
          <w:numId w:val="1031"/>
        </w:numPr>
      </w:pPr>
      <w:r>
        <w:t xml:space="preserve">Is it a duplicate sample? → YES → Exclude (E10)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INCLUDE</w:t>
      </w:r>
    </w:p>
    <w:bookmarkEnd w:id="72"/>
    <w:bookmarkStart w:id="73" w:name="a.2-ai-technology-classification"/>
    <w:p>
      <w:pPr>
        <w:pStyle w:val="Heading3"/>
      </w:pPr>
      <w:r>
        <w:t xml:space="preserve">A.2 AI Technology Classification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Generative AI:</w:t>
      </w:r>
      <w:r>
        <w:t xml:space="preserve"> </w:t>
      </w:r>
      <w:r>
        <w:t xml:space="preserve">ChatGPT, GPT-4, Claude, Gemini, DALL-E, Midjourney, Copilot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Predictive AI:</w:t>
      </w:r>
      <w:r>
        <w:t xml:space="preserve"> </w:t>
      </w:r>
      <w:r>
        <w:t xml:space="preserve">ML-based forecasting, diagnostic AI, risk scoring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Decision Support:</w:t>
      </w:r>
      <w:r>
        <w:t xml:space="preserve"> </w:t>
      </w:r>
      <w:r>
        <w:t xml:space="preserve">AI-assisted decision making, recommendation systems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Conversational AI:</w:t>
      </w:r>
      <w:r>
        <w:t xml:space="preserve"> </w:t>
      </w:r>
      <w:r>
        <w:t xml:space="preserve">Chatbots, virtual assistants (Siri, Alexa), AI tutors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Robotic AI:</w:t>
      </w:r>
      <w:r>
        <w:t xml:space="preserve"> </w:t>
      </w:r>
      <w:r>
        <w:t xml:space="preserve">Physical robots, surgical robots, educational robots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General:</w:t>
      </w:r>
      <w:r>
        <w:t xml:space="preserve"> </w:t>
      </w:r>
      <w:r>
        <w:t xml:space="preserve">Study discusses</w:t>
      </w:r>
      <w:r>
        <w:t xml:space="preserve"> </w:t>
      </w:r>
      <w:r>
        <w:t xml:space="preserve">“AI”</w:t>
      </w:r>
      <w:r>
        <w:t xml:space="preserve"> </w:t>
      </w:r>
      <w:r>
        <w:t xml:space="preserve">without specifying type</w:t>
      </w:r>
    </w:p>
    <w:bookmarkEnd w:id="73"/>
    <w:bookmarkStart w:id="74" w:name="a.3-construct-harmonization-decision"/>
    <w:p>
      <w:pPr>
        <w:pStyle w:val="Heading3"/>
      </w:pPr>
      <w:r>
        <w:t xml:space="preserve">A.3 Construct Harmonization Decision</w:t>
      </w:r>
    </w:p>
    <w:p>
      <w:pPr>
        <w:pStyle w:val="Compact"/>
        <w:numPr>
          <w:ilvl w:val="0"/>
          <w:numId w:val="1033"/>
        </w:numPr>
      </w:pPr>
      <w:r>
        <w:t xml:space="preserve">Exact label match to our 12? → Code directly (exact confidence)</w:t>
      </w:r>
    </w:p>
    <w:p>
      <w:pPr>
        <w:pStyle w:val="Compact"/>
        <w:numPr>
          <w:ilvl w:val="0"/>
          <w:numId w:val="1033"/>
        </w:numPr>
      </w:pPr>
      <w:r>
        <w:t xml:space="preserve">TAM/UTAUT family label? → Use cross-reference table (high confidence)</w:t>
      </w:r>
    </w:p>
    <w:p>
      <w:pPr>
        <w:pStyle w:val="Compact"/>
        <w:numPr>
          <w:ilvl w:val="0"/>
          <w:numId w:val="1033"/>
        </w:numPr>
      </w:pPr>
      <w:r>
        <w:t xml:space="preserve">AI-specific label? → Use AI mapping table (high/exact confidence)</w:t>
      </w:r>
    </w:p>
    <w:p>
      <w:pPr>
        <w:pStyle w:val="Compact"/>
        <w:numPr>
          <w:ilvl w:val="0"/>
          <w:numId w:val="1033"/>
        </w:numPr>
      </w:pPr>
      <w:r>
        <w:t xml:space="preserve">Definition aligns? → Map to closest construct (moderate confidence)</w:t>
      </w:r>
    </w:p>
    <w:p>
      <w:pPr>
        <w:pStyle w:val="Compact"/>
        <w:numPr>
          <w:ilvl w:val="0"/>
          <w:numId w:val="1033"/>
        </w:numPr>
      </w:pPr>
      <w:r>
        <w:t xml:space="preserve">Items align? → Map based on items (moderate confidence)</w:t>
      </w:r>
    </w:p>
    <w:p>
      <w:pPr>
        <w:pStyle w:val="Compact"/>
        <w:numPr>
          <w:ilvl w:val="0"/>
          <w:numId w:val="1033"/>
        </w:numPr>
      </w:pPr>
      <w:r>
        <w:t xml:space="preserve">Ambiguous? → Flag for expert review (low confidence)</w:t>
      </w:r>
    </w:p>
    <w:p>
      <w:pPr>
        <w:pStyle w:val="Compact"/>
        <w:numPr>
          <w:ilvl w:val="0"/>
          <w:numId w:val="1033"/>
        </w:numPr>
      </w:pPr>
      <w:r>
        <w:t xml:space="preserve">No match? → Exclude construct from coding</w:t>
      </w:r>
    </w:p>
    <w:bookmarkEnd w:id="74"/>
    <w:bookmarkStart w:id="75" w:name="a.4-correlation-source-selection"/>
    <w:p>
      <w:pPr>
        <w:pStyle w:val="Heading3"/>
      </w:pPr>
      <w:r>
        <w:t xml:space="preserve">A.4 Correlation Source Selection</w:t>
      </w:r>
    </w:p>
    <w:p>
      <w:pPr>
        <w:pStyle w:val="Compact"/>
        <w:numPr>
          <w:ilvl w:val="0"/>
          <w:numId w:val="1034"/>
        </w:numPr>
      </w:pPr>
      <w:r>
        <w:t xml:space="preserve">Direct Pearson r available? → Use direct r (best quality)</w:t>
      </w:r>
    </w:p>
    <w:p>
      <w:pPr>
        <w:pStyle w:val="Compact"/>
        <w:numPr>
          <w:ilvl w:val="0"/>
          <w:numId w:val="1034"/>
        </w:numPr>
      </w:pPr>
      <w:r>
        <w:t xml:space="preserve">Only standardized β available? → Convert using Peterson &amp; Brown (2005)</w:t>
      </w:r>
    </w:p>
    <w:p>
      <w:pPr>
        <w:pStyle w:val="Compact"/>
        <w:numPr>
          <w:ilvl w:val="0"/>
          <w:numId w:val="1034"/>
        </w:numPr>
      </w:pPr>
      <w:r>
        <w:t xml:space="preserve">Only unstandardized b? → Cannot convert; mark as missing</w:t>
      </w:r>
    </w:p>
    <w:p>
      <w:pPr>
        <w:pStyle w:val="Compact"/>
        <w:numPr>
          <w:ilvl w:val="0"/>
          <w:numId w:val="1034"/>
        </w:numPr>
      </w:pPr>
      <w:r>
        <w:t xml:space="preserve">Implied correlations from SEM? → Use if no direct r; flag quality</w:t>
      </w:r>
    </w:p>
    <w:p>
      <w:pPr>
        <w:pStyle w:val="Compact"/>
        <w:numPr>
          <w:ilvl w:val="0"/>
          <w:numId w:val="1034"/>
        </w:numPr>
      </w:pPr>
      <w:r>
        <w:t xml:space="preserve">No numeric data? → Contact authors or exclude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77" w:name="appendix-b-faq"/>
    <w:p>
      <w:pPr>
        <w:pStyle w:val="Heading2"/>
      </w:pPr>
      <w:r>
        <w:t xml:space="preserve">Appendix B: FAQ</w:t>
      </w:r>
    </w:p>
    <w:p>
      <w:pPr>
        <w:pStyle w:val="FirstParagraph"/>
      </w:pPr>
      <w:r>
        <w:rPr>
          <w:b/>
          <w:bCs/>
        </w:rPr>
        <w:t xml:space="preserve">Q: What if a study reports both Pearson r and SEM-implied correlations?</w:t>
      </w:r>
      <w:r>
        <w:t xml:space="preserve"> </w:t>
      </w:r>
      <w:r>
        <w:t xml:space="preserve">A: Use Pearson r (direct correlations). SEM-implied correlations are model-dependent.</w:t>
      </w:r>
    </w:p>
    <w:p>
      <w:pPr>
        <w:pStyle w:val="BodyText"/>
      </w:pPr>
      <w:r>
        <w:rPr>
          <w:b/>
          <w:bCs/>
        </w:rPr>
        <w:t xml:space="preserve">Q: What if a study measures a construct but does not include it in the correlation matrix?</w:t>
      </w:r>
      <w:r>
        <w:t xml:space="preserve"> </w:t>
      </w:r>
      <w:r>
        <w:t xml:space="preserve">A: Record the construct as measured but leave correlations as NA.</w:t>
      </w:r>
    </w:p>
    <w:p>
      <w:pPr>
        <w:pStyle w:val="BodyText"/>
      </w:pPr>
      <w:r>
        <w:rPr>
          <w:b/>
          <w:bCs/>
        </w:rPr>
        <w:t xml:space="preserve">Q: How do I handle reverse-coded constructs?</w:t>
      </w:r>
      <w:r>
        <w:t xml:space="preserve"> </w:t>
      </w:r>
      <w:r>
        <w:t xml:space="preserve">A: Flip the sign. E.g., Complexity (reverse EE) with r = −.35 to BI becomes EE-BI r = .35. Document the reversal.</w:t>
      </w:r>
    </w:p>
    <w:p>
      <w:pPr>
        <w:pStyle w:val="BodyText"/>
      </w:pPr>
      <w:r>
        <w:rPr>
          <w:b/>
          <w:bCs/>
        </w:rPr>
        <w:t xml:space="preserve">Q: What if a study reports correlation but not reliability?</w:t>
      </w:r>
      <w:r>
        <w:t xml:space="preserve"> </w:t>
      </w:r>
      <w:r>
        <w:t xml:space="preserve">A: Code the correlations. Leave reliability fields as NA.</w:t>
      </w:r>
    </w:p>
    <w:p>
      <w:pPr>
        <w:pStyle w:val="BodyText"/>
      </w:pPr>
      <w:r>
        <w:rPr>
          <w:b/>
          <w:bCs/>
        </w:rPr>
        <w:t xml:space="preserve">Q: What if sample sizes differ across correlation pairs?</w:t>
      </w:r>
      <w:r>
        <w:t xml:space="preserve"> </w:t>
      </w:r>
      <w:r>
        <w:t xml:space="preserve">A: Record pairwise N in r_sample_size. Use the minimum N for conservative analysis.</w:t>
      </w:r>
    </w:p>
    <w:p>
      <w:pPr>
        <w:pStyle w:val="BodyText"/>
      </w:pPr>
      <w:r>
        <w:rPr>
          <w:b/>
          <w:bCs/>
        </w:rPr>
        <w:t xml:space="preserve">Q: How do I handle multiple samples in one paper?</w:t>
      </w:r>
      <w:r>
        <w:t xml:space="preserve"> </w:t>
      </w:r>
      <w:r>
        <w:t xml:space="preserve">A: Treat each independent sample as a separate entry (e.g., S005a, S005b).</w:t>
      </w:r>
    </w:p>
    <w:p>
      <w:pPr>
        <w:pStyle w:val="BodyText"/>
      </w:pPr>
      <w:r>
        <w:rPr>
          <w:b/>
          <w:bCs/>
        </w:rPr>
        <w:t xml:space="preserve">Q: What if a study uses a construct not in our 12?</w:t>
      </w:r>
      <w:r>
        <w:t xml:space="preserve"> </w:t>
      </w:r>
      <w:r>
        <w:t xml:space="preserve">A: Do not code it. Only code correlations involving our 12 target constructs.</w:t>
      </w:r>
    </w:p>
    <w:p>
      <w:pPr>
        <w:pStyle w:val="BodyText"/>
      </w:pPr>
      <w:r>
        <w:rPr>
          <w:b/>
          <w:bCs/>
        </w:rPr>
        <w:t xml:space="preserve">Q: What about second-order constructs?</w:t>
      </w:r>
      <w:r>
        <w:t xml:space="preserve"> </w:t>
      </w:r>
      <w:r>
        <w:t xml:space="preserve">A: If a study measures PE as a second-order factor, use the second-order correlation. If only first-order correlations available, average and flag quality.</w:t>
      </w:r>
    </w:p>
    <w:p>
      <w:pPr>
        <w:pStyle w:val="BodyText"/>
      </w:pPr>
      <w:r>
        <w:rPr>
          <w:b/>
          <w:bCs/>
        </w:rPr>
        <w:t xml:space="preserve">Q: Can AI pre-code metadata fields?</w:t>
      </w:r>
      <w:r>
        <w:t xml:space="preserve"> </w:t>
      </w:r>
      <w:r>
        <w:t xml:space="preserve">A: Yes. AI pre-codes non-critical fields (identification, demographics). Humans verify during their independent coding. AI does NOT pre-code correlations or construct mappings — those must be human-coded independently.</w:t>
      </w:r>
    </w:p>
    <w:p>
      <w:r>
        <w:pict>
          <v:rect style="width:0;height:1.5pt" o:hralign="center" o:hrstd="t" o:hr="t"/>
        </w:pict>
      </w:r>
    </w:p>
    <w:bookmarkEnd w:id="77"/>
    <w:bookmarkStart w:id="78" w:name="X126b38d1dfa1631d2124f59fb404bbc38c4ff8d"/>
    <w:p>
      <w:pPr>
        <w:pStyle w:val="Heading2"/>
      </w:pPr>
      <w:r>
        <w:t xml:space="preserve">Appendix C: Excel Template Sheet Descriptions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65"/>
        <w:gridCol w:w="44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Sheet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CODEBOOK</w:t>
            </w:r>
          </w:p>
        </w:tc>
        <w:tc>
          <w:tcPr/>
          <w:p>
            <w:pPr>
              <w:pStyle w:val="Compact"/>
            </w:pPr>
            <w:r>
              <w:t xml:space="preserve">Master reference for all variables across all sheets. Contains variable_name, sheet, type, valid_values, coding_rules, example, and notes.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STUDY_METADATA</w:t>
            </w:r>
          </w:p>
        </w:tc>
        <w:tc>
          <w:tcPr/>
          <w:p>
            <w:pPr>
              <w:pStyle w:val="Compact"/>
            </w:pPr>
            <w:r>
              <w:t xml:space="preserve">One row per included study. Identification, design, sample, AI technology, quality assessment, and source management variables.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CORRELATION_MATRIX</w:t>
            </w:r>
          </w:p>
        </w:tc>
        <w:tc>
          <w:tcPr/>
          <w:p>
            <w:pPr>
              <w:pStyle w:val="Compact"/>
            </w:pPr>
            <w:r>
              <w:t xml:space="preserve">One row per construct pair per study. study_id, construct_row, construct_col, r_value, r_source, and extraction metadata.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CONSTRUCT_MAPPING</w:t>
            </w:r>
          </w:p>
        </w:tc>
        <w:tc>
          <w:tcPr/>
          <w:p>
            <w:pPr>
              <w:pStyle w:val="Compact"/>
            </w:pPr>
            <w:r>
              <w:t xml:space="preserve">Documents how each study construct maps to our 12 target constructs. Includes harmonization confidence level.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MODERATOR_VARIABLES</w:t>
            </w:r>
          </w:p>
        </w:tc>
        <w:tc>
          <w:tcPr/>
          <w:p>
            <w:pPr>
              <w:pStyle w:val="Compact"/>
            </w:pPr>
            <w:r>
              <w:t xml:space="preserve">Moderator values for each study. Used in OSMASEM and subgroup analyses.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AI_EXTRACTION_PROVENANCE</w:t>
            </w:r>
          </w:p>
        </w:tc>
        <w:tc>
          <w:tcPr/>
          <w:p>
            <w:pPr>
              <w:pStyle w:val="Compact"/>
            </w:pPr>
            <w:r>
              <w:t xml:space="preserve">Raw AI model outputs for AI-assisted coding. Preserves full provenance chain for Claude, Gemini, and Codex.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DISCREPANCY_LOG</w:t>
            </w:r>
          </w:p>
        </w:tc>
        <w:tc>
          <w:tcPr/>
          <w:p>
            <w:pPr>
              <w:pStyle w:val="Compact"/>
            </w:pPr>
            <w:r>
              <w:t xml:space="preserve">All inter-coder disagreements with classification, resolution method, and final values.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EXCLUSION_LOG</w:t>
            </w:r>
          </w:p>
        </w:tc>
        <w:tc>
          <w:tcPr/>
          <w:p>
            <w:pPr>
              <w:pStyle w:val="Compact"/>
            </w:pPr>
            <w:r>
              <w:t xml:space="preserve">All studies excluded at full-text or data extraction stage with reasons and codes.</w:t>
            </w:r>
          </w:p>
        </w:tc>
      </w:tr>
    </w:tbl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2026-04-29T14:57:43Z</dcterms:created>
  <dcterms:modified xsi:type="dcterms:W3CDTF">2026-04-29T14:57:43Z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