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0B2545"/>
          <w:sz w:val="40"/>
        </w:rPr>
        <w:t>Paper A/B Target Submission Packet</w:t>
      </w:r>
    </w:p>
    <w:p>
      <w:pPr>
        <w:pStyle w:val="Heading1"/>
      </w:pPr>
      <w:r>
        <w:t>Exemplar and Guideline Manifest</w:t>
      </w:r>
    </w:p>
    <w:p>
      <w:r>
        <w:t>Date: 2026-06-12</w:t>
      </w:r>
    </w:p>
    <w:p>
      <w:r>
        <w:t>Scope: target-journal and exemplar-paper evidence used to reshape Paper A and Paper B into near-submission manuscript packages. Closed PDFs obtained through PSU institutional access may be used locally, but they are not redistributed in Git or OSF.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Access state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Use in current package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Computers &amp; Education Guide for Authors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Web verified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Paper A target-journal package: abstract, keywords, highlights, editable tables, double-anonymized file separation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Research Synthesis Methods author instructions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Web verified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Paper B target-journal package: 250-word abstract, RSM highlights, repository/data-availability expectations, GenAI evaluation transparency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Scherer, Siddiq, and Tondeur (2019), Computers &amp; Education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Bibliographic record verified; closed PDF needed for exact table/figure replication if not locally available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Primary Paper A exemplar for TAM/MASEM positioning in C&amp;E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Or (2024), OTESSA Journal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PDF extracted locally, 26 pages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Open OSMASEM/TAM education exemplar for methods, PRISMA/table/figure spine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Schmidt et al. (2024), ALTARS/arXiv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PDF extracted locally, 30/32 pages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Paper B exemplar for manual evaluation, domain-specific data extraction accuracy, and caution against autonomous replacement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Schroeder et al. (2025), arXiv AIDE/HIL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PDF extracted locally, 12 pages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Paper B exemplar for explicit versus derived variable families, human-in-the-loop workflow, and source panel/provenance framing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Legate and Nimon F1000 protocol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Local PDF extracted, 28 pages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Paper B social-science methods gap and living-review/reporting workflow context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RSM GenAI submission guidance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Web/PMC/RSM metadata verified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Paper B reporting benchmark for validation, prompt/model versioning, locked outputs, and transparent AI declaration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Annals AI-assisted data-extraction SWAR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Web metadata verified; publisher PDF blocked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Comparator for workflow validation, time/error outcome reporting, and human verification framing</w:t>
            </w:r>
          </w:p>
        </w:tc>
      </w:tr>
    </w:tbl>
    <w:p/>
    <w:p>
      <w:pPr>
        <w:pStyle w:val="Heading2"/>
      </w:pPr>
      <w:r>
        <w:t>Source Links</w:t>
      </w:r>
    </w:p>
    <w:p>
      <w:pPr>
        <w:pStyle w:val="ListBullet"/>
      </w:pPr>
      <w:r>
        <w:t>Computers &amp; Education guide: https://www.sciencedirect.com/journal/computers-and-education/publish/guide-for-authors</w:t>
      </w:r>
    </w:p>
    <w:p>
      <w:pPr>
        <w:pStyle w:val="ListBullet"/>
      </w:pPr>
      <w:r>
        <w:t>Research Synthesis Methods instructions: https://www.cambridge.org/core/journals/research-synthesis-methods/information/author-instructions/preparing-your-materials</w:t>
      </w:r>
    </w:p>
    <w:p>
      <w:pPr>
        <w:pStyle w:val="ListBullet"/>
      </w:pPr>
      <w:r>
        <w:t>Scherer et al. DOI: https://doi.org/10.1016/j.compedu.2018.09.009</w:t>
      </w:r>
    </w:p>
    <w:p>
      <w:pPr>
        <w:pStyle w:val="ListBullet"/>
      </w:pPr>
      <w:r>
        <w:t>Or (2024) DOI: https://doi.org/10.18357/otessaj.2024.4.3.66</w:t>
      </w:r>
    </w:p>
    <w:p>
      <w:pPr>
        <w:pStyle w:val="ListBullet"/>
      </w:pPr>
      <w:r>
        <w:t>Schmidt et al. arXiv: https://arxiv.org/abs/2405.14445</w:t>
      </w:r>
    </w:p>
    <w:p>
      <w:pPr>
        <w:pStyle w:val="ListBullet"/>
      </w:pPr>
      <w:r>
        <w:t>Schroeder et al. arXiv: https://arxiv.org/abs/2501.11840</w:t>
      </w:r>
    </w:p>
    <w:p>
      <w:pPr>
        <w:pStyle w:val="ListBullet"/>
      </w:pPr>
      <w:r>
        <w:t>RSM automated meta-analysis review: https://doi.org/10.1017/rsm.2025.10065</w:t>
      </w:r>
    </w:p>
    <w:p>
      <w:pPr>
        <w:pStyle w:val="ListBullet"/>
      </w:pPr>
      <w:r>
        <w:t>RSM GenAI submission guidance: https://doi.org/10.1017/rsm.2025.10058</w:t>
      </w:r>
    </w:p>
    <w:p>
      <w:pPr>
        <w:pStyle w:val="ListBullet"/>
      </w:pPr>
      <w:r>
        <w:t>Annals prospective cohort DOI: https://doi.org/10.7326/ANNALS-25-00739</w:t>
      </w:r>
    </w:p>
    <w:p>
      <w:pPr>
        <w:pStyle w:val="ListBullet"/>
      </w:pPr>
      <w:r>
        <w:t>OSF repository for Paper B: https://osf.io/mkrgd/overview</w:t>
      </w:r>
    </w:p>
    <w:p>
      <w:pPr>
        <w:pStyle w:val="Heading1"/>
      </w:pPr>
      <w:r>
        <w:t>Exemplar Decomposition Matrix</w:t>
      </w:r>
    </w:p>
    <w:p>
      <w:r>
        <w:t>Date: 2026-06-12</w:t>
      </w:r>
    </w:p>
    <w:p>
      <w:pPr>
        <w:pStyle w:val="Heading2"/>
      </w:pPr>
      <w:r>
        <w:t>Transferable Patterns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98"/>
        <w:gridCol w:w="2015"/>
        <w:gridCol w:w="2015"/>
        <w:gridCol w:w="2015"/>
        <w:gridCol w:w="2017"/>
      </w:tblGrid>
      <w:tr>
        <w:trPr>
          <w:tblHeader w:val="true"/>
        </w:trPr>
        <w:tc>
          <w:tcPr>
            <w:tcW w:type="dxa" w:w="129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Exemplar</w:t>
            </w:r>
          </w:p>
        </w:tc>
        <w:tc>
          <w:tcPr>
            <w:tcW w:type="dxa" w:w="20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Method spine</w:t>
            </w:r>
          </w:p>
        </w:tc>
        <w:tc>
          <w:tcPr>
            <w:tcW w:type="dxa" w:w="20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Table/Figure pattern</w:t>
            </w:r>
          </w:p>
        </w:tc>
        <w:tc>
          <w:tcPr>
            <w:tcW w:type="dxa" w:w="20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How to use it here</w:t>
            </w:r>
          </w:p>
        </w:tc>
        <w:tc>
          <w:tcPr>
            <w:tcW w:type="dxa" w:w="201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Boundary</w:t>
            </w:r>
          </w:p>
        </w:tc>
      </w:tr>
      <w:tr>
        <w:tc>
          <w:tcPr>
            <w:tcW w:type="dxa" w:w="1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Scherer et al. C&amp;E TAM-MASEM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Education technology adoption framed around TAM, MASEM, theory competition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PRISMA, study-characteristics table, pooled-matrix/path tables, conceptual/path figures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Use as Paper A target-journal model for C&amp;E positioning and MASEM result architecture</w:t>
            </w:r>
          </w:p>
        </w:tc>
        <w:tc>
          <w:tcPr>
            <w:tcW w:type="dxa" w:w="2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Need PSU PDF for exact visual replication before final submission</w:t>
            </w:r>
          </w:p>
        </w:tc>
      </w:tr>
      <w:tr>
        <w:tc>
          <w:tcPr>
            <w:tcW w:type="dxa" w:w="1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Or 2024 OSMASEM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One-step MASEM of TAM in education using R/metaSEM references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PRISMA/selection flow, source-study table, model fit table, path/effect table, model diagrams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Use as Paper A open-PDF reference for OSMASEM reporting and figure spine</w:t>
            </w:r>
          </w:p>
        </w:tc>
        <w:tc>
          <w:tcPr>
            <w:tcW w:type="dxa" w:w="2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Open exemplar is useful but not the target C&amp;E house style</w:t>
            </w:r>
          </w:p>
        </w:tc>
      </w:tr>
      <w:tr>
        <w:tc>
          <w:tcPr>
            <w:tcW w:type="dxa" w:w="1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Schmidt et al. 2024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Prompt development plus manual evaluation by study domain and extraction item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Prompt table, extraction-variable table, accuracy-by-domain/item tables, cautionary narrative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Use for Paper B task-family denominators and manual scoring explanation</w:t>
            </w:r>
          </w:p>
        </w:tc>
        <w:tc>
          <w:tcPr>
            <w:tcW w:type="dxa" w:w="2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 not import one overall accuracy denominator</w:t>
            </w:r>
          </w:p>
        </w:tc>
      </w:tr>
      <w:tr>
        <w:tc>
          <w:tcPr>
            <w:tcW w:type="dxa" w:w="1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Schroeder et al. 2025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Pilot-to-full human-in-the-loop extraction across explicit and derived variables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Workflow/application figures, exact/accurate match tables, model result table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Use for Paper B explicit versus derived task-family reporting and HIL figure</w:t>
            </w:r>
          </w:p>
        </w:tc>
        <w:tc>
          <w:tcPr>
            <w:tcW w:type="dxa" w:w="2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Use as workflow comparator, not a source for replacement claims</w:t>
            </w:r>
          </w:p>
        </w:tc>
      </w:tr>
      <w:tr>
        <w:tc>
          <w:tcPr>
            <w:tcW w:type="dxa" w:w="1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F1000 social-science protocol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Living review of semi-automated extraction approaches in social sciences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Workflow and reporting figures, protocol tables, agreement/reliability plan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Use for Paper B social-science contribution and broader evidence-synthesis relevance</w:t>
            </w:r>
          </w:p>
        </w:tc>
        <w:tc>
          <w:tcPr>
            <w:tcW w:type="dxa" w:w="2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Protocol status means use for rationale, not result benchmarking</w:t>
            </w:r>
          </w:p>
        </w:tc>
      </w:tr>
      <w:tr>
        <w:tc>
          <w:tcPr>
            <w:tcW w:type="dxa" w:w="1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RSM GenAI guidance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Reporting expectations for GenAI evaluations in SRMA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Validation/methodology/transparency checklist logic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Use to structure Paper B methods, AI declaration, model/prompt reproducibility, repository statement</w:t>
            </w:r>
          </w:p>
        </w:tc>
        <w:tc>
          <w:tcPr>
            <w:tcW w:type="dxa" w:w="2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RSM expects clear model-version and use-case boundary</w:t>
            </w:r>
          </w:p>
        </w:tc>
      </w:tr>
      <w:tr>
        <w:tc>
          <w:tcPr>
            <w:tcW w:type="dxa" w:w="1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Annals SWAR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Prospective workflow validation with human verification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Concordance, accuracy, time-on-task, error severity tables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Use for Paper B discussion of workflow evaluation outcomes</w:t>
            </w:r>
          </w:p>
        </w:tc>
        <w:tc>
          <w:tcPr>
            <w:tcW w:type="dxa" w:w="2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Publisher PDF needed for exact table/figure deconstruction</w:t>
            </w:r>
          </w:p>
        </w:tc>
      </w:tr>
    </w:tbl>
    <w:p/>
    <w:p>
      <w:pPr>
        <w:pStyle w:val="Heading2"/>
      </w:pPr>
      <w:r>
        <w:t>Design Consequences</w:t>
      </w:r>
    </w:p>
    <w:p>
      <w:r>
        <w:t>Paper A should look like a C&amp;E empirical synthesis article: concise education-technology contribution, theory-forward introduction, transparent PRISMA and coding workflow, then pooled matrices, path models, moderators, and sensitivity diagnostics.</w:t>
      </w:r>
    </w:p>
    <w:p>
      <w:r>
        <w:t>Paper B should look like an RSM methods article: it should foreground validation design, source-anchored reference construction, denominator-family scoring, locked model outputs, reproducible scripts, and claim boundaries. The central claim is workflow augmentation and review triage, not LLM replacement.</w:t>
      </w:r>
    </w:p>
    <w:p>
      <w:pPr>
        <w:pStyle w:val="Heading1"/>
      </w:pPr>
      <w:r>
        <w:t>Paper A Target-Journal Structure Map</w:t>
      </w:r>
    </w:p>
    <w:p>
      <w:r>
        <w:t>Target journal: Computers &amp; Education</w:t>
      </w:r>
    </w:p>
    <w:p>
      <w:r>
        <w:t>Decision state: target journal, construct scope, figure spine, and table spine are approved. The actual TSSEM/OSMASEM/sensitivity estimate insertion is approved but cannot be treated as complete from the current input because the model-ready primary file lacks source-supported numeric sample size for most rows.</w:t>
      </w:r>
    </w:p>
    <w:p>
      <w:pPr>
        <w:pStyle w:val="Heading2"/>
      </w:pPr>
      <w:r>
        <w:t>Current Analysis Gate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763"/>
        <w:gridCol w:w="1254"/>
        <w:gridCol w:w="4343"/>
      </w:tblGrid>
      <w:tr>
        <w:trPr>
          <w:tblHeader w:val="true"/>
        </w:trPr>
        <w:tc>
          <w:tcPr>
            <w:tcW w:type="dxa" w:w="376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Check</w:t>
            </w:r>
          </w:p>
        </w:tc>
        <w:tc>
          <w:tcPr>
            <w:tcW w:type="dxa" w:w="125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Current value</w:t>
            </w:r>
          </w:p>
        </w:tc>
        <w:tc>
          <w:tcPr>
            <w:tcW w:type="dxa" w:w="434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Implication</w:t>
            </w:r>
          </w:p>
        </w:tc>
      </w:tr>
      <w:tr>
        <w:tc>
          <w:tcPr>
            <w:tcW w:type="dxa" w:w="3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Primary model-ready rows</w:t>
            </w:r>
          </w:p>
        </w:tc>
        <w:tc>
          <w:tcPr>
            <w:tcW w:type="dxa" w:w="1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804</w:t>
            </w:r>
          </w:p>
        </w:tc>
        <w:tc>
          <w:tcPr>
            <w:tcW w:type="dxa" w:w="4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Available in the OneDrive Paper1 working folder</w:t>
            </w:r>
          </w:p>
        </w:tc>
      </w:tr>
      <w:tr>
        <w:tc>
          <w:tcPr>
            <w:tcW w:type="dxa" w:w="3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Usable 10-construct rows after r checks</w:t>
            </w:r>
          </w:p>
        </w:tc>
        <w:tc>
          <w:tcPr>
            <w:tcW w:type="dxa" w:w="1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796</w:t>
            </w:r>
          </w:p>
        </w:tc>
        <w:tc>
          <w:tcPr>
            <w:tcW w:type="dxa" w:w="4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 r absolute value &gt;= 1 blocker in the tiered primary file</w:t>
            </w:r>
          </w:p>
        </w:tc>
      </w:tr>
      <w:tr>
        <w:tc>
          <w:tcPr>
            <w:tcW w:type="dxa" w:w="3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Rows missing numeric N</w:t>
            </w:r>
          </w:p>
        </w:tc>
        <w:tc>
          <w:tcPr>
            <w:tcW w:type="dxa" w:w="1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754</w:t>
            </w:r>
          </w:p>
        </w:tc>
        <w:tc>
          <w:tcPr>
            <w:tcW w:type="dxa" w:w="4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N-weighted TSSEM/MASEM cannot be claimed until sample size is reconciled or explicit exclusion rule is applied</w:t>
            </w:r>
          </w:p>
        </w:tc>
      </w:tr>
      <w:tr>
        <w:tc>
          <w:tcPr>
            <w:tcW w:type="dxa" w:w="3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Studies represented</w:t>
            </w:r>
          </w:p>
        </w:tc>
        <w:tc>
          <w:tcPr>
            <w:tcW w:type="dxa" w:w="1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74</w:t>
            </w:r>
          </w:p>
        </w:tc>
        <w:tc>
          <w:tcPr>
            <w:tcW w:type="dxa" w:w="4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Correlation evidence is spread across incomplete matrices</w:t>
            </w:r>
          </w:p>
        </w:tc>
      </w:tr>
      <w:tr>
        <w:tc>
          <w:tcPr>
            <w:tcW w:type="dxa" w:w="3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Covered construct pairs</w:t>
            </w:r>
          </w:p>
        </w:tc>
        <w:tc>
          <w:tcPr>
            <w:tcW w:type="dxa" w:w="1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44/45</w:t>
            </w:r>
          </w:p>
        </w:tc>
        <w:tc>
          <w:tcPr>
            <w:tcW w:type="dxa" w:w="4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Coverage is broad but not complete</w:t>
            </w:r>
          </w:p>
        </w:tc>
      </w:tr>
      <w:tr>
        <w:tc>
          <w:tcPr>
            <w:tcW w:type="dxa" w:w="3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Complete 10-construct matrices</w:t>
            </w:r>
          </w:p>
        </w:tc>
        <w:tc>
          <w:tcPr>
            <w:tcW w:type="dxa" w:w="1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4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Complete-case 10-construct TSSEM is not feasible as the primary route</w:t>
            </w:r>
          </w:p>
        </w:tc>
      </w:tr>
      <w:tr>
        <w:tc>
          <w:tcPr>
            <w:tcW w:type="dxa" w:w="3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Studies with 15 or more construct pairs</w:t>
            </w:r>
          </w:p>
        </w:tc>
        <w:tc>
          <w:tcPr>
            <w:tcW w:type="dxa" w:w="1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4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FIML/TSSEM route may be possible after N reconciliation</w:t>
            </w:r>
          </w:p>
        </w:tc>
      </w:tr>
    </w:tbl>
    <w:p/>
    <w:p>
      <w:r>
        <w:t>Least-covered pairs: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7280"/>
        <w:gridCol w:w="2080"/>
      </w:tblGrid>
      <w:tr>
        <w:trPr>
          <w:tblHeader w:val="true"/>
        </w:trPr>
        <w:tc>
          <w:tcPr>
            <w:tcW w:type="dxa" w:w="7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Construct pair</w:t>
            </w:r>
          </w:p>
        </w:tc>
        <w:tc>
          <w:tcPr>
            <w:tcW w:type="dxa" w:w="2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Rows</w:t>
            </w:r>
          </w:p>
        </w:tc>
      </w:tr>
      <w:tr>
        <w:tc>
          <w:tcPr>
            <w:tcW w:type="dxa" w:w="7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SE-TRU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7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ANX-FC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</w:tr>
      <w:tr>
        <w:tc>
          <w:tcPr>
            <w:tcW w:type="dxa" w:w="7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ANX-SE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</w:tr>
      <w:tr>
        <w:tc>
          <w:tcPr>
            <w:tcW w:type="dxa" w:w="7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ANX-UB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</w:tr>
      <w:tr>
        <w:tc>
          <w:tcPr>
            <w:tcW w:type="dxa" w:w="7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ATT-TRU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</w:tr>
      <w:tr>
        <w:tc>
          <w:tcPr>
            <w:tcW w:type="dxa" w:w="7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ANX-BI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</w:tr>
      <w:tr>
        <w:tc>
          <w:tcPr>
            <w:tcW w:type="dxa" w:w="7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ANX-EE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</w:tr>
      <w:tr>
        <w:tc>
          <w:tcPr>
            <w:tcW w:type="dxa" w:w="7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ANX-SI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</w:tr>
      <w:tr>
        <w:tc>
          <w:tcPr>
            <w:tcW w:type="dxa" w:w="7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ANX-PE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7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FC-TRU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7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ATT-SE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7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SE-UB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</w:tbl>
    <w:p/>
    <w:p>
      <w:pPr>
        <w:pStyle w:val="Heading2"/>
      </w:pPr>
      <w:r>
        <w:t>C&amp;E Submission Components</w:t>
      </w:r>
    </w:p>
    <w:p>
      <w:pPr>
        <w:pStyle w:val="ListBullet"/>
      </w:pPr>
      <w:r>
        <w:t>Main manuscript: double-anonymized Word file with title page separated at submission.</w:t>
      </w:r>
    </w:p>
    <w:p>
      <w:pPr>
        <w:pStyle w:val="ListBullet"/>
      </w:pPr>
      <w:r>
        <w:t>Abstract: no more than 250 words.</w:t>
      </w:r>
    </w:p>
    <w:p>
      <w:pPr>
        <w:pStyle w:val="ListBullet"/>
      </w:pPr>
      <w:r>
        <w:t>Keywords: 1 to 7.</w:t>
      </w:r>
    </w:p>
    <w:p>
      <w:pPr>
        <w:pStyle w:val="ListBullet"/>
      </w:pPr>
      <w:r>
        <w:t>Highlights: 3 to 5 bullets, no more than 85 characters each, submitted separately.</w:t>
      </w:r>
    </w:p>
    <w:p>
      <w:pPr>
        <w:pStyle w:val="ListBullet"/>
      </w:pPr>
      <w:r>
        <w:t>Tables: editable text, cited in order, with captions and notes.</w:t>
      </w:r>
    </w:p>
    <w:p>
      <w:pPr>
        <w:pStyle w:val="ListBullet"/>
      </w:pPr>
      <w:r>
        <w:t>Figures: conceptual model, PRISMA, coverage heatmap, and path model as editable/high-resolution files.</w:t>
      </w:r>
    </w:p>
    <w:p>
      <w:pPr>
        <w:pStyle w:val="Heading2"/>
      </w:pPr>
      <w:r>
        <w:t>Proposed Highlights</w:t>
      </w:r>
    </w:p>
    <w:p>
      <w:pPr>
        <w:pStyle w:val="ListBullet"/>
      </w:pPr>
      <w:r>
        <w:t>Synthesizes AI adoption evidence in higher education with MASEM.</w:t>
      </w:r>
    </w:p>
    <w:p>
      <w:pPr>
        <w:pStyle w:val="ListBullet"/>
      </w:pPr>
      <w:r>
        <w:t>Integrates TAM/UTAUT predictors with trust and AI anxiety.</w:t>
      </w:r>
    </w:p>
    <w:p>
      <w:pPr>
        <w:pStyle w:val="ListBullet"/>
      </w:pPr>
      <w:r>
        <w:t>Separates direct-r inputs from converted sensitivity evidence.</w:t>
      </w:r>
    </w:p>
    <w:p>
      <w:pPr>
        <w:pStyle w:val="ListBullet"/>
      </w:pPr>
      <w:r>
        <w:t>Tests structural and moderator paths across ten constructs.</w:t>
      </w:r>
    </w:p>
    <w:p>
      <w:pPr>
        <w:pStyle w:val="ListBullet"/>
      </w:pPr>
      <w:r>
        <w:t>Provides reproducible extraction and QC artifacts.</w:t>
      </w:r>
    </w:p>
    <w:p>
      <w:pPr>
        <w:pStyle w:val="Heading2"/>
      </w:pPr>
      <w:r>
        <w:t>Section Spine</w:t>
      </w:r>
    </w:p>
    <w:p>
      <w:pPr>
        <w:pStyle w:val="ListNumber"/>
      </w:pPr>
      <w:r>
        <w:t>Introduction: higher-education AI adoption problem, why structural synthesis is needed, why AI trust/anxiety expand TAM/UTAUT.</w:t>
      </w:r>
    </w:p>
    <w:p>
      <w:pPr>
        <w:pStyle w:val="ListNumber"/>
      </w:pPr>
      <w:r>
        <w:t>Theory and hypotheses: TAM/UTAUT, attitude mediation, self-efficacy, trust, anxiety, use behavior.</w:t>
      </w:r>
    </w:p>
    <w:p>
      <w:pPr>
        <w:pStyle w:val="ListNumber"/>
      </w:pPr>
      <w:r>
        <w:t>Method: search, screening, source adjudication, coding, 10-construct harmonization, TSSEM/OSMASEM, sensitivity.</w:t>
      </w:r>
    </w:p>
    <w:p>
      <w:pPr>
        <w:pStyle w:val="ListNumber"/>
      </w:pPr>
      <w:r>
        <w:t>Results: PRISMA, study characteristics, input coverage, Stage 1 pooled matrix, Stage 2 model paths, moderators, sensitivity.</w:t>
      </w:r>
    </w:p>
    <w:p>
      <w:pPr>
        <w:pStyle w:val="ListNumber"/>
      </w:pPr>
      <w:r>
        <w:t>Discussion: theory, institutional implications, limitations, reproducibility, future AI-adoption measurement.</w:t>
      </w:r>
    </w:p>
    <w:p>
      <w:pPr>
        <w:pStyle w:val="Heading2"/>
      </w:pPr>
      <w:r>
        <w:t>Table Spine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00"/>
        <w:gridCol w:w="5200"/>
        <w:gridCol w:w="3260"/>
      </w:tblGrid>
      <w:tr>
        <w:trPr>
          <w:tblHeader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Table</w:t>
            </w:r>
          </w:p>
        </w:tc>
        <w:tc>
          <w:tcPr>
            <w:tcW w:type="dxa" w:w="5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Table 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Construct harmonization and operational definitions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Ready to draft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Table 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PRISMA and study-characteristics profile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Needs final inclusion lock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Table 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Analysis-ready input sets and source-type rules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Ready with current caveats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Table 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Construct-pair coverage and missingness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Ready as pre-model table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Table 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Stage 1 pooled correlation matrix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Needs TSSEM run after N gate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Table 6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Stage 2 structural paths and indirect effects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Needs TSSEM run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Table 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Moderator and sensitivity results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Needs OSMASEM/sensitivity run</w:t>
            </w:r>
          </w:p>
        </w:tc>
      </w:tr>
    </w:tbl>
    <w:p/>
    <w:p>
      <w:pPr>
        <w:pStyle w:val="Heading2"/>
      </w:pPr>
      <w:r>
        <w:t>Figure Spine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13"/>
        <w:gridCol w:w="5136"/>
        <w:gridCol w:w="3311"/>
      </w:tblGrid>
      <w:tr>
        <w:trPr>
          <w:tblHeader w:val="true"/>
        </w:trPr>
        <w:tc>
          <w:tcPr>
            <w:tcW w:type="dxa" w:w="91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Figure</w:t>
            </w:r>
          </w:p>
        </w:tc>
        <w:tc>
          <w:tcPr>
            <w:tcW w:type="dxa" w:w="51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3311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Figure 1</w:t>
            </w:r>
          </w:p>
        </w:tc>
        <w:tc>
          <w:tcPr>
            <w:tcW w:type="dxa" w:w="5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PRISMA flow from 22,166 records to final included studies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Needs final inclusion lock</w:t>
            </w:r>
          </w:p>
        </w:tc>
      </w:tr>
      <w:tr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Figure 2</w:t>
            </w:r>
          </w:p>
        </w:tc>
        <w:tc>
          <w:tcPr>
            <w:tcW w:type="dxa" w:w="5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Ten-construct conceptual model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Ready to draw</w:t>
            </w:r>
          </w:p>
        </w:tc>
      </w:tr>
      <w:tr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Figure 3</w:t>
            </w:r>
          </w:p>
        </w:tc>
        <w:tc>
          <w:tcPr>
            <w:tcW w:type="dxa" w:w="5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Construct-pair coverage heatmap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Ready from current coverage</w:t>
            </w:r>
          </w:p>
        </w:tc>
      </w:tr>
      <w:tr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Figure 4</w:t>
            </w:r>
          </w:p>
        </w:tc>
        <w:tc>
          <w:tcPr>
            <w:tcW w:type="dxa" w:w="5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Final Stage 2 path model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Needs TSSEM run</w:t>
            </w:r>
          </w:p>
        </w:tc>
      </w:tr>
      <w:tr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Figure 5</w:t>
            </w:r>
          </w:p>
        </w:tc>
        <w:tc>
          <w:tcPr>
            <w:tcW w:type="dxa" w:w="5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Moderator/sensitivity comparison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Needs OSMASEM/sensitivity run</w:t>
            </w:r>
          </w:p>
        </w:tc>
      </w:tr>
    </w:tbl>
    <w:p/>
    <w:p>
      <w:pPr>
        <w:pStyle w:val="Heading2"/>
      </w:pPr>
      <w:r>
        <w:t>Manuscript Boundary</w:t>
      </w:r>
    </w:p>
    <w:p>
      <w:r>
        <w:t>Do not insert final C&amp;E results claims until numeric N is reconciled or an approved N-eligible subset rule is documented for Paper A. The currently defensible manuscript state is introduction, theory spine, methods, input/QC results, and analysis gate.</w:t>
      </w:r>
    </w:p>
    <w:p>
      <w:pPr>
        <w:pStyle w:val="Heading1"/>
      </w:pPr>
      <w:r>
        <w:t>Paper B Target-Journal Structure Map</w:t>
      </w:r>
    </w:p>
    <w:p>
      <w:r>
        <w:t>Target journal: Research Synthesis Methods</w:t>
      </w:r>
    </w:p>
    <w:p>
      <w:r>
        <w:t>Decision state: Paper B is a source-anchored, human-adjudicated LLM augmentation/validation study with downstream MASEM/TSSEM diagnostic checks. It is not an LLM replacement paper and not a vendor-ranking benchmark.</w:t>
      </w:r>
    </w:p>
    <w:p>
      <w:pPr>
        <w:pStyle w:val="Heading2"/>
      </w:pPr>
      <w:r>
        <w:t>Current Full-Corpus Gate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86"/>
        <w:gridCol w:w="2773"/>
        <w:gridCol w:w="3901"/>
      </w:tblGrid>
      <w:tr>
        <w:trPr>
          <w:tblHeader w:val="true"/>
        </w:trPr>
        <w:tc>
          <w:tcPr>
            <w:tcW w:type="dxa" w:w="268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Check</w:t>
            </w:r>
          </w:p>
        </w:tc>
        <w:tc>
          <w:tcPr>
            <w:tcW w:type="dxa" w:w="277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Current value</w:t>
            </w:r>
          </w:p>
        </w:tc>
        <w:tc>
          <w:tcPr>
            <w:tcW w:type="dxa" w:w="3901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Implication</w:t>
            </w:r>
          </w:p>
        </w:tc>
      </w:tr>
      <w:tr>
        <w:tc>
          <w:tcPr>
            <w:tcW w:type="dxa" w:w="26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Full-corpus Step 5 shell exists</w:t>
            </w:r>
          </w:p>
        </w:tc>
        <w:tc>
          <w:tcPr>
            <w:tcW w:type="dxa" w:w="2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True</w:t>
            </w:r>
          </w:p>
        </w:tc>
        <w:tc>
          <w:tcPr>
            <w:tcW w:type="dxa" w:w="3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Anchors the completed 2,043-row M1-R run</w:t>
            </w:r>
          </w:p>
        </w:tc>
      </w:tr>
      <w:tr>
        <w:tc>
          <w:tcPr>
            <w:tcW w:type="dxa" w:w="26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Task rows in shell</w:t>
            </w:r>
          </w:p>
        </w:tc>
        <w:tc>
          <w:tcPr>
            <w:tcW w:type="dxa" w:w="2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2043</w:t>
            </w:r>
          </w:p>
        </w:tc>
        <w:tc>
          <w:tcPr>
            <w:tcW w:type="dxa" w:w="3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Full-corpus denominator before exception handling</w:t>
            </w:r>
          </w:p>
        </w:tc>
      </w:tr>
      <w:tr>
        <w:tc>
          <w:tcPr>
            <w:tcW w:type="dxa" w:w="26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Full-corpus M1-R execution</w:t>
            </w:r>
          </w:p>
        </w:tc>
        <w:tc>
          <w:tcPr>
            <w:tcW w:type="dxa" w:w="2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Completed 2026-06-12</w:t>
            </w:r>
          </w:p>
        </w:tc>
        <w:tc>
          <w:tcPr>
            <w:tcW w:type="dxa" w:w="3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Nine source-packet-required shards locked and scored</w:t>
            </w:r>
          </w:p>
        </w:tc>
      </w:tr>
      <w:tr>
        <w:tc>
          <w:tcPr>
            <w:tcW w:type="dxa" w:w="26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Locked/scored rows</w:t>
            </w:r>
          </w:p>
        </w:tc>
        <w:tc>
          <w:tcPr>
            <w:tcW w:type="dxa" w:w="2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2,043</w:t>
            </w:r>
          </w:p>
        </w:tc>
        <w:tc>
          <w:tcPr>
            <w:tcW w:type="dxa" w:w="3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 duplicates, 0 model CLI failures, 15 exception-layer rows</w:t>
            </w:r>
          </w:p>
        </w:tc>
      </w:tr>
      <w:tr>
        <w:tc>
          <w:tcPr>
            <w:tcW w:type="dxa" w:w="26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SEM reporting lane</w:t>
            </w:r>
          </w:p>
        </w:tc>
        <w:tc>
          <w:tcPr>
            <w:tcW w:type="dxa" w:w="2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Core-6 diagnostic only</w:t>
            </w:r>
          </w:p>
        </w:tc>
        <w:tc>
          <w:tcPr>
            <w:tcW w:type="dxa" w:w="3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 all-construct/all-row SEM claim until final specification</w:t>
            </w:r>
          </w:p>
        </w:tc>
      </w:tr>
      <w:tr>
        <w:tc>
          <w:tcPr>
            <w:tcW w:type="dxa" w:w="26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Post-freeze reference</w:t>
            </w:r>
          </w:p>
        </w:tc>
        <w:tc>
          <w:tcPr>
            <w:tcW w:type="dxa" w:w="2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213 studies frozen on 2026-06-09</w:t>
            </w:r>
          </w:p>
        </w:tc>
        <w:tc>
          <w:tcPr>
            <w:tcW w:type="dxa" w:w="3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Governing reference layer</w:t>
            </w:r>
          </w:p>
        </w:tc>
      </w:tr>
      <w:tr>
        <w:tc>
          <w:tcPr>
            <w:tcW w:type="dxa" w:w="26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OSF archive</w:t>
            </w:r>
          </w:p>
        </w:tc>
        <w:tc>
          <w:tcPr>
            <w:tcW w:type="dxa" w:w="2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https://osf.io/mkrgd/overview</w:t>
            </w:r>
          </w:p>
        </w:tc>
        <w:tc>
          <w:tcPr>
            <w:tcW w:type="dxa" w:w="3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Share-safe public repository exists</w:t>
            </w:r>
          </w:p>
        </w:tc>
      </w:tr>
    </w:tbl>
    <w:p/>
    <w:p>
      <w:r>
        <w:t>Denominator-family shell counts: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8595"/>
        <w:gridCol w:w="765"/>
      </w:tblGrid>
      <w:tr>
        <w:trPr>
          <w:tblHeader w:val="true"/>
        </w:trPr>
        <w:tc>
          <w:tcPr>
            <w:tcW w:type="dxa" w:w="859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Family</w:t>
            </w:r>
          </w:p>
        </w:tc>
        <w:tc>
          <w:tcPr>
            <w:tcW w:type="dxa" w:w="76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Rows</w:t>
            </w:r>
          </w:p>
        </w:tc>
      </w:tr>
      <w:tr>
        <w:tc>
          <w:tcPr>
            <w:tcW w:type="dxa" w:w="8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primary_latent_or_construct_correlation_with_source_type_flag</w:t>
            </w:r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931</w:t>
            </w:r>
          </w:p>
        </w:tc>
      </w:tr>
      <w:tr>
        <w:tc>
          <w:tcPr>
            <w:tcW w:type="dxa" w:w="8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primary_direct_r_or_source_reported_correlation</w:t>
            </w:r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697</w:t>
            </w:r>
          </w:p>
        </w:tc>
      </w:tr>
      <w:tr>
        <w:tc>
          <w:tcPr>
            <w:tcW w:type="dxa" w:w="8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secondary_beta_or_path_converted_effect_size</w:t>
            </w:r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415</w:t>
            </w:r>
          </w:p>
        </w:tc>
      </w:tr>
    </w:tbl>
    <w:p/>
    <w:p>
      <w:pPr>
        <w:pStyle w:val="Heading2"/>
      </w:pPr>
      <w:r>
        <w:t>RSM Submission Components</w:t>
      </w:r>
    </w:p>
    <w:p>
      <w:pPr>
        <w:pStyle w:val="ListBullet"/>
      </w:pPr>
      <w:r>
        <w:t>Abstract: no more than 250 words and readable to a multidisciplinary audience.</w:t>
      </w:r>
    </w:p>
    <w:p>
      <w:pPr>
        <w:pStyle w:val="ListBullet"/>
      </w:pPr>
      <w:r>
        <w:t>Keywords: 4 to 6, plus RSM-specific keywords at submission.</w:t>
      </w:r>
    </w:p>
    <w:p>
      <w:pPr>
        <w:pStyle w:val="ListBullet"/>
      </w:pPr>
      <w:r>
        <w:t>Required highlights in manuscript: What is already known; What is new; Potential impact for Research Synthesis Methods readers.</w:t>
      </w:r>
    </w:p>
    <w:p>
      <w:pPr>
        <w:pStyle w:val="ListBullet"/>
      </w:pPr>
      <w:r>
        <w:t>Data availability statement with repository DOI/URL or explanation.</w:t>
      </w:r>
    </w:p>
    <w:p>
      <w:pPr>
        <w:pStyle w:val="ListBullet"/>
      </w:pPr>
      <w:r>
        <w:t>AI-methods transparency: model names/versions, dates, access path, prompts, validation, and output-locking process.</w:t>
      </w:r>
    </w:p>
    <w:p>
      <w:pPr>
        <w:pStyle w:val="Heading2"/>
      </w:pPr>
      <w:r>
        <w:t>Proposed RSM Highlights</w:t>
      </w:r>
    </w:p>
    <w:p>
      <w:pPr>
        <w:pStyle w:val="Heading3"/>
      </w:pPr>
      <w:r>
        <w:t>What is already known</w:t>
      </w:r>
    </w:p>
    <w:p>
      <w:r>
        <w:t>Systematic review data extraction is labor-intensive, and LLMs can sometimes support extraction workflows. Existing studies show promising but task-dependent accuracy and require human verification.</w:t>
      </w:r>
    </w:p>
    <w:p>
      <w:pPr>
        <w:pStyle w:val="Heading3"/>
      </w:pPr>
      <w:r>
        <w:t>What is new</w:t>
      </w:r>
    </w:p>
    <w:p>
      <w:r>
        <w:t>This study validates a locked LLM workflow against a source-anchored adjudicated human reference standard for MASEM-ready extraction. It reports task-family denominators, source conditions, human-disagreement traces, and downstream substitution diagnostics rather than one pooled accuracy score.</w:t>
      </w:r>
    </w:p>
    <w:p>
      <w:pPr>
        <w:pStyle w:val="Heading3"/>
      </w:pPr>
      <w:r>
        <w:t>Potential impact for Research Synthesis Methods readers</w:t>
      </w:r>
    </w:p>
    <w:p>
      <w:r>
        <w:t>The design shows how to evaluate LLM extraction as auditable workflow augmentation for complex evidence synthesis, especially when downstream meta-analytic models depend on numeric source accuracy and sample-size eligibility.</w:t>
      </w:r>
    </w:p>
    <w:p>
      <w:pPr>
        <w:pStyle w:val="Heading2"/>
      </w:pPr>
      <w:r>
        <w:t>Table Spine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00"/>
        <w:gridCol w:w="4342"/>
        <w:gridCol w:w="4118"/>
      </w:tblGrid>
      <w:tr>
        <w:trPr>
          <w:tblHeader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Table</w:t>
            </w:r>
          </w:p>
        </w:tc>
        <w:tc>
          <w:tcPr>
            <w:tcW w:type="dxa" w:w="434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411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Table 1</w:t>
            </w:r>
          </w:p>
        </w:tc>
        <w:tc>
          <w:tcPr>
            <w:tcW w:type="dxa" w:w="4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Data states and claim roles</w:t>
            </w:r>
          </w:p>
        </w:tc>
        <w:tc>
          <w:tcPr>
            <w:tcW w:type="dxa" w:w="4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Table 2</w:t>
            </w:r>
          </w:p>
        </w:tc>
        <w:tc>
          <w:tcPr>
            <w:tcW w:type="dxa" w:w="4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Reference construction and source-adjudication workflow</w:t>
            </w:r>
          </w:p>
        </w:tc>
        <w:tc>
          <w:tcPr>
            <w:tcW w:type="dxa" w:w="4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Table 3</w:t>
            </w:r>
          </w:p>
        </w:tc>
        <w:tc>
          <w:tcPr>
            <w:tcW w:type="dxa" w:w="4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Task-family denominators and scoring rules</w:t>
            </w:r>
          </w:p>
        </w:tc>
        <w:tc>
          <w:tcPr>
            <w:tcW w:type="dxa" w:w="4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Table 4</w:t>
            </w:r>
          </w:p>
        </w:tc>
        <w:tc>
          <w:tcPr>
            <w:tcW w:type="dxa" w:w="4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Locked model outputs and coverage</w:t>
            </w:r>
          </w:p>
        </w:tc>
        <w:tc>
          <w:tcPr>
            <w:tcW w:type="dxa" w:w="4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Ready for legacy plus completed full-corpus M1-R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Table 5</w:t>
            </w:r>
          </w:p>
        </w:tc>
        <w:tc>
          <w:tcPr>
            <w:tcW w:type="dxa" w:w="4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RQ1 extraction validity by denominator family</w:t>
            </w:r>
          </w:p>
        </w:tc>
        <w:tc>
          <w:tcPr>
            <w:tcW w:type="dxa" w:w="4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Ready with full-corpus M1-R evidence and exception caveat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Table 6</w:t>
            </w:r>
          </w:p>
        </w:tc>
        <w:tc>
          <w:tcPr>
            <w:tcW w:type="dxa" w:w="4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RQ2 error taxonomy by source condition</w:t>
            </w:r>
          </w:p>
        </w:tc>
        <w:tc>
          <w:tcPr>
            <w:tcW w:type="dxa" w:w="4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Ready with legacy package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Table 7</w:t>
            </w:r>
          </w:p>
        </w:tc>
        <w:tc>
          <w:tcPr>
            <w:tcW w:type="dxa" w:w="4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RQ3 review-priority triage</w:t>
            </w:r>
          </w:p>
        </w:tc>
        <w:tc>
          <w:tcPr>
            <w:tcW w:type="dxa" w:w="4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Ready with legacy package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Table 8</w:t>
            </w:r>
          </w:p>
        </w:tc>
        <w:tc>
          <w:tcPr>
            <w:tcW w:type="dxa" w:w="4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Post-freeze full-corpus M1-R outcomes</w:t>
            </w:r>
          </w:p>
        </w:tc>
        <w:tc>
          <w:tcPr>
            <w:tcW w:type="dxa" w:w="4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Ready as denominator-family result, not pooled accuracy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Table 9</w:t>
            </w:r>
          </w:p>
        </w:tc>
        <w:tc>
          <w:tcPr>
            <w:tcW w:type="dxa" w:w="4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Downstream substitution and TSSEM diagnostics</w:t>
            </w:r>
          </w:p>
        </w:tc>
        <w:tc>
          <w:tcPr>
            <w:tcW w:type="dxa" w:w="4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Ready as core-6 diagnostic only</w:t>
            </w:r>
          </w:p>
        </w:tc>
      </w:tr>
    </w:tbl>
    <w:p/>
    <w:p>
      <w:pPr>
        <w:pStyle w:val="Heading2"/>
      </w:pPr>
      <w:r>
        <w:t>Figure Spine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24"/>
        <w:gridCol w:w="5200"/>
        <w:gridCol w:w="3236"/>
      </w:tblGrid>
      <w:tr>
        <w:trPr>
          <w:tblHeader w:val="true"/>
        </w:trPr>
        <w:tc>
          <w:tcPr>
            <w:tcW w:type="dxa" w:w="92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Figure</w:t>
            </w:r>
          </w:p>
        </w:tc>
        <w:tc>
          <w:tcPr>
            <w:tcW w:type="dxa" w:w="5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32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Figure 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Five-step source-anchored validation workflow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Ready</w:t>
            </w:r>
          </w:p>
        </w:tc>
      </w:tr>
      <w:t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Figure 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Task-family scoring architecture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Ready</w:t>
            </w:r>
          </w:p>
        </w:tc>
      </w:tr>
      <w:t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Figure 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Locked-output and model-provenance flow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Ready</w:t>
            </w:r>
          </w:p>
        </w:tc>
      </w:tr>
      <w:t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Figure 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Accuracy/abstention profile by denominator family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Ready with caveats</w:t>
            </w:r>
          </w:p>
        </w:tc>
      </w:tr>
      <w:t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Figure 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Source-risk and human-disagreement triage heatmap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Ready</w:t>
            </w:r>
          </w:p>
        </w:tc>
      </w:tr>
      <w:t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Figure 6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Downstream substitution diagnostic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Ready as bounded subset only</w:t>
            </w:r>
          </w:p>
        </w:tc>
      </w:tr>
    </w:tbl>
    <w:p/>
    <w:p>
      <w:pPr>
        <w:pStyle w:val="Heading2"/>
      </w:pPr>
      <w:r>
        <w:t>Manuscript Boundary</w:t>
      </w:r>
    </w:p>
    <w:p>
      <w:r>
        <w:t>Permitted: Paper B can claim a reproducible, source-anchored workflow for evaluating LLM-assisted extraction by task family, report the completed full-corpus M1-R outcomes by denominator family and exception-aware gate status, and report bounded diagnostic evidence that the expert-reviewed primary LLM-assisted input did not change the current primary pooled-correlation subset.</w:t>
      </w:r>
    </w:p>
    <w:p>
      <w:r>
        <w:t>Not permitted: one pooled full-corpus accuracy denominator, all-construct/all-row SEM substitution stability, autonomous LLM replacement, silent pooling of direct-r/source-flagged/converted rows, or vendor ranking.</w:t>
      </w:r>
    </w:p>
    <w:p>
      <w:pPr>
        <w:pStyle w:val="Heading1"/>
      </w:pPr>
      <w:r>
        <w:t>Team Writing Brief: Literature Review and Discussion</w:t>
      </w:r>
    </w:p>
    <w:p>
      <w:r>
        <w:t>Date: 2026-06-12</w:t>
      </w:r>
    </w:p>
    <w:p>
      <w:r>
        <w:t>Lead owner: Hosung. Lead retains Introduction, Methods, Results, analysis execution, claim boundary, and final integration. Team members should draft only Literature Review and Discussion materials.</w:t>
      </w:r>
    </w:p>
    <w:p>
      <w:pPr>
        <w:pStyle w:val="Heading2"/>
      </w:pPr>
      <w:r>
        <w:t>Paper A Literature Review Assignment</w:t>
      </w:r>
    </w:p>
    <w:p>
      <w:r>
        <w:t>Target length: 1,500 to 2,000 words.</w:t>
      </w:r>
    </w:p>
    <w:p>
      <w:r>
        <w:t>Deliverables:</w:t>
      </w:r>
    </w:p>
    <w:p>
      <w:pPr>
        <w:pStyle w:val="ListBullet"/>
      </w:pPr>
      <w:r>
        <w:t>Define the 10 constructs: PE, EE, SI, FC, ATT, SE, TRU, ANX, BI, UB.</w:t>
      </w:r>
    </w:p>
    <w:p>
      <w:pPr>
        <w:pStyle w:val="ListBullet"/>
      </w:pPr>
      <w:r>
        <w:t>Synthesize TAM, UTAUT, TPB/TRA, and AI-specific trust/anxiety literature.</w:t>
      </w:r>
    </w:p>
    <w:p>
      <w:pPr>
        <w:pStyle w:val="ListBullet"/>
      </w:pPr>
      <w:r>
        <w:t>Explain why attitude remains theoretically important in higher-education AI adoption.</w:t>
      </w:r>
    </w:p>
    <w:p>
      <w:pPr>
        <w:pStyle w:val="ListBullet"/>
      </w:pPr>
      <w:r>
        <w:t>Position the paper against Scherer et al. and broader education-technology MASEM work.</w:t>
      </w:r>
    </w:p>
    <w:p>
      <w:pPr>
        <w:pStyle w:val="ListBullet"/>
      </w:pPr>
      <w:r>
        <w:t>Draft hypotheses or research questions without claiming final path estimates.</w:t>
      </w:r>
    </w:p>
    <w:p>
      <w:r>
        <w:t>Do not write:</w:t>
      </w:r>
    </w:p>
    <w:p>
      <w:pPr>
        <w:pStyle w:val="ListBullet"/>
      </w:pPr>
      <w:r>
        <w:t>Do not report Stage 1 or Stage 2 estimates.</w:t>
      </w:r>
    </w:p>
    <w:p>
      <w:pPr>
        <w:pStyle w:val="ListBullet"/>
      </w:pPr>
      <w:r>
        <w:t>Do not imply every construct pair has strong coverage.</w:t>
      </w:r>
    </w:p>
    <w:p>
      <w:pPr>
        <w:pStyle w:val="ListBullet"/>
      </w:pPr>
      <w:r>
        <w:t>Do not treat converted beta/path values as direct correlations.</w:t>
      </w:r>
    </w:p>
    <w:p>
      <w:pPr>
        <w:pStyle w:val="Heading2"/>
      </w:pPr>
      <w:r>
        <w:t>Paper A Discussion Assignment</w:t>
      </w:r>
    </w:p>
    <w:p>
      <w:r>
        <w:t>Target length after results insertion: 1,500 to 2,000 words.</w:t>
      </w:r>
    </w:p>
    <w:p>
      <w:r>
        <w:t>Deliverables:</w:t>
      </w:r>
    </w:p>
    <w:p>
      <w:pPr>
        <w:pStyle w:val="ListBullet"/>
      </w:pPr>
      <w:r>
        <w:t>Interpret final TSSEM/OSMASEM results after lead inserts estimates.</w:t>
      </w:r>
    </w:p>
    <w:p>
      <w:pPr>
        <w:pStyle w:val="ListBullet"/>
      </w:pPr>
      <w:r>
        <w:t>Discuss theory implications for TAM/UTAUT in AI-specific higher education.</w:t>
      </w:r>
    </w:p>
    <w:p>
      <w:pPr>
        <w:pStyle w:val="ListBullet"/>
      </w:pPr>
      <w:r>
        <w:t>Discuss practical implications for institutions adopting generative or adaptive AI tools.</w:t>
      </w:r>
    </w:p>
    <w:p>
      <w:pPr>
        <w:pStyle w:val="ListBullet"/>
      </w:pPr>
      <w:r>
        <w:t>Discuss limitations: missing sample size, incomplete matrices, source-type sensitivity, construct heterogeneity, publication bias.</w:t>
      </w:r>
    </w:p>
    <w:p>
      <w:pPr>
        <w:pStyle w:val="ListBullet"/>
      </w:pPr>
      <w:r>
        <w:t>Keep implications conditional until final estimates are inserted.</w:t>
      </w:r>
    </w:p>
    <w:p>
      <w:pPr>
        <w:pStyle w:val="Heading2"/>
      </w:pPr>
      <w:r>
        <w:t>Paper B Literature Review Assignment</w:t>
      </w:r>
    </w:p>
    <w:p>
      <w:r>
        <w:t>Target length: 1,500 to 2,000 words.</w:t>
      </w:r>
    </w:p>
    <w:p>
      <w:r>
        <w:t>Deliverables:</w:t>
      </w:r>
    </w:p>
    <w:p>
      <w:pPr>
        <w:pStyle w:val="ListBullet"/>
      </w:pPr>
      <w:r>
        <w:t>Review AI/LLM-assisted data extraction in systematic reviews and meta-analyses.</w:t>
      </w:r>
    </w:p>
    <w:p>
      <w:pPr>
        <w:pStyle w:val="ListBullet"/>
      </w:pPr>
      <w:r>
        <w:t>Emphasize source-anchored reference standards, locked outputs, prompt/model versioning, and human-in-the-loop validation.</w:t>
      </w:r>
    </w:p>
    <w:p>
      <w:pPr>
        <w:pStyle w:val="ListBullet"/>
      </w:pPr>
      <w:r>
        <w:t>Explain why MASEM extraction is harder than simple metadata extraction.</w:t>
      </w:r>
    </w:p>
    <w:p>
      <w:pPr>
        <w:pStyle w:val="ListBullet"/>
      </w:pPr>
      <w:r>
        <w:t>Use task-family and downstream-consequence language rather than one overall denominator.</w:t>
      </w:r>
    </w:p>
    <w:p>
      <w:pPr>
        <w:pStyle w:val="ListBullet"/>
      </w:pPr>
      <w:r>
        <w:t>Position the study in RSM/evidence-synthesis methodology, not only education.</w:t>
      </w:r>
    </w:p>
    <w:p>
      <w:r>
        <w:t>Do not write:</w:t>
      </w:r>
    </w:p>
    <w:p>
      <w:pPr>
        <w:pStyle w:val="ListBullet"/>
      </w:pPr>
      <w:r>
        <w:t>Do not say gold standard.</w:t>
      </w:r>
    </w:p>
    <w:p>
      <w:pPr>
        <w:pStyle w:val="ListBullet"/>
      </w:pPr>
      <w:r>
        <w:t>Do not say the LLM replaces human coders.</w:t>
      </w:r>
    </w:p>
    <w:p>
      <w:pPr>
        <w:pStyle w:val="ListBullet"/>
      </w:pPr>
      <w:r>
        <w:t>Do not rank Codex, Claude, and Gemini as vendors in the main claim.</w:t>
      </w:r>
    </w:p>
    <w:p>
      <w:pPr>
        <w:pStyle w:val="ListBullet"/>
      </w:pPr>
      <w:r>
        <w:t>Do not treat 8,783 task units as one accuracy denominator.</w:t>
      </w:r>
    </w:p>
    <w:p>
      <w:pPr>
        <w:pStyle w:val="ListBullet"/>
      </w:pPr>
      <w:r>
        <w:t>Do not call the 90-row M1-R shard a full-corpus result.</w:t>
      </w:r>
    </w:p>
    <w:p>
      <w:pPr>
        <w:pStyle w:val="Heading2"/>
      </w:pPr>
      <w:r>
        <w:t>Paper B Discussion Assignment</w:t>
      </w:r>
    </w:p>
    <w:p>
      <w:r>
        <w:t>Target length after final gate decision: 1,500 to 2,000 words.</w:t>
      </w:r>
    </w:p>
    <w:p>
      <w:r>
        <w:t>Deliverables:</w:t>
      </w:r>
    </w:p>
    <w:p>
      <w:pPr>
        <w:pStyle w:val="ListBullet"/>
      </w:pPr>
      <w:r>
        <w:t>Interpret augmentation value, review triage, and source-risk visibility.</w:t>
      </w:r>
    </w:p>
    <w:p>
      <w:pPr>
        <w:pStyle w:val="ListBullet"/>
      </w:pPr>
      <w:r>
        <w:t>Explain where the workflow failed: high-consequence numeric extraction and abstention.</w:t>
      </w:r>
    </w:p>
    <w:p>
      <w:pPr>
        <w:pStyle w:val="ListBullet"/>
      </w:pPr>
      <w:r>
        <w:t>Discuss why task-family denominators and source conditions matter for research synthesis.</w:t>
      </w:r>
    </w:p>
    <w:p>
      <w:pPr>
        <w:pStyle w:val="ListBullet"/>
      </w:pPr>
      <w:r>
        <w:t>Discuss OSF/public repository contribution and closed-PDF/private workbook boundaries.</w:t>
      </w:r>
    </w:p>
    <w:p>
      <w:pPr>
        <w:pStyle w:val="ListBullet"/>
      </w:pPr>
      <w:r>
        <w:t>State next-method implications for evidence synthesis teams adopting LLM workflows.</w:t>
      </w:r>
    </w:p>
    <w:p>
      <w:pPr>
        <w:pStyle w:val="Heading2"/>
      </w:pPr>
      <w:r>
        <w:t>Shared Reference Set for Team Authors</w:t>
      </w:r>
    </w:p>
    <w:p>
      <w:pPr>
        <w:pStyle w:val="ListBullet"/>
      </w:pPr>
      <w:r>
        <w:t>Computers &amp; Education guide: https://www.sciencedirect.com/journal/computers-and-education/publish/guide-for-authors</w:t>
      </w:r>
    </w:p>
    <w:p>
      <w:pPr>
        <w:pStyle w:val="ListBullet"/>
      </w:pPr>
      <w:r>
        <w:t>RSM instructions: https://www.cambridge.org/core/journals/research-synthesis-methods/information/author-instructions/preparing-your-materials</w:t>
      </w:r>
    </w:p>
    <w:p>
      <w:pPr>
        <w:pStyle w:val="ListBullet"/>
      </w:pPr>
      <w:r>
        <w:t>Scherer et al. DOI: https://doi.org/10.1016/j.compedu.2018.09.009</w:t>
      </w:r>
    </w:p>
    <w:p>
      <w:pPr>
        <w:pStyle w:val="ListBullet"/>
      </w:pPr>
      <w:r>
        <w:t>Or (2024) DOI: https://doi.org/10.18357/otessaj.2024.4.3.66</w:t>
      </w:r>
    </w:p>
    <w:p>
      <w:pPr>
        <w:pStyle w:val="ListBullet"/>
      </w:pPr>
      <w:r>
        <w:t>Schmidt et al. arXiv: https://arxiv.org/abs/2405.14445</w:t>
      </w:r>
    </w:p>
    <w:p>
      <w:pPr>
        <w:pStyle w:val="ListBullet"/>
      </w:pPr>
      <w:r>
        <w:t>Schroeder et al. arXiv: https://arxiv.org/abs/2501.11840</w:t>
      </w:r>
    </w:p>
    <w:p>
      <w:pPr>
        <w:pStyle w:val="ListBullet"/>
      </w:pPr>
      <w:r>
        <w:t>RSM GenAI guidance DOI: https://doi.org/10.1017/rsm.2025.10058</w:t>
      </w:r>
    </w:p>
    <w:p>
      <w:pPr>
        <w:pStyle w:val="ListBullet"/>
      </w:pPr>
      <w:r>
        <w:t>Paper B OSF: https://osf.io/mkrgd/overview</w:t>
      </w:r>
    </w:p>
    <w:p>
      <w:pPr>
        <w:pStyle w:val="Heading1"/>
      </w:pPr>
      <w:r>
        <w:t>Submission Readiness Gap Register</w:t>
      </w:r>
    </w:p>
    <w:p>
      <w:r>
        <w:t>Date: 2026-06-12</w:t>
      </w:r>
    </w:p>
    <w:p>
      <w:pPr>
        <w:pStyle w:val="Heading2"/>
      </w:pPr>
      <w:r>
        <w:t>P0 Gates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00"/>
        <w:gridCol w:w="2266"/>
        <w:gridCol w:w="3290"/>
        <w:gridCol w:w="2904"/>
      </w:tblGrid>
      <w:tr>
        <w:trPr>
          <w:tblHeader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Paper</w:t>
            </w:r>
          </w:p>
        </w:tc>
        <w:tc>
          <w:tcPr>
            <w:tcW w:type="dxa" w:w="226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Gate</w:t>
            </w:r>
          </w:p>
        </w:tc>
        <w:tc>
          <w:tcPr>
            <w:tcW w:type="dxa" w:w="329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Current state</w:t>
            </w:r>
          </w:p>
        </w:tc>
        <w:tc>
          <w:tcPr>
            <w:tcW w:type="dxa" w:w="290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Required before submission claim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Paper A</w:t>
            </w:r>
          </w:p>
        </w:tc>
        <w:tc>
          <w:tcPr>
            <w:tcW w:type="dxa" w:w="2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N-weighted TSSEM/OSMASEM</w:t>
            </w:r>
          </w:p>
        </w:tc>
        <w:tc>
          <w:tcPr>
            <w:tcW w:type="dxa" w:w="3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754 of 796 usable primary rows lack numeric N</w:t>
            </w:r>
          </w:p>
        </w:tc>
        <w:tc>
          <w:tcPr>
            <w:tcW w:type="dxa" w:w="2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Reconcile sample sizes from source-supported records or approve an N-eligible subset rule specific to Paper A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Paper A</w:t>
            </w:r>
          </w:p>
        </w:tc>
        <w:tc>
          <w:tcPr>
            <w:tcW w:type="dxa" w:w="2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Final inclusion count</w:t>
            </w:r>
          </w:p>
        </w:tc>
        <w:tc>
          <w:tcPr>
            <w:tcW w:type="dxa" w:w="3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Proposal count and working final count are not harmonized in the manuscript</w:t>
            </w:r>
          </w:p>
        </w:tc>
        <w:tc>
          <w:tcPr>
            <w:tcW w:type="dxa" w:w="2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Lock final PRISMA counts and final MASEM-eligible study count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Paper A</w:t>
            </w:r>
          </w:p>
        </w:tc>
        <w:tc>
          <w:tcPr>
            <w:tcW w:type="dxa" w:w="2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Final Stage 1/Stage 2 estimates</w:t>
            </w:r>
          </w:p>
        </w:tc>
        <w:tc>
          <w:tcPr>
            <w:tcW w:type="dxa" w:w="3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Not generated in repo-local submission package</w:t>
            </w:r>
          </w:p>
        </w:tc>
        <w:tc>
          <w:tcPr>
            <w:tcW w:type="dxa" w:w="2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Run 10-construct TSSEM, sensitivity, and moderator analyses after N gate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Paper A</w:t>
            </w:r>
          </w:p>
        </w:tc>
        <w:tc>
          <w:tcPr>
            <w:tcW w:type="dxa" w:w="2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Closed target exemplar PDF</w:t>
            </w:r>
          </w:p>
        </w:tc>
        <w:tc>
          <w:tcPr>
            <w:tcW w:type="dxa" w:w="3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Scherer C&amp;E PDF not available in share-safe workspace</w:t>
            </w:r>
          </w:p>
        </w:tc>
        <w:tc>
          <w:tcPr>
            <w:tcW w:type="dxa" w:w="2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Use PSU access PDF locally for final exact table/figure comparison if needed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Paper B</w:t>
            </w:r>
          </w:p>
        </w:tc>
        <w:tc>
          <w:tcPr>
            <w:tcW w:type="dxa" w:w="2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Full-corpus M1-R expansion</w:t>
            </w:r>
          </w:p>
        </w:tc>
        <w:tc>
          <w:tcPr>
            <w:tcW w:type="dxa" w:w="3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Completed 2,043-row source-packet-required run with exception-aware scoring</w:t>
            </w:r>
          </w:p>
        </w:tc>
        <w:tc>
          <w:tcPr>
            <w:tcW w:type="dxa" w:w="2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Report only by denominator family and exception-aware gate status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Paper B</w:t>
            </w:r>
          </w:p>
        </w:tc>
        <w:tc>
          <w:tcPr>
            <w:tcW w:type="dxa" w:w="2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Full-corpus accuracy claim</w:t>
            </w:r>
          </w:p>
        </w:tc>
        <w:tc>
          <w:tcPr>
            <w:tcW w:type="dxa" w:w="3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Full-corpus denominator-family scoring exists</w:t>
            </w:r>
          </w:p>
        </w:tc>
        <w:tc>
          <w:tcPr>
            <w:tcW w:type="dxa" w:w="2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 not collapse into one pooled accuracy denominator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Paper B</w:t>
            </w:r>
          </w:p>
        </w:tc>
        <w:tc>
          <w:tcPr>
            <w:tcW w:type="dxa" w:w="2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SEM reporting lane</w:t>
            </w:r>
          </w:p>
        </w:tc>
        <w:tc>
          <w:tcPr>
            <w:tcW w:type="dxa" w:w="3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Core-6 diagnostic only selected for current manuscript state</w:t>
            </w:r>
          </w:p>
        </w:tc>
        <w:tc>
          <w:tcPr>
            <w:tcW w:type="dxa" w:w="2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Complete final TSSEM/MASEM specification before any all-construct/all-row claim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Paper B</w:t>
            </w:r>
          </w:p>
        </w:tc>
        <w:tc>
          <w:tcPr>
            <w:tcW w:type="dxa" w:w="2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Closed comparator PDFs</w:t>
            </w:r>
          </w:p>
        </w:tc>
        <w:tc>
          <w:tcPr>
            <w:tcW w:type="dxa" w:w="3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Annals/RSM exact PDF layouts not all locally available</w:t>
            </w:r>
          </w:p>
        </w:tc>
        <w:tc>
          <w:tcPr>
            <w:tcW w:type="dxa" w:w="2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Use PSU access PDFs for exact final table/figure deconstruction if target formatting requires it</w:t>
            </w:r>
          </w:p>
        </w:tc>
      </w:tr>
    </w:tbl>
    <w:p/>
    <w:p>
      <w:pPr>
        <w:pStyle w:val="Heading2"/>
      </w:pPr>
      <w:r>
        <w:t>P1 Build Tasks</w:t>
      </w:r>
    </w:p>
    <w:p>
      <w:pPr>
        <w:pStyle w:val="ListBullet"/>
      </w:pPr>
      <w:r>
        <w:t>Generate Paper A PRISMA diagram after final inclusion lock.</w:t>
      </w:r>
    </w:p>
    <w:p>
      <w:pPr>
        <w:pStyle w:val="ListBullet"/>
      </w:pPr>
      <w:r>
        <w:t>Generate Paper A coverage heatmap and conceptual model figure.</w:t>
      </w:r>
    </w:p>
    <w:p>
      <w:pPr>
        <w:pStyle w:val="ListBullet"/>
      </w:pPr>
      <w:r>
        <w:t>Generate Paper B workflow, scoring architecture, model-provenance, and triage figures.</w:t>
      </w:r>
    </w:p>
    <w:p>
      <w:pPr>
        <w:pStyle w:val="ListBullet"/>
      </w:pPr>
      <w:r>
        <w:t>Convert table spine into final journal-ready Word tables.</w:t>
      </w:r>
    </w:p>
    <w:p>
      <w:pPr>
        <w:pStyle w:val="ListBullet"/>
      </w:pPr>
      <w:r>
        <w:t>Run citation manager cleanup and journal reference style conversion.</w:t>
      </w:r>
    </w:p>
    <w:p>
      <w:pPr>
        <w:pStyle w:val="ListBullet"/>
      </w:pPr>
      <w:r>
        <w:t>Update OSF data-availability text after any new share-safe outputs are added.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