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Calibri" w:hAnsi="Calibri"/>
          <w:b w:val="0"/>
          <w:i w:val="0"/>
          <w:color w:val="6B7280"/>
          <w:sz w:val="18"/>
        </w:rPr>
        <w:t>INTERNAL WORKING DOCUMENT  |  AI Adoption MASEM Project</w:t>
      </w:r>
    </w:p>
    <w:p>
      <w:pPr>
        <w:spacing w:before="160" w:after="100"/>
        <w:jc w:val="center"/>
      </w:pPr>
      <w:r>
        <w:rPr>
          <w:rFonts w:ascii="Calibri" w:hAnsi="Calibri"/>
          <w:b/>
          <w:i w:val="0"/>
          <w:sz w:val="44"/>
        </w:rPr>
        <w:t>Construct Boundary Discussion v2</w:t>
      </w:r>
    </w:p>
    <w:p>
      <w:pPr>
        <w:spacing w:before="40" w:after="280"/>
        <w:jc w:val="center"/>
      </w:pPr>
      <w:r>
        <w:rPr>
          <w:rFonts w:ascii="Calibri" w:hAnsi="Calibri"/>
          <w:b/>
          <w:i w:val="0"/>
          <w:color w:val="1E3A8A"/>
          <w:sz w:val="28"/>
        </w:rPr>
        <w:t>Theoretical and Model-Level Analysis:</w:t>
        <w:br/>
        <w:t>HM/ATT Inclusion Decision and ANX/PR Classification</w:t>
      </w:r>
    </w:p>
    <w:tbl>
      <w:tblPr>
        <w:tblStyle w:val="TableGrid"/>
        <w:tblW w:type="auto" w:w="0"/>
        <w:jc w:val="center"/>
        <w:tblLook w:firstColumn="1" w:firstRow="1" w:lastColumn="0" w:lastRow="0" w:noHBand="0" w:noVBand="1" w:val="04A0"/>
      </w:tblPr>
      <w:tblGrid>
        <w:gridCol w:w="1872"/>
        <w:gridCol w:w="7200"/>
      </w:tblGrid>
      <w:tr>
        <w:tc>
          <w:tcPr>
            <w:tcW w:type="dxa" w:w="4680"/>
            <w:shd w:val="clear" w:color="auto" w:fill="1E3A5F"/>
            <w:vAlign w:val="center"/>
          </w:tcPr>
          <w:p>
            <w:pPr>
              <w:spacing w:before="20" w:after="20"/>
              <w:jc w:val="left"/>
            </w:pPr>
            <w:r>
              <w:rPr>
                <w:rFonts w:ascii="Calibri" w:hAnsi="Calibri"/>
                <w:b/>
                <w:i w:val="0"/>
                <w:color w:val="FFFFFF"/>
                <w:sz w:val="20"/>
              </w:rPr>
              <w:t>Date</w:t>
            </w:r>
          </w:p>
        </w:tc>
        <w:tc>
          <w:tcPr>
            <w:tcW w:type="dxa" w:w="4680"/>
            <w:vAlign w:val="center"/>
          </w:tcPr>
          <w:p>
            <w:pPr>
              <w:spacing w:before="20" w:after="20"/>
              <w:jc w:val="left"/>
            </w:pPr>
            <w:r>
              <w:rPr>
                <w:rFonts w:ascii="Calibri" w:hAnsi="Calibri"/>
                <w:b w:val="0"/>
                <w:i w:val="0"/>
                <w:sz w:val="20"/>
              </w:rPr>
              <w:t>April 13, 2026</w:t>
            </w:r>
          </w:p>
        </w:tc>
      </w:tr>
      <w:tr>
        <w:tc>
          <w:tcPr>
            <w:tcW w:type="dxa" w:w="4680"/>
            <w:shd w:val="clear" w:color="auto" w:fill="1E3A5F"/>
            <w:vAlign w:val="center"/>
          </w:tcPr>
          <w:p>
            <w:pPr>
              <w:spacing w:before="20" w:after="20"/>
              <w:jc w:val="left"/>
            </w:pPr>
            <w:r>
              <w:rPr>
                <w:rFonts w:ascii="Calibri" w:hAnsi="Calibri"/>
                <w:b/>
                <w:i w:val="0"/>
                <w:color w:val="FFFFFF"/>
                <w:sz w:val="20"/>
              </w:rPr>
              <w:t>Status</w:t>
            </w:r>
          </w:p>
        </w:tc>
        <w:tc>
          <w:tcPr>
            <w:tcW w:type="dxa" w:w="4680"/>
            <w:vAlign w:val="center"/>
          </w:tcPr>
          <w:p>
            <w:pPr>
              <w:spacing w:before="20" w:after="20"/>
              <w:jc w:val="left"/>
            </w:pPr>
            <w:r>
              <w:rPr>
                <w:rFonts w:ascii="Calibri" w:hAnsi="Calibri"/>
                <w:b w:val="0"/>
                <w:i w:val="0"/>
                <w:sz w:val="20"/>
              </w:rPr>
              <w:t>Under active discussion -- no decisions recorded</w:t>
            </w:r>
          </w:p>
        </w:tc>
      </w:tr>
      <w:tr>
        <w:tc>
          <w:tcPr>
            <w:tcW w:type="dxa" w:w="4680"/>
            <w:shd w:val="clear" w:color="auto" w:fill="1E3A5F"/>
            <w:vAlign w:val="center"/>
          </w:tcPr>
          <w:p>
            <w:pPr>
              <w:spacing w:before="20" w:after="20"/>
              <w:jc w:val="left"/>
            </w:pPr>
            <w:r>
              <w:rPr>
                <w:rFonts w:ascii="Calibri" w:hAnsi="Calibri"/>
                <w:b/>
                <w:i w:val="0"/>
                <w:color w:val="FFFFFF"/>
                <w:sz w:val="20"/>
              </w:rPr>
              <w:t>PM</w:t>
            </w:r>
          </w:p>
        </w:tc>
        <w:tc>
          <w:tcPr>
            <w:tcW w:type="dxa" w:w="4680"/>
            <w:vAlign w:val="center"/>
          </w:tcPr>
          <w:p>
            <w:pPr>
              <w:spacing w:before="20" w:after="20"/>
              <w:jc w:val="left"/>
            </w:pPr>
            <w:r>
              <w:rPr>
                <w:rFonts w:ascii="Calibri" w:hAnsi="Calibri"/>
                <w:b w:val="0"/>
                <w:i w:val="0"/>
                <w:sz w:val="20"/>
              </w:rPr>
              <w:t>Hosung You</w:t>
            </w:r>
          </w:p>
        </w:tc>
      </w:tr>
      <w:tr>
        <w:tc>
          <w:tcPr>
            <w:tcW w:type="dxa" w:w="4680"/>
            <w:shd w:val="clear" w:color="auto" w:fill="1E3A5F"/>
            <w:vAlign w:val="center"/>
          </w:tcPr>
          <w:p>
            <w:pPr>
              <w:spacing w:before="20" w:after="20"/>
              <w:jc w:val="left"/>
            </w:pPr>
            <w:r>
              <w:rPr>
                <w:rFonts w:ascii="Calibri" w:hAnsi="Calibri"/>
                <w:b/>
                <w:i w:val="0"/>
                <w:color w:val="FFFFFF"/>
                <w:sz w:val="20"/>
              </w:rPr>
              <w:t>Audience</w:t>
            </w:r>
          </w:p>
        </w:tc>
        <w:tc>
          <w:tcPr>
            <w:tcW w:type="dxa" w:w="4680"/>
            <w:vAlign w:val="center"/>
          </w:tcPr>
          <w:p>
            <w:pPr>
              <w:spacing w:before="20" w:after="20"/>
              <w:jc w:val="left"/>
            </w:pPr>
            <w:r>
              <w:rPr>
                <w:rFonts w:ascii="Calibri" w:hAnsi="Calibri"/>
                <w:b w:val="0"/>
                <w:i w:val="0"/>
                <w:sz w:val="20"/>
              </w:rPr>
              <w:t>Internal team only</w:t>
            </w:r>
          </w:p>
        </w:tc>
      </w:tr>
    </w:tbl>
    <w:p>
      <w:pPr>
        <w:spacing w:before="0" w:after="40"/>
        <w:jc w:val="left"/>
      </w:pPr>
      <w:r>
        <w:rPr>
          <w:rFonts w:ascii="Calibri" w:hAnsi="Calibri"/>
          <w:b w:val="0"/>
          <w:i w:val="0"/>
          <w:sz w:val="22"/>
        </w:rPr>
      </w:r>
    </w:p>
    <w:p>
      <w:pPr>
        <w:pStyle w:val="Heading1"/>
        <w:spacing w:before="280" w:after="80"/>
      </w:pPr>
      <w:r>
        <w:rPr>
          <w:color w:val="1E3A8A"/>
          <w:sz w:val="28"/>
        </w:rPr>
        <w:t>1.  Correction: Previous Correlation-Matrix Estimate Was Unreliable</w:t>
      </w:r>
    </w:p>
    <w:p>
      <w:pPr>
        <w:spacing w:before="0" w:after="160"/>
        <w:jc w:val="left"/>
      </w:pPr>
      <w:r>
        <w:rPr>
          <w:rFonts w:ascii="Calibri" w:hAnsi="Calibri"/>
          <w:b w:val="0"/>
          <w:i w:val="0"/>
          <w:sz w:val="21"/>
        </w:rPr>
        <w:t>The prior discussion document (v1) reported only 5 MASEM-viable HM studies based on a narrow keyword search ('pearson correlation', 'correlation matrix'). A re-scan using broader patterns -- Fornell-Larcker tables, HTMT matrices, descriptive-statistics-plus-correlation tables -- reveals that 43 of 47 HM-operationalized studies report some form of inter-construct correlation. The '5 viable' figure is retracted. The analysis below replaces it with construct co-occurrence counts, which are the binding MASEM constraint.</w:t>
      </w:r>
    </w:p>
    <w:tbl>
      <w:tblPr>
        <w:tblStyle w:val="TableGrid"/>
        <w:tblW w:type="auto" w:w="0"/>
        <w:jc w:val="left"/>
        <w:tblLook w:firstColumn="1" w:firstRow="1" w:lastColumn="0" w:lastRow="0" w:noHBand="0" w:noVBand="1" w:val="04A0"/>
      </w:tblPr>
      <w:tblGrid>
        <w:gridCol w:w="4608"/>
        <w:gridCol w:w="1728"/>
        <w:gridCol w:w="3024"/>
      </w:tblGrid>
      <w:tr>
        <w:tc>
          <w:tcPr>
            <w:tcW w:type="dxa" w:w="3120"/>
            <w:shd w:val="clear" w:color="auto" w:fill="1E3A5F"/>
            <w:vAlign w:val="center"/>
          </w:tcPr>
          <w:p>
            <w:pPr>
              <w:spacing w:before="20" w:after="20"/>
              <w:jc w:val="left"/>
            </w:pPr>
            <w:r>
              <w:rPr>
                <w:rFonts w:ascii="Calibri" w:hAnsi="Calibri"/>
                <w:b/>
                <w:i w:val="0"/>
                <w:color w:val="FFFFFF"/>
                <w:sz w:val="20"/>
              </w:rPr>
              <w:t>Detection method</w:t>
            </w:r>
          </w:p>
        </w:tc>
        <w:tc>
          <w:tcPr>
            <w:tcW w:type="dxa" w:w="3120"/>
            <w:shd w:val="clear" w:color="auto" w:fill="1E3A5F"/>
            <w:vAlign w:val="center"/>
          </w:tcPr>
          <w:p>
            <w:pPr>
              <w:spacing w:before="20" w:after="20"/>
              <w:jc w:val="left"/>
            </w:pPr>
            <w:r>
              <w:rPr>
                <w:rFonts w:ascii="Calibri" w:hAnsi="Calibri"/>
                <w:b/>
                <w:i w:val="0"/>
                <w:color w:val="FFFFFF"/>
                <w:sz w:val="20"/>
              </w:rPr>
              <w:t>HM studies with correlation data</w:t>
            </w:r>
          </w:p>
        </w:tc>
        <w:tc>
          <w:tcPr>
            <w:tcW w:type="dxa" w:w="3120"/>
            <w:shd w:val="clear" w:color="auto" w:fill="1E3A5F"/>
            <w:vAlign w:val="center"/>
          </w:tcPr>
          <w:p>
            <w:pPr>
              <w:spacing w:before="20" w:after="20"/>
              <w:jc w:val="left"/>
            </w:pPr>
            <w:r>
              <w:rPr>
                <w:rFonts w:ascii="Calibri" w:hAnsi="Calibri"/>
                <w:b/>
                <w:i w:val="0"/>
                <w:color w:val="FFFFFF"/>
                <w:sz w:val="20"/>
              </w:rPr>
              <w:t>Note</w:t>
            </w:r>
          </w:p>
        </w:tc>
      </w:tr>
      <w:tr>
        <w:tc>
          <w:tcPr>
            <w:tcW w:type="dxa" w:w="3120"/>
            <w:shd w:val="clear" w:color="auto" w:fill="FEE2E2"/>
            <w:vAlign w:val="center"/>
          </w:tcPr>
          <w:p>
            <w:pPr>
              <w:spacing w:before="20" w:after="20"/>
              <w:jc w:val="left"/>
            </w:pPr>
            <w:r>
              <w:rPr>
                <w:rFonts w:ascii="Calibri" w:hAnsi="Calibri"/>
                <w:b w:val="0"/>
                <w:i w:val="0"/>
                <w:sz w:val="19"/>
              </w:rPr>
              <w:t>Narrow: 'pearson correlation', 'correlation matrix' keywords only</w:t>
            </w:r>
          </w:p>
        </w:tc>
        <w:tc>
          <w:tcPr>
            <w:tcW w:type="dxa" w:w="3120"/>
            <w:shd w:val="clear" w:color="auto" w:fill="FEE2E2"/>
            <w:vAlign w:val="center"/>
          </w:tcPr>
          <w:p>
            <w:pPr>
              <w:spacing w:before="20" w:after="20"/>
              <w:jc w:val="left"/>
            </w:pPr>
            <w:r>
              <w:rPr>
                <w:rFonts w:ascii="Calibri" w:hAnsi="Calibri"/>
                <w:b/>
                <w:i w:val="0"/>
                <w:color w:val="7F1D1D"/>
                <w:sz w:val="19"/>
              </w:rPr>
              <w:t>6</w:t>
            </w:r>
          </w:p>
        </w:tc>
        <w:tc>
          <w:tcPr>
            <w:tcW w:type="dxa" w:w="3120"/>
            <w:shd w:val="clear" w:color="auto" w:fill="FEE2E2"/>
            <w:vAlign w:val="center"/>
          </w:tcPr>
          <w:p>
            <w:pPr>
              <w:spacing w:before="20" w:after="20"/>
              <w:jc w:val="left"/>
            </w:pPr>
            <w:r>
              <w:rPr>
                <w:rFonts w:ascii="Calibri" w:hAnsi="Calibri"/>
                <w:b w:val="0"/>
                <w:i/>
                <w:color w:val="7F1D1D"/>
                <w:sz w:val="19"/>
              </w:rPr>
              <w:t>Original estimate -- RETRACTED</w:t>
            </w:r>
          </w:p>
        </w:tc>
      </w:tr>
      <w:tr>
        <w:tc>
          <w:tcPr>
            <w:tcW w:type="dxa" w:w="3120"/>
            <w:shd w:val="clear" w:color="auto" w:fill="DCFCE7"/>
            <w:vAlign w:val="center"/>
          </w:tcPr>
          <w:p>
            <w:pPr>
              <w:spacing w:before="20" w:after="20"/>
              <w:jc w:val="left"/>
            </w:pPr>
            <w:r>
              <w:rPr>
                <w:rFonts w:ascii="Calibri" w:hAnsi="Calibri"/>
                <w:b w:val="0"/>
                <w:i w:val="0"/>
                <w:sz w:val="19"/>
              </w:rPr>
              <w:t>Broad: Fornell-Larcker, HTMT, descriptive stats + r values, 'construct correlation'</w:t>
            </w:r>
          </w:p>
        </w:tc>
        <w:tc>
          <w:tcPr>
            <w:tcW w:type="dxa" w:w="3120"/>
            <w:shd w:val="clear" w:color="auto" w:fill="DCFCE7"/>
            <w:vAlign w:val="center"/>
          </w:tcPr>
          <w:p>
            <w:pPr>
              <w:spacing w:before="20" w:after="20"/>
              <w:jc w:val="left"/>
            </w:pPr>
            <w:r>
              <w:rPr>
                <w:rFonts w:ascii="Calibri" w:hAnsi="Calibri"/>
                <w:b/>
                <w:i w:val="0"/>
                <w:color w:val="16A34A"/>
                <w:sz w:val="19"/>
              </w:rPr>
              <w:t>43 / 47</w:t>
            </w:r>
          </w:p>
        </w:tc>
        <w:tc>
          <w:tcPr>
            <w:tcW w:type="dxa" w:w="3120"/>
            <w:shd w:val="clear" w:color="auto" w:fill="DCFCE7"/>
            <w:vAlign w:val="center"/>
          </w:tcPr>
          <w:p>
            <w:pPr>
              <w:spacing w:before="20" w:after="20"/>
              <w:jc w:val="left"/>
            </w:pPr>
            <w:r>
              <w:rPr>
                <w:rFonts w:ascii="Calibri" w:hAnsi="Calibri"/>
                <w:b w:val="0"/>
                <w:i w:val="0"/>
                <w:sz w:val="19"/>
              </w:rPr>
              <w:t>Revised estimate</w:t>
            </w:r>
          </w:p>
        </w:tc>
      </w:tr>
      <w:tr>
        <w:tc>
          <w:tcPr>
            <w:tcW w:type="dxa" w:w="3120"/>
            <w:shd w:val="clear" w:color="auto" w:fill="F1F5F9"/>
            <w:vAlign w:val="center"/>
          </w:tcPr>
          <w:p>
            <w:pPr>
              <w:spacing w:before="20" w:after="20"/>
              <w:jc w:val="left"/>
            </w:pPr>
            <w:r>
              <w:rPr>
                <w:rFonts w:ascii="Calibri" w:hAnsi="Calibri"/>
                <w:b w:val="0"/>
                <w:i w:val="0"/>
                <w:sz w:val="19"/>
              </w:rPr>
              <w:t>HM r-values detected in proximity of HM text</w:t>
            </w:r>
          </w:p>
        </w:tc>
        <w:tc>
          <w:tcPr>
            <w:tcW w:type="dxa" w:w="3120"/>
            <w:shd w:val="clear" w:color="auto" w:fill="F1F5F9"/>
            <w:vAlign w:val="center"/>
          </w:tcPr>
          <w:p>
            <w:pPr>
              <w:spacing w:before="20" w:after="20"/>
              <w:jc w:val="left"/>
            </w:pPr>
            <w:r>
              <w:rPr>
                <w:rFonts w:ascii="Calibri" w:hAnsi="Calibri"/>
                <w:b w:val="0"/>
                <w:i w:val="0"/>
                <w:sz w:val="19"/>
              </w:rPr>
              <w:t>29 / 47</w:t>
            </w:r>
          </w:p>
        </w:tc>
        <w:tc>
          <w:tcPr>
            <w:tcW w:type="dxa" w:w="3120"/>
            <w:shd w:val="clear" w:color="auto" w:fill="F1F5F9"/>
            <w:vAlign w:val="center"/>
          </w:tcPr>
          <w:p>
            <w:pPr>
              <w:spacing w:before="20" w:after="20"/>
              <w:jc w:val="left"/>
            </w:pPr>
            <w:r>
              <w:rPr>
                <w:rFonts w:ascii="Calibri" w:hAnsi="Calibri"/>
                <w:b w:val="0"/>
                <w:i w:val="0"/>
                <w:sz w:val="19"/>
              </w:rPr>
              <w:t>Intermediate confirmation</w:t>
            </w:r>
          </w:p>
        </w:tc>
      </w:tr>
      <w:tr>
        <w:tc>
          <w:tcPr>
            <w:tcW w:type="dxa" w:w="3120"/>
            <w:shd w:val="clear" w:color="auto" w:fill="FFFFFF"/>
            <w:vAlign w:val="center"/>
          </w:tcPr>
          <w:p>
            <w:pPr>
              <w:spacing w:before="20" w:after="20"/>
              <w:jc w:val="left"/>
            </w:pPr>
            <w:r>
              <w:rPr>
                <w:rFonts w:ascii="Calibri" w:hAnsi="Calibri"/>
                <w:b w:val="0"/>
                <w:i w:val="0"/>
                <w:sz w:val="19"/>
              </w:rPr>
              <w:t>PLS-SEM studies (Fornell-Larcker correlations usable for MASEM)</w:t>
            </w:r>
          </w:p>
        </w:tc>
        <w:tc>
          <w:tcPr>
            <w:tcW w:type="dxa" w:w="3120"/>
            <w:shd w:val="clear" w:color="auto" w:fill="FFFFFF"/>
            <w:vAlign w:val="center"/>
          </w:tcPr>
          <w:p>
            <w:pPr>
              <w:spacing w:before="20" w:after="20"/>
              <w:jc w:val="left"/>
            </w:pPr>
            <w:r>
              <w:rPr>
                <w:rFonts w:ascii="Calibri" w:hAnsi="Calibri"/>
                <w:b w:val="0"/>
                <w:i w:val="0"/>
                <w:sz w:val="19"/>
              </w:rPr>
              <w:t>40 / 47</w:t>
            </w:r>
          </w:p>
        </w:tc>
        <w:tc>
          <w:tcPr>
            <w:tcW w:type="dxa" w:w="3120"/>
            <w:shd w:val="clear" w:color="auto" w:fill="FFFFFF"/>
            <w:vAlign w:val="center"/>
          </w:tcPr>
          <w:p>
            <w:pPr>
              <w:spacing w:before="20" w:after="20"/>
              <w:jc w:val="left"/>
            </w:pPr>
            <w:r>
              <w:rPr>
                <w:rFonts w:ascii="Calibri" w:hAnsi="Calibri"/>
                <w:b w:val="0"/>
                <w:i w:val="0"/>
                <w:sz w:val="19"/>
              </w:rPr>
              <w:t>PLS-SEM is NOT a disqualifier per se -- see Section 2</w:t>
            </w:r>
          </w:p>
        </w:tc>
      </w:tr>
    </w:tbl>
    <w:p>
      <w:pPr>
        <w:spacing w:before="0" w:after="200"/>
        <w:jc w:val="left"/>
      </w:pPr>
      <w:r>
        <w:rPr>
          <w:rFonts w:ascii="Calibri" w:hAnsi="Calibri"/>
          <w:b w:val="0"/>
          <w:i/>
          <w:color w:val="6B7280"/>
          <w:sz w:val="18"/>
        </w:rPr>
        <w:t>Table 1. Correlation detection: narrow vs. revised broad estimate.</w:t>
      </w:r>
    </w:p>
    <w:p>
      <w:r>
        <w:br w:type="page"/>
      </w:r>
    </w:p>
    <w:p>
      <w:pPr>
        <w:pStyle w:val="Heading1"/>
        <w:spacing w:before="280" w:after="80"/>
      </w:pPr>
      <w:r>
        <w:rPr>
          <w:color w:val="1E3A8A"/>
          <w:sz w:val="28"/>
        </w:rPr>
        <w:t>2.  The Real MASEM Constraint: Construct Co-occurrence</w:t>
      </w:r>
    </w:p>
    <w:p>
      <w:pPr>
        <w:spacing w:before="0" w:after="120"/>
        <w:jc w:val="left"/>
      </w:pPr>
      <w:r>
        <w:rPr>
          <w:rFonts w:ascii="Calibri" w:hAnsi="Calibri"/>
          <w:b w:val="0"/>
          <w:i w:val="0"/>
          <w:sz w:val="21"/>
        </w:rPr>
        <w:t>For MASEM Stage 1, we do not merely need a correlation matrix within a study; we need correlations between HM and every other construct in the target model. The binding question is therefore: among studies that operationalize HM, how many also operationalize each of the 10 constructs already in the model? Figure 1 shows the full co-occurrence pattern across all 47 HM studies.</w:t>
      </w:r>
    </w:p>
    <w:p>
      <w:pPr>
        <w:jc w:val="center"/>
      </w:pPr>
      <w:r>
        <w:drawing>
          <wp:inline xmlns:a="http://schemas.openxmlformats.org/drawingml/2006/main" xmlns:pic="http://schemas.openxmlformats.org/drawingml/2006/picture">
            <wp:extent cx="5486400" cy="4993127"/>
            <wp:docPr id="1" name="Picture 1"/>
            <wp:cNvGraphicFramePr>
              <a:graphicFrameLocks noChangeAspect="1"/>
            </wp:cNvGraphicFramePr>
            <a:graphic>
              <a:graphicData uri="http://schemas.openxmlformats.org/drawingml/2006/picture">
                <pic:pic>
                  <pic:nvPicPr>
                    <pic:cNvPr id="0" name="fig1_cooccurrence_heatmap.png"/>
                    <pic:cNvPicPr/>
                  </pic:nvPicPr>
                  <pic:blipFill>
                    <a:blip r:embed="rId9"/>
                    <a:stretch>
                      <a:fillRect/>
                    </a:stretch>
                  </pic:blipFill>
                  <pic:spPr>
                    <a:xfrm>
                      <a:off x="0" y="0"/>
                      <a:ext cx="5486400" cy="4993127"/>
                    </a:xfrm>
                    <a:prstGeom prst="rect"/>
                  </pic:spPr>
                </pic:pic>
              </a:graphicData>
            </a:graphic>
          </wp:inline>
        </w:drawing>
      </w:r>
    </w:p>
    <w:p>
      <w:pPr>
        <w:spacing w:after="200"/>
        <w:jc w:val="center"/>
      </w:pPr>
      <w:r>
        <w:rPr>
          <w:rFonts w:ascii="Calibri" w:hAnsi="Calibri"/>
          <w:b w:val="0"/>
          <w:i/>
          <w:color w:val="6B7280"/>
          <w:sz w:val="18"/>
        </w:rPr>
        <w:t>Figure 1.  Construct co-occurrence in 47 HM-operationalized studies. Blue = construct measured. Red boxes = AI-specific constructs (TRU, ANX). Dashed line separates AI-specific camp (top) from pure UTAUT2 camp (bottom).</w:t>
      </w:r>
    </w:p>
    <w:p>
      <w:pPr>
        <w:pStyle w:val="Heading2"/>
        <w:spacing w:before="200" w:after="80"/>
      </w:pPr>
      <w:r>
        <w:rPr>
          <w:color w:val="2563EB"/>
          <w:sz w:val="24"/>
        </w:rPr>
        <w:t>2.1  The Two-Camp Divide</w:t>
      </w:r>
    </w:p>
    <w:p>
      <w:pPr>
        <w:spacing w:before="0" w:after="120"/>
        <w:jc w:val="left"/>
      </w:pPr>
      <w:r>
        <w:rPr>
          <w:rFonts w:ascii="Calibri" w:hAnsi="Calibri"/>
          <w:b w:val="0"/>
          <w:i w:val="0"/>
          <w:sz w:val="21"/>
        </w:rPr>
        <w:t>Figure 1 reveals a clear structural divide in the literature. Studies that measure HM overwhelmingly belong to the UTAUT2 tradition and do NOT measure Trust (TRU) or Anxiety (ANX). Studies that do measure TRU and ANX are AI-specific in orientation and rarely include HM. This is not a data-quality problem -- it reflects two distinct theoretical traditions that have not converged in the empirical literature.</w:t>
      </w:r>
    </w:p>
    <w:tbl>
      <w:tblPr>
        <w:tblStyle w:val="TableGrid"/>
        <w:tblW w:type="auto" w:w="0"/>
        <w:jc w:val="left"/>
        <w:tblLook w:firstColumn="1" w:firstRow="1" w:lastColumn="0" w:lastRow="0" w:noHBand="0" w:noVBand="1" w:val="04A0"/>
      </w:tblPr>
      <w:tblGrid>
        <w:gridCol w:w="2160"/>
        <w:gridCol w:w="1584"/>
        <w:gridCol w:w="2880"/>
        <w:gridCol w:w="2880"/>
      </w:tblGrid>
      <w:tr>
        <w:tc>
          <w:tcPr>
            <w:tcW w:type="dxa" w:w="2340"/>
            <w:shd w:val="clear" w:color="auto" w:fill="1E3A5F"/>
            <w:vAlign w:val="center"/>
          </w:tcPr>
          <w:p>
            <w:pPr>
              <w:spacing w:before="20" w:after="20"/>
              <w:jc w:val="left"/>
            </w:pPr>
            <w:r>
              <w:rPr>
                <w:rFonts w:ascii="Calibri" w:hAnsi="Calibri"/>
                <w:b/>
                <w:i w:val="0"/>
                <w:color w:val="FFFFFF"/>
                <w:sz w:val="20"/>
              </w:rPr>
              <w:t>Cell (HM paired with)</w:t>
            </w:r>
          </w:p>
        </w:tc>
        <w:tc>
          <w:tcPr>
            <w:tcW w:type="dxa" w:w="2340"/>
            <w:shd w:val="clear" w:color="auto" w:fill="1E3A5F"/>
            <w:vAlign w:val="center"/>
          </w:tcPr>
          <w:p>
            <w:pPr>
              <w:spacing w:before="20" w:after="20"/>
              <w:jc w:val="left"/>
            </w:pPr>
            <w:r>
              <w:rPr>
                <w:rFonts w:ascii="Calibri" w:hAnsi="Calibri"/>
                <w:b/>
                <w:i w:val="0"/>
                <w:color w:val="FFFFFF"/>
                <w:sz w:val="20"/>
              </w:rPr>
              <w:t>k (studies co-measuring both)</w:t>
            </w:r>
          </w:p>
        </w:tc>
        <w:tc>
          <w:tcPr>
            <w:tcW w:type="dxa" w:w="2340"/>
            <w:shd w:val="clear" w:color="auto" w:fill="1E3A5F"/>
            <w:vAlign w:val="center"/>
          </w:tcPr>
          <w:p>
            <w:pPr>
              <w:spacing w:before="20" w:after="20"/>
              <w:jc w:val="left"/>
            </w:pPr>
            <w:r>
              <w:rPr>
                <w:rFonts w:ascii="Calibri" w:hAnsi="Calibri"/>
                <w:b/>
                <w:i w:val="0"/>
                <w:color w:val="FFFFFF"/>
                <w:sz w:val="20"/>
              </w:rPr>
              <w:t>vs. current model minimum</w:t>
            </w:r>
          </w:p>
        </w:tc>
        <w:tc>
          <w:tcPr>
            <w:tcW w:type="dxa" w:w="2340"/>
            <w:shd w:val="clear" w:color="auto" w:fill="1E3A5F"/>
            <w:vAlign w:val="center"/>
          </w:tcPr>
          <w:p>
            <w:pPr>
              <w:spacing w:before="20" w:after="20"/>
              <w:jc w:val="left"/>
            </w:pPr>
            <w:r>
              <w:rPr>
                <w:rFonts w:ascii="Calibri" w:hAnsi="Calibri"/>
                <w:b/>
                <w:i w:val="0"/>
                <w:color w:val="FFFFFF"/>
                <w:sz w:val="20"/>
              </w:rPr>
              <w:t>Assessment</w:t>
            </w:r>
          </w:p>
        </w:tc>
      </w:tr>
      <w:tr>
        <w:tc>
          <w:tcPr>
            <w:tcW w:type="dxa" w:w="2340"/>
            <w:shd w:val="clear" w:color="auto" w:fill="F1F5F9"/>
            <w:vAlign w:val="center"/>
          </w:tcPr>
          <w:p>
            <w:pPr>
              <w:spacing w:before="20" w:after="20"/>
              <w:jc w:val="left"/>
            </w:pPr>
            <w:r>
              <w:rPr>
                <w:rFonts w:ascii="Calibri" w:hAnsi="Calibri"/>
                <w:b w:val="0"/>
                <w:i w:val="0"/>
                <w:sz w:val="19"/>
              </w:rPr>
              <w:t>PE</w:t>
            </w:r>
          </w:p>
        </w:tc>
        <w:tc>
          <w:tcPr>
            <w:tcW w:type="dxa" w:w="2340"/>
            <w:shd w:val="clear" w:color="auto" w:fill="F1F5F9"/>
            <w:vAlign w:val="center"/>
          </w:tcPr>
          <w:p>
            <w:pPr>
              <w:spacing w:before="20" w:after="20"/>
              <w:jc w:val="left"/>
            </w:pPr>
            <w:r>
              <w:rPr>
                <w:rFonts w:ascii="Calibri" w:hAnsi="Calibri"/>
                <w:b/>
                <w:i w:val="0"/>
                <w:sz w:val="19"/>
              </w:rPr>
              <w:t>44</w:t>
            </w:r>
          </w:p>
        </w:tc>
        <w:tc>
          <w:tcPr>
            <w:tcW w:type="dxa" w:w="2340"/>
            <w:shd w:val="clear" w:color="auto" w:fill="F1F5F9"/>
            <w:vAlign w:val="center"/>
          </w:tcPr>
          <w:p>
            <w:pPr>
              <w:spacing w:before="20" w:after="20"/>
              <w:jc w:val="left"/>
            </w:pPr>
            <w:r>
              <w:rPr>
                <w:rFonts w:ascii="Calibri" w:hAnsi="Calibri"/>
                <w:b w:val="0"/>
                <w:i w:val="0"/>
                <w:sz w:val="19"/>
              </w:rPr>
              <w:t>PE: k=186 standalone</w:t>
            </w:r>
          </w:p>
        </w:tc>
        <w:tc>
          <w:tcPr>
            <w:tcW w:type="dxa" w:w="2340"/>
            <w:shd w:val="clear" w:color="auto" w:fill="F1F5F9"/>
            <w:vAlign w:val="center"/>
          </w:tcPr>
          <w:p>
            <w:pPr>
              <w:spacing w:before="20" w:after="20"/>
              <w:jc w:val="left"/>
            </w:pPr>
            <w:r>
              <w:rPr>
                <w:rFonts w:ascii="Calibri" w:hAnsi="Calibri"/>
                <w:b w:val="0"/>
                <w:i w:val="0"/>
                <w:color w:val="16A34A"/>
                <w:sz w:val="19"/>
              </w:rPr>
              <w:t>Adequate</w:t>
            </w:r>
          </w:p>
        </w:tc>
      </w:tr>
      <w:tr>
        <w:tc>
          <w:tcPr>
            <w:tcW w:type="dxa" w:w="2340"/>
            <w:shd w:val="clear" w:color="auto" w:fill="FFFFFF"/>
            <w:vAlign w:val="center"/>
          </w:tcPr>
          <w:p>
            <w:pPr>
              <w:spacing w:before="20" w:after="20"/>
              <w:jc w:val="left"/>
            </w:pPr>
            <w:r>
              <w:rPr>
                <w:rFonts w:ascii="Calibri" w:hAnsi="Calibri"/>
                <w:b w:val="0"/>
                <w:i w:val="0"/>
                <w:sz w:val="19"/>
              </w:rPr>
              <w:t>EE</w:t>
            </w:r>
          </w:p>
        </w:tc>
        <w:tc>
          <w:tcPr>
            <w:tcW w:type="dxa" w:w="2340"/>
            <w:shd w:val="clear" w:color="auto" w:fill="FFFFFF"/>
            <w:vAlign w:val="center"/>
          </w:tcPr>
          <w:p>
            <w:pPr>
              <w:spacing w:before="20" w:after="20"/>
              <w:jc w:val="left"/>
            </w:pPr>
            <w:r>
              <w:rPr>
                <w:rFonts w:ascii="Calibri" w:hAnsi="Calibri"/>
                <w:b/>
                <w:i w:val="0"/>
                <w:sz w:val="19"/>
              </w:rPr>
              <w:t>42</w:t>
            </w:r>
          </w:p>
        </w:tc>
        <w:tc>
          <w:tcPr>
            <w:tcW w:type="dxa" w:w="2340"/>
            <w:shd w:val="clear" w:color="auto" w:fill="FFFFFF"/>
            <w:vAlign w:val="center"/>
          </w:tcPr>
          <w:p>
            <w:pPr>
              <w:spacing w:before="20" w:after="20"/>
              <w:jc w:val="left"/>
            </w:pPr>
            <w:r>
              <w:rPr>
                <w:rFonts w:ascii="Calibri" w:hAnsi="Calibri"/>
                <w:b w:val="0"/>
                <w:i w:val="0"/>
                <w:sz w:val="19"/>
              </w:rPr>
              <w:t>EE: k=162 standalone</w:t>
            </w:r>
          </w:p>
        </w:tc>
        <w:tc>
          <w:tcPr>
            <w:tcW w:type="dxa" w:w="2340"/>
            <w:shd w:val="clear" w:color="auto" w:fill="FFFFFF"/>
            <w:vAlign w:val="center"/>
          </w:tcPr>
          <w:p>
            <w:pPr>
              <w:spacing w:before="20" w:after="20"/>
              <w:jc w:val="left"/>
            </w:pPr>
            <w:r>
              <w:rPr>
                <w:rFonts w:ascii="Calibri" w:hAnsi="Calibri"/>
                <w:b w:val="0"/>
                <w:i w:val="0"/>
                <w:color w:val="16A34A"/>
                <w:sz w:val="19"/>
              </w:rPr>
              <w:t>Adequate</w:t>
            </w:r>
          </w:p>
        </w:tc>
      </w:tr>
      <w:tr>
        <w:tc>
          <w:tcPr>
            <w:tcW w:type="dxa" w:w="2340"/>
            <w:shd w:val="clear" w:color="auto" w:fill="F1F5F9"/>
            <w:vAlign w:val="center"/>
          </w:tcPr>
          <w:p>
            <w:pPr>
              <w:spacing w:before="20" w:after="20"/>
              <w:jc w:val="left"/>
            </w:pPr>
            <w:r>
              <w:rPr>
                <w:rFonts w:ascii="Calibri" w:hAnsi="Calibri"/>
                <w:b w:val="0"/>
                <w:i w:val="0"/>
                <w:sz w:val="19"/>
              </w:rPr>
              <w:t>SI</w:t>
            </w:r>
          </w:p>
        </w:tc>
        <w:tc>
          <w:tcPr>
            <w:tcW w:type="dxa" w:w="2340"/>
            <w:shd w:val="clear" w:color="auto" w:fill="F1F5F9"/>
            <w:vAlign w:val="center"/>
          </w:tcPr>
          <w:p>
            <w:pPr>
              <w:spacing w:before="20" w:after="20"/>
              <w:jc w:val="left"/>
            </w:pPr>
            <w:r>
              <w:rPr>
                <w:rFonts w:ascii="Calibri" w:hAnsi="Calibri"/>
                <w:b/>
                <w:i w:val="0"/>
                <w:sz w:val="19"/>
              </w:rPr>
              <w:t>40</w:t>
            </w:r>
          </w:p>
        </w:tc>
        <w:tc>
          <w:tcPr>
            <w:tcW w:type="dxa" w:w="2340"/>
            <w:shd w:val="clear" w:color="auto" w:fill="F1F5F9"/>
            <w:vAlign w:val="center"/>
          </w:tcPr>
          <w:p>
            <w:pPr>
              <w:spacing w:before="20" w:after="20"/>
              <w:jc w:val="left"/>
            </w:pPr>
            <w:r>
              <w:rPr>
                <w:rFonts w:ascii="Calibri" w:hAnsi="Calibri"/>
                <w:b w:val="0"/>
                <w:i w:val="0"/>
                <w:sz w:val="19"/>
              </w:rPr>
              <w:t>SI: k=114 standalone</w:t>
            </w:r>
          </w:p>
        </w:tc>
        <w:tc>
          <w:tcPr>
            <w:tcW w:type="dxa" w:w="2340"/>
            <w:shd w:val="clear" w:color="auto" w:fill="F1F5F9"/>
            <w:vAlign w:val="center"/>
          </w:tcPr>
          <w:p>
            <w:pPr>
              <w:spacing w:before="20" w:after="20"/>
              <w:jc w:val="left"/>
            </w:pPr>
            <w:r>
              <w:rPr>
                <w:rFonts w:ascii="Calibri" w:hAnsi="Calibri"/>
                <w:b w:val="0"/>
                <w:i w:val="0"/>
                <w:color w:val="16A34A"/>
                <w:sz w:val="19"/>
              </w:rPr>
              <w:t>Adequate</w:t>
            </w:r>
          </w:p>
        </w:tc>
      </w:tr>
      <w:tr>
        <w:tc>
          <w:tcPr>
            <w:tcW w:type="dxa" w:w="2340"/>
            <w:shd w:val="clear" w:color="auto" w:fill="FFFFFF"/>
            <w:vAlign w:val="center"/>
          </w:tcPr>
          <w:p>
            <w:pPr>
              <w:spacing w:before="20" w:after="20"/>
              <w:jc w:val="left"/>
            </w:pPr>
            <w:r>
              <w:rPr>
                <w:rFonts w:ascii="Calibri" w:hAnsi="Calibri"/>
                <w:b w:val="0"/>
                <w:i w:val="0"/>
                <w:sz w:val="19"/>
              </w:rPr>
              <w:t>ATT</w:t>
            </w:r>
          </w:p>
        </w:tc>
        <w:tc>
          <w:tcPr>
            <w:tcW w:type="dxa" w:w="2340"/>
            <w:shd w:val="clear" w:color="auto" w:fill="FFFFFF"/>
            <w:vAlign w:val="center"/>
          </w:tcPr>
          <w:p>
            <w:pPr>
              <w:spacing w:before="20" w:after="20"/>
              <w:jc w:val="left"/>
            </w:pPr>
            <w:r>
              <w:rPr>
                <w:rFonts w:ascii="Calibri" w:hAnsi="Calibri"/>
                <w:b/>
                <w:i w:val="0"/>
                <w:sz w:val="19"/>
              </w:rPr>
              <w:t>38</w:t>
            </w:r>
          </w:p>
        </w:tc>
        <w:tc>
          <w:tcPr>
            <w:tcW w:type="dxa" w:w="2340"/>
            <w:shd w:val="clear" w:color="auto" w:fill="FFFFFF"/>
            <w:vAlign w:val="center"/>
          </w:tcPr>
          <w:p>
            <w:pPr>
              <w:spacing w:before="20" w:after="20"/>
              <w:jc w:val="left"/>
            </w:pPr>
            <w:r>
              <w:rPr>
                <w:rFonts w:ascii="Calibri" w:hAnsi="Calibri"/>
                <w:b w:val="0"/>
                <w:i w:val="0"/>
                <w:sz w:val="19"/>
              </w:rPr>
              <w:t>ATT: k=81 standalone</w:t>
            </w:r>
          </w:p>
        </w:tc>
        <w:tc>
          <w:tcPr>
            <w:tcW w:type="dxa" w:w="2340"/>
            <w:shd w:val="clear" w:color="auto" w:fill="FFFFFF"/>
            <w:vAlign w:val="center"/>
          </w:tcPr>
          <w:p>
            <w:pPr>
              <w:spacing w:before="20" w:after="20"/>
              <w:jc w:val="left"/>
            </w:pPr>
            <w:r>
              <w:rPr>
                <w:rFonts w:ascii="Calibri" w:hAnsi="Calibri"/>
                <w:b w:val="0"/>
                <w:i w:val="0"/>
                <w:color w:val="D97706"/>
                <w:sz w:val="19"/>
              </w:rPr>
              <w:t>Adequate -- but see Section 4 on ATT-HM collinearity</w:t>
            </w:r>
          </w:p>
        </w:tc>
      </w:tr>
      <w:tr>
        <w:tc>
          <w:tcPr>
            <w:tcW w:type="dxa" w:w="2340"/>
            <w:shd w:val="clear" w:color="auto" w:fill="F1F5F9"/>
            <w:vAlign w:val="center"/>
          </w:tcPr>
          <w:p>
            <w:pPr>
              <w:spacing w:before="20" w:after="20"/>
              <w:jc w:val="left"/>
            </w:pPr>
            <w:r>
              <w:rPr>
                <w:rFonts w:ascii="Calibri" w:hAnsi="Calibri"/>
                <w:b w:val="0"/>
                <w:i w:val="0"/>
                <w:sz w:val="19"/>
              </w:rPr>
              <w:t>BI</w:t>
            </w:r>
          </w:p>
        </w:tc>
        <w:tc>
          <w:tcPr>
            <w:tcW w:type="dxa" w:w="2340"/>
            <w:shd w:val="clear" w:color="auto" w:fill="F1F5F9"/>
            <w:vAlign w:val="center"/>
          </w:tcPr>
          <w:p>
            <w:pPr>
              <w:spacing w:before="20" w:after="20"/>
              <w:jc w:val="left"/>
            </w:pPr>
            <w:r>
              <w:rPr>
                <w:rFonts w:ascii="Calibri" w:hAnsi="Calibri"/>
                <w:b/>
                <w:i w:val="0"/>
                <w:sz w:val="19"/>
              </w:rPr>
              <w:t>44</w:t>
            </w:r>
          </w:p>
        </w:tc>
        <w:tc>
          <w:tcPr>
            <w:tcW w:type="dxa" w:w="2340"/>
            <w:shd w:val="clear" w:color="auto" w:fill="F1F5F9"/>
            <w:vAlign w:val="center"/>
          </w:tcPr>
          <w:p>
            <w:pPr>
              <w:spacing w:before="20" w:after="20"/>
              <w:jc w:val="left"/>
            </w:pPr>
            <w:r>
              <w:rPr>
                <w:rFonts w:ascii="Calibri" w:hAnsi="Calibri"/>
                <w:b w:val="0"/>
                <w:i w:val="0"/>
                <w:sz w:val="19"/>
              </w:rPr>
              <w:t>BI: k=185 standalone</w:t>
            </w:r>
          </w:p>
        </w:tc>
        <w:tc>
          <w:tcPr>
            <w:tcW w:type="dxa" w:w="2340"/>
            <w:shd w:val="clear" w:color="auto" w:fill="F1F5F9"/>
            <w:vAlign w:val="center"/>
          </w:tcPr>
          <w:p>
            <w:pPr>
              <w:spacing w:before="20" w:after="20"/>
              <w:jc w:val="left"/>
            </w:pPr>
            <w:r>
              <w:rPr>
                <w:rFonts w:ascii="Calibri" w:hAnsi="Calibri"/>
                <w:b w:val="0"/>
                <w:i w:val="0"/>
                <w:color w:val="16A34A"/>
                <w:sz w:val="19"/>
              </w:rPr>
              <w:t>Adequate</w:t>
            </w:r>
          </w:p>
        </w:tc>
      </w:tr>
      <w:tr>
        <w:tc>
          <w:tcPr>
            <w:tcW w:type="dxa" w:w="2340"/>
            <w:shd w:val="clear" w:color="auto" w:fill="FFF7ED"/>
            <w:vAlign w:val="center"/>
          </w:tcPr>
          <w:p>
            <w:pPr>
              <w:spacing w:before="20" w:after="20"/>
              <w:jc w:val="left"/>
            </w:pPr>
            <w:r>
              <w:rPr>
                <w:rFonts w:ascii="Calibri" w:hAnsi="Calibri"/>
                <w:b w:val="0"/>
                <w:i w:val="0"/>
                <w:sz w:val="19"/>
              </w:rPr>
              <w:t>TRU</w:t>
            </w:r>
          </w:p>
        </w:tc>
        <w:tc>
          <w:tcPr>
            <w:tcW w:type="dxa" w:w="2340"/>
            <w:shd w:val="clear" w:color="auto" w:fill="FFF7ED"/>
            <w:vAlign w:val="center"/>
          </w:tcPr>
          <w:p>
            <w:pPr>
              <w:spacing w:before="20" w:after="20"/>
              <w:jc w:val="left"/>
            </w:pPr>
            <w:r>
              <w:rPr>
                <w:rFonts w:ascii="Calibri" w:hAnsi="Calibri"/>
                <w:b/>
                <w:i w:val="0"/>
                <w:color w:val="DC2626"/>
                <w:sz w:val="19"/>
              </w:rPr>
              <w:t>13</w:t>
            </w:r>
          </w:p>
        </w:tc>
        <w:tc>
          <w:tcPr>
            <w:tcW w:type="dxa" w:w="2340"/>
            <w:shd w:val="clear" w:color="auto" w:fill="FFF7ED"/>
            <w:vAlign w:val="center"/>
          </w:tcPr>
          <w:p>
            <w:pPr>
              <w:spacing w:before="20" w:after="20"/>
              <w:jc w:val="left"/>
            </w:pPr>
            <w:r>
              <w:rPr>
                <w:rFonts w:ascii="Calibri" w:hAnsi="Calibri"/>
                <w:b w:val="0"/>
                <w:i w:val="0"/>
                <w:sz w:val="19"/>
              </w:rPr>
              <w:t>TRU: k=36 standalone</w:t>
            </w:r>
          </w:p>
        </w:tc>
        <w:tc>
          <w:tcPr>
            <w:tcW w:type="dxa" w:w="2340"/>
            <w:shd w:val="clear" w:color="auto" w:fill="FFF7ED"/>
            <w:vAlign w:val="center"/>
          </w:tcPr>
          <w:p>
            <w:pPr>
              <w:spacing w:before="20" w:after="20"/>
              <w:jc w:val="left"/>
            </w:pPr>
            <w:r>
              <w:rPr>
                <w:rFonts w:ascii="Calibri" w:hAnsi="Calibri"/>
                <w:b/>
                <w:i w:val="0"/>
                <w:color w:val="DC2626"/>
                <w:sz w:val="19"/>
              </w:rPr>
              <w:t>BELOW k=10 target; marginal</w:t>
            </w:r>
          </w:p>
        </w:tc>
      </w:tr>
      <w:tr>
        <w:tc>
          <w:tcPr>
            <w:tcW w:type="dxa" w:w="2340"/>
            <w:shd w:val="clear" w:color="auto" w:fill="FEE2E2"/>
            <w:vAlign w:val="center"/>
          </w:tcPr>
          <w:p>
            <w:pPr>
              <w:spacing w:before="20" w:after="20"/>
              <w:jc w:val="left"/>
            </w:pPr>
            <w:r>
              <w:rPr>
                <w:rFonts w:ascii="Calibri" w:hAnsi="Calibri"/>
                <w:b w:val="0"/>
                <w:i w:val="0"/>
                <w:sz w:val="19"/>
              </w:rPr>
              <w:t>ANX</w:t>
            </w:r>
          </w:p>
        </w:tc>
        <w:tc>
          <w:tcPr>
            <w:tcW w:type="dxa" w:w="2340"/>
            <w:shd w:val="clear" w:color="auto" w:fill="FEE2E2"/>
            <w:vAlign w:val="center"/>
          </w:tcPr>
          <w:p>
            <w:pPr>
              <w:spacing w:before="20" w:after="20"/>
              <w:jc w:val="left"/>
            </w:pPr>
            <w:r>
              <w:rPr>
                <w:rFonts w:ascii="Calibri" w:hAnsi="Calibri"/>
                <w:b/>
                <w:i w:val="0"/>
                <w:color w:val="DC2626"/>
                <w:sz w:val="19"/>
              </w:rPr>
              <w:t>5</w:t>
            </w:r>
          </w:p>
        </w:tc>
        <w:tc>
          <w:tcPr>
            <w:tcW w:type="dxa" w:w="2340"/>
            <w:shd w:val="clear" w:color="auto" w:fill="FEE2E2"/>
            <w:vAlign w:val="center"/>
          </w:tcPr>
          <w:p>
            <w:pPr>
              <w:spacing w:before="20" w:after="20"/>
              <w:jc w:val="left"/>
            </w:pPr>
            <w:r>
              <w:rPr>
                <w:rFonts w:ascii="Calibri" w:hAnsi="Calibri"/>
                <w:b w:val="0"/>
                <w:i w:val="0"/>
                <w:sz w:val="19"/>
              </w:rPr>
              <w:t>ANX: k=40 standalone</w:t>
            </w:r>
          </w:p>
        </w:tc>
        <w:tc>
          <w:tcPr>
            <w:tcW w:type="dxa" w:w="2340"/>
            <w:shd w:val="clear" w:color="auto" w:fill="FEE2E2"/>
            <w:vAlign w:val="center"/>
          </w:tcPr>
          <w:p>
            <w:pPr>
              <w:spacing w:before="20" w:after="20"/>
              <w:jc w:val="left"/>
            </w:pPr>
            <w:r>
              <w:rPr>
                <w:rFonts w:ascii="Calibri" w:hAnsi="Calibri"/>
                <w:b/>
                <w:i w:val="0"/>
                <w:color w:val="DC2626"/>
                <w:sz w:val="19"/>
              </w:rPr>
              <w:t>BELOW k=3 minimum for most HM-ANX cells</w:t>
            </w:r>
          </w:p>
        </w:tc>
      </w:tr>
      <w:tr>
        <w:tc>
          <w:tcPr>
            <w:tcW w:type="dxa" w:w="2340"/>
            <w:shd w:val="clear" w:color="auto" w:fill="FEE2E2"/>
            <w:vAlign w:val="center"/>
          </w:tcPr>
          <w:p>
            <w:pPr>
              <w:spacing w:before="20" w:after="20"/>
              <w:jc w:val="left"/>
            </w:pPr>
            <w:r>
              <w:rPr>
                <w:rFonts w:ascii="Calibri" w:hAnsi="Calibri"/>
                <w:b w:val="0"/>
                <w:i w:val="0"/>
                <w:sz w:val="19"/>
              </w:rPr>
              <w:t>TRU AND ANX simultaneously</w:t>
            </w:r>
          </w:p>
        </w:tc>
        <w:tc>
          <w:tcPr>
            <w:tcW w:type="dxa" w:w="2340"/>
            <w:shd w:val="clear" w:color="auto" w:fill="FEE2E2"/>
            <w:vAlign w:val="center"/>
          </w:tcPr>
          <w:p>
            <w:pPr>
              <w:spacing w:before="20" w:after="20"/>
              <w:jc w:val="left"/>
            </w:pPr>
            <w:r>
              <w:rPr>
                <w:rFonts w:ascii="Calibri" w:hAnsi="Calibri"/>
                <w:b/>
                <w:i w:val="0"/>
                <w:color w:val="7F1D1D"/>
                <w:sz w:val="19"/>
              </w:rPr>
              <w:t>2</w:t>
            </w:r>
          </w:p>
        </w:tc>
        <w:tc>
          <w:tcPr>
            <w:tcW w:type="dxa" w:w="2340"/>
            <w:shd w:val="clear" w:color="auto" w:fill="FEE2E2"/>
            <w:vAlign w:val="center"/>
          </w:tcPr>
          <w:p>
            <w:pPr>
              <w:spacing w:before="20" w:after="20"/>
              <w:jc w:val="left"/>
            </w:pPr>
            <w:r>
              <w:rPr>
                <w:rFonts w:ascii="Calibri" w:hAnsi="Calibri"/>
                <w:b w:val="0"/>
                <w:i w:val="0"/>
                <w:sz w:val="19"/>
              </w:rPr>
              <w:t>--</w:t>
            </w:r>
          </w:p>
        </w:tc>
        <w:tc>
          <w:tcPr>
            <w:tcW w:type="dxa" w:w="2340"/>
            <w:shd w:val="clear" w:color="auto" w:fill="FEE2E2"/>
            <w:vAlign w:val="center"/>
          </w:tcPr>
          <w:p>
            <w:pPr>
              <w:spacing w:before="20" w:after="20"/>
              <w:jc w:val="left"/>
            </w:pPr>
            <w:r>
              <w:rPr>
                <w:rFonts w:ascii="Calibri" w:hAnsi="Calibri"/>
                <w:b/>
                <w:i w:val="0"/>
                <w:color w:val="7F1D1D"/>
                <w:sz w:val="19"/>
              </w:rPr>
              <w:t>Insufficient for any stable estimation</w:t>
            </w:r>
          </w:p>
        </w:tc>
      </w:tr>
    </w:tbl>
    <w:p>
      <w:pPr>
        <w:spacing w:before="0" w:after="120"/>
        <w:jc w:val="left"/>
      </w:pPr>
      <w:r>
        <w:rPr>
          <w:rFonts w:ascii="Calibri" w:hAnsi="Calibri"/>
          <w:b w:val="0"/>
          <w:i/>
          <w:color w:val="6B7280"/>
          <w:sz w:val="18"/>
        </w:rPr>
        <w:t>Table 2. HM cell k values (co-occurrence among 47 HM studies). Critical constraint: HM-ANX (k=5) and HM-TRU-ANX simultaneous (k=2).</w:t>
      </w:r>
    </w:p>
    <w:p>
      <w:pPr>
        <w:jc w:val="center"/>
      </w:pPr>
      <w:r>
        <w:drawing>
          <wp:inline xmlns:a="http://schemas.openxmlformats.org/drawingml/2006/main" xmlns:pic="http://schemas.openxmlformats.org/drawingml/2006/picture">
            <wp:extent cx="5852160" cy="2244084"/>
            <wp:docPr id="2" name="Picture 2"/>
            <wp:cNvGraphicFramePr>
              <a:graphicFrameLocks noChangeAspect="1"/>
            </wp:cNvGraphicFramePr>
            <a:graphic>
              <a:graphicData uri="http://schemas.openxmlformats.org/drawingml/2006/picture">
                <pic:pic>
                  <pic:nvPicPr>
                    <pic:cNvPr id="0" name="fig2_cell_coverage.png"/>
                    <pic:cNvPicPr/>
                  </pic:nvPicPr>
                  <pic:blipFill>
                    <a:blip r:embed="rId10"/>
                    <a:stretch>
                      <a:fillRect/>
                    </a:stretch>
                  </pic:blipFill>
                  <pic:spPr>
                    <a:xfrm>
                      <a:off x="0" y="0"/>
                      <a:ext cx="5852160" cy="2244084"/>
                    </a:xfrm>
                    <a:prstGeom prst="rect"/>
                  </pic:spPr>
                </pic:pic>
              </a:graphicData>
            </a:graphic>
          </wp:inline>
        </w:drawing>
      </w:r>
    </w:p>
    <w:p>
      <w:pPr>
        <w:spacing w:after="200"/>
        <w:jc w:val="center"/>
      </w:pPr>
      <w:r>
        <w:rPr>
          <w:rFonts w:ascii="Calibri" w:hAnsi="Calibri"/>
          <w:b w:val="0"/>
          <w:i/>
          <w:color w:val="6B7280"/>
          <w:sz w:val="18"/>
        </w:rPr>
        <w:t>Figure 2.  Left: HM cell k values when HM is added to the model. Right: current 10-construct model k values for reference. Note HM-TRU (k=13) and HM-ANX (k=5) fall far below current minimums.</w:t>
      </w:r>
    </w:p>
    <w:p>
      <w:pPr>
        <w:spacing w:before="0" w:after="120"/>
        <w:jc w:val="left"/>
      </w:pPr>
      <w:r>
        <w:rPr>
          <w:rFonts w:ascii="Calibri" w:hAnsi="Calibri"/>
          <w:b w:val="0"/>
          <w:i w:val="0"/>
          <w:sz w:val="21"/>
        </w:rPr>
        <w:t>Key implication: Even with 43 studies reporting correlation data, the HM-ANX cell has k=5 and the HM-TRU cell has k=13. More critically, only 2 studies measure HM, TRU, AND ANX simultaneously. This means Stage 1 would need to estimate the HM row of the 11x11 matrix with highly uneven cell coverage, violating the positive-definiteness assumption that underpins TSSEM/OSMASEM (Cheung, 2015).</w:t>
      </w:r>
    </w:p>
    <w:p>
      <w:pPr>
        <w:spacing w:before="100" w:after="60"/>
        <w:ind w:left="227"/>
      </w:pPr>
      <w:r>
        <w:rPr>
          <w:rFonts w:ascii="Calibri" w:hAnsi="Calibri"/>
          <w:b/>
          <w:i w:val="0"/>
          <w:color w:val="1E40AF"/>
          <w:sz w:val="20"/>
        </w:rPr>
        <w:t xml:space="preserve">Open Question 1:  </w:t>
      </w:r>
      <w:r>
        <w:rPr>
          <w:rFonts w:ascii="Calibri" w:hAnsi="Calibri"/>
          <w:b w:val="0"/>
          <w:i/>
          <w:color w:val="374151"/>
          <w:sz w:val="20"/>
        </w:rPr>
        <w:t>The HM-ANX cell (k=5) falls below the k=10 stable-estimation target and the HM-TRU-ANX simultaneous k=2 is essentially inestimable. Does this constitute a definitive coverage failure under Cheung (2015) criteria, or is there a methodological workaround (e.g., pairwise deletion with ridge correction)?</w:t>
      </w:r>
    </w:p>
    <w:p>
      <w:pPr>
        <w:spacing w:before="100" w:after="60"/>
        <w:ind w:left="227"/>
      </w:pPr>
      <w:r>
        <w:rPr>
          <w:rFonts w:ascii="Calibri" w:hAnsi="Calibri"/>
          <w:b/>
          <w:i w:val="0"/>
          <w:color w:val="1E40AF"/>
          <w:sz w:val="20"/>
        </w:rPr>
        <w:t xml:space="preserve">Open Question 2:  </w:t>
      </w:r>
      <w:r>
        <w:rPr>
          <w:rFonts w:ascii="Calibri" w:hAnsi="Calibri"/>
          <w:b w:val="0"/>
          <w:i/>
          <w:color w:val="374151"/>
          <w:sz w:val="20"/>
        </w:rPr>
        <w:t>PLS-SEM Fornell-Larcker correlations are inter-construct correlations and are technically extractable for MASEM. Should they be treated identically to CB-SEM Pearson correlations in Stage 1, or coded with a SEM-method moderator?</w:t>
      </w:r>
    </w:p>
    <w:p>
      <w:r>
        <w:br w:type="page"/>
      </w:r>
    </w:p>
    <w:p>
      <w:pPr>
        <w:pStyle w:val="Heading1"/>
        <w:spacing w:before="280" w:after="80"/>
      </w:pPr>
      <w:r>
        <w:rPr>
          <w:color w:val="1E3A8A"/>
          <w:sz w:val="28"/>
        </w:rPr>
        <w:t>3.  The Fundamental Question: Model Architecture Choice</w:t>
      </w:r>
    </w:p>
    <w:p>
      <w:pPr>
        <w:spacing w:before="0" w:after="120"/>
        <w:jc w:val="left"/>
      </w:pPr>
      <w:r>
        <w:rPr>
          <w:rFonts w:ascii="Calibri" w:hAnsi="Calibri"/>
          <w:b w:val="0"/>
          <w:i w:val="0"/>
          <w:sz w:val="21"/>
        </w:rPr>
        <w:t>Even if the co-occurrence problem could be resolved, including HM forces a fundamental architectural decision about the Stage 2 structural model. This is a theoretical choice, not a data problem. Figure 3 illustrates the two competing models.</w:t>
      </w:r>
    </w:p>
    <w:p>
      <w:pPr>
        <w:jc w:val="center"/>
      </w:pPr>
      <w:r>
        <w:drawing>
          <wp:inline xmlns:a="http://schemas.openxmlformats.org/drawingml/2006/main" xmlns:pic="http://schemas.openxmlformats.org/drawingml/2006/picture">
            <wp:extent cx="5852160" cy="2495238"/>
            <wp:docPr id="3" name="Picture 3"/>
            <wp:cNvGraphicFramePr>
              <a:graphicFrameLocks noChangeAspect="1"/>
            </wp:cNvGraphicFramePr>
            <a:graphic>
              <a:graphicData uri="http://schemas.openxmlformats.org/drawingml/2006/picture">
                <pic:pic>
                  <pic:nvPicPr>
                    <pic:cNvPr id="0" name="fig3_competing_models.png"/>
                    <pic:cNvPicPr/>
                  </pic:nvPicPr>
                  <pic:blipFill>
                    <a:blip r:embed="rId11"/>
                    <a:stretch>
                      <a:fillRect/>
                    </a:stretch>
                  </pic:blipFill>
                  <pic:spPr>
                    <a:xfrm>
                      <a:off x="0" y="0"/>
                      <a:ext cx="5852160" cy="2495238"/>
                    </a:xfrm>
                    <a:prstGeom prst="rect"/>
                  </pic:spPr>
                </pic:pic>
              </a:graphicData>
            </a:graphic>
          </wp:inline>
        </w:drawing>
      </w:r>
    </w:p>
    <w:p>
      <w:pPr>
        <w:spacing w:after="200"/>
        <w:jc w:val="center"/>
      </w:pPr>
      <w:r>
        <w:rPr>
          <w:rFonts w:ascii="Calibri" w:hAnsi="Calibri"/>
          <w:b w:val="0"/>
          <w:i/>
          <w:color w:val="6B7280"/>
          <w:sz w:val="18"/>
        </w:rPr>
        <w:t>Figure 3.  Model A (current, 10 constructs): ATT fully mediates PE/EE effects on BI. Model B (13 constructs): HM has a direct path to BI independent of ATT, creating competing predictors.</w:t>
      </w:r>
    </w:p>
    <w:p>
      <w:pPr>
        <w:pStyle w:val="Heading2"/>
        <w:spacing w:before="200" w:after="80"/>
      </w:pPr>
      <w:r>
        <w:rPr>
          <w:color w:val="2563EB"/>
          <w:sz w:val="24"/>
        </w:rPr>
        <w:t>3.1  What Each Model Assumes</w:t>
      </w:r>
    </w:p>
    <w:tbl>
      <w:tblPr>
        <w:tblStyle w:val="TableGrid"/>
        <w:tblW w:type="auto" w:w="0"/>
        <w:jc w:val="left"/>
        <w:tblLook w:firstColumn="1" w:firstRow="1" w:lastColumn="0" w:lastRow="0" w:noHBand="0" w:noVBand="1" w:val="04A0"/>
      </w:tblPr>
      <w:tblGrid>
        <w:gridCol w:w="2160"/>
        <w:gridCol w:w="3888"/>
        <w:gridCol w:w="3888"/>
      </w:tblGrid>
      <w:tr>
        <w:tc>
          <w:tcPr>
            <w:tcW w:type="dxa" w:w="3120"/>
            <w:shd w:val="clear" w:color="auto" w:fill="1E3A5F"/>
            <w:vAlign w:val="center"/>
          </w:tcPr>
          <w:p>
            <w:pPr>
              <w:spacing w:before="20" w:after="20"/>
              <w:jc w:val="left"/>
            </w:pPr>
            <w:r>
              <w:rPr>
                <w:rFonts w:ascii="Calibri" w:hAnsi="Calibri"/>
                <w:b/>
                <w:i w:val="0"/>
                <w:color w:val="FFFFFF"/>
                <w:sz w:val="20"/>
              </w:rPr>
              <w:t>Dimension</w:t>
            </w:r>
          </w:p>
        </w:tc>
        <w:tc>
          <w:tcPr>
            <w:tcW w:type="dxa" w:w="3120"/>
            <w:shd w:val="clear" w:color="auto" w:fill="1E3A5F"/>
            <w:vAlign w:val="center"/>
          </w:tcPr>
          <w:p>
            <w:pPr>
              <w:spacing w:before="20" w:after="20"/>
              <w:jc w:val="left"/>
            </w:pPr>
            <w:r>
              <w:rPr>
                <w:rFonts w:ascii="Calibri" w:hAnsi="Calibri"/>
                <w:b/>
                <w:i w:val="0"/>
                <w:color w:val="FFFFFF"/>
                <w:sz w:val="20"/>
              </w:rPr>
              <w:t>Model A (Current -- No HM)</w:t>
            </w:r>
          </w:p>
        </w:tc>
        <w:tc>
          <w:tcPr>
            <w:tcW w:type="dxa" w:w="3120"/>
            <w:shd w:val="clear" w:color="auto" w:fill="1E3A5F"/>
            <w:vAlign w:val="center"/>
          </w:tcPr>
          <w:p>
            <w:pPr>
              <w:spacing w:before="20" w:after="20"/>
              <w:jc w:val="left"/>
            </w:pPr>
            <w:r>
              <w:rPr>
                <w:rFonts w:ascii="Calibri" w:hAnsi="Calibri"/>
                <w:b/>
                <w:i w:val="0"/>
                <w:color w:val="FFFFFF"/>
                <w:sz w:val="20"/>
              </w:rPr>
              <w:t>Model B (With HM)</w:t>
            </w:r>
          </w:p>
        </w:tc>
      </w:tr>
      <w:tr>
        <w:tc>
          <w:tcPr>
            <w:tcW w:type="dxa" w:w="3120"/>
            <w:shd w:val="clear" w:color="auto" w:fill="F1F5F9"/>
            <w:vAlign w:val="center"/>
          </w:tcPr>
          <w:p>
            <w:pPr>
              <w:spacing w:before="20" w:after="20"/>
              <w:jc w:val="left"/>
            </w:pPr>
            <w:r>
              <w:rPr>
                <w:rFonts w:ascii="Calibri" w:hAnsi="Calibri"/>
                <w:b w:val="0"/>
                <w:i w:val="0"/>
                <w:sz w:val="19"/>
              </w:rPr>
              <w:t>Theoretical premise</w:t>
            </w:r>
          </w:p>
        </w:tc>
        <w:tc>
          <w:tcPr>
            <w:tcW w:type="dxa" w:w="3120"/>
            <w:shd w:val="clear" w:color="auto" w:fill="F1F5F9"/>
            <w:vAlign w:val="center"/>
          </w:tcPr>
          <w:p>
            <w:pPr>
              <w:spacing w:before="20" w:after="20"/>
              <w:jc w:val="left"/>
            </w:pPr>
            <w:r>
              <w:rPr>
                <w:rFonts w:ascii="Calibri" w:hAnsi="Calibri"/>
                <w:b w:val="0"/>
                <w:i w:val="0"/>
                <w:sz w:val="19"/>
              </w:rPr>
              <w:t>TRA/TPB: attitude fully mediates the effect of beliefs (PE, EE) on behavioral intention</w:t>
            </w:r>
          </w:p>
        </w:tc>
        <w:tc>
          <w:tcPr>
            <w:tcW w:type="dxa" w:w="3120"/>
            <w:shd w:val="clear" w:color="auto" w:fill="F1F5F9"/>
            <w:vAlign w:val="center"/>
          </w:tcPr>
          <w:p>
            <w:pPr>
              <w:spacing w:before="20" w:after="20"/>
              <w:jc w:val="left"/>
            </w:pPr>
            <w:r>
              <w:rPr>
                <w:rFonts w:ascii="Calibri" w:hAnsi="Calibri"/>
                <w:b w:val="0"/>
                <w:i w:val="0"/>
                <w:sz w:val="19"/>
              </w:rPr>
              <w:t>UTAUT2: hedonic motivation predicts BI directly, independently of and in parallel with attitude</w:t>
            </w:r>
          </w:p>
        </w:tc>
      </w:tr>
      <w:tr>
        <w:tc>
          <w:tcPr>
            <w:tcW w:type="dxa" w:w="3120"/>
            <w:shd w:val="clear" w:color="auto" w:fill="FFFFFF"/>
            <w:vAlign w:val="center"/>
          </w:tcPr>
          <w:p>
            <w:pPr>
              <w:spacing w:before="20" w:after="20"/>
              <w:jc w:val="left"/>
            </w:pPr>
            <w:r>
              <w:rPr>
                <w:rFonts w:ascii="Calibri" w:hAnsi="Calibri"/>
                <w:b w:val="0"/>
                <w:i w:val="0"/>
                <w:sz w:val="19"/>
              </w:rPr>
              <w:t>Role of ATT</w:t>
            </w:r>
          </w:p>
        </w:tc>
        <w:tc>
          <w:tcPr>
            <w:tcW w:type="dxa" w:w="3120"/>
            <w:shd w:val="clear" w:color="auto" w:fill="FFFFFF"/>
            <w:vAlign w:val="center"/>
          </w:tcPr>
          <w:p>
            <w:pPr>
              <w:spacing w:before="20" w:after="20"/>
              <w:jc w:val="left"/>
            </w:pPr>
            <w:r>
              <w:rPr>
                <w:rFonts w:ascii="Calibri" w:hAnsi="Calibri"/>
                <w:b w:val="0"/>
                <w:i w:val="0"/>
                <w:sz w:val="19"/>
              </w:rPr>
              <w:t>Central mediator between cognitive antecedents and intention</w:t>
            </w:r>
          </w:p>
        </w:tc>
        <w:tc>
          <w:tcPr>
            <w:tcW w:type="dxa" w:w="3120"/>
            <w:shd w:val="clear" w:color="auto" w:fill="FFFFFF"/>
            <w:vAlign w:val="center"/>
          </w:tcPr>
          <w:p>
            <w:pPr>
              <w:spacing w:before="20" w:after="20"/>
              <w:jc w:val="left"/>
            </w:pPr>
            <w:r>
              <w:rPr>
                <w:rFonts w:ascii="Calibri" w:hAnsi="Calibri"/>
                <w:b w:val="0"/>
                <w:i w:val="0"/>
                <w:sz w:val="19"/>
              </w:rPr>
              <w:t>One of two parallel predictors of BI; its unique variance is reduced by HM</w:t>
            </w:r>
          </w:p>
        </w:tc>
      </w:tr>
      <w:tr>
        <w:tc>
          <w:tcPr>
            <w:tcW w:type="dxa" w:w="3120"/>
            <w:shd w:val="clear" w:color="auto" w:fill="F1F5F9"/>
            <w:vAlign w:val="center"/>
          </w:tcPr>
          <w:p>
            <w:pPr>
              <w:spacing w:before="20" w:after="20"/>
              <w:jc w:val="left"/>
            </w:pPr>
            <w:r>
              <w:rPr>
                <w:rFonts w:ascii="Calibri" w:hAnsi="Calibri"/>
                <w:b w:val="0"/>
                <w:i w:val="0"/>
                <w:sz w:val="19"/>
              </w:rPr>
              <w:t>Role of affect in BI</w:t>
            </w:r>
          </w:p>
        </w:tc>
        <w:tc>
          <w:tcPr>
            <w:tcW w:type="dxa" w:w="3120"/>
            <w:shd w:val="clear" w:color="auto" w:fill="F1F5F9"/>
            <w:vAlign w:val="center"/>
          </w:tcPr>
          <w:p>
            <w:pPr>
              <w:spacing w:before="20" w:after="20"/>
              <w:jc w:val="left"/>
            </w:pPr>
            <w:r>
              <w:rPr>
                <w:rFonts w:ascii="Calibri" w:hAnsi="Calibri"/>
                <w:b w:val="0"/>
                <w:i w:val="0"/>
                <w:sz w:val="19"/>
              </w:rPr>
              <w:t>Captured indirectly via ATT (which includes affective evaluation)</w:t>
            </w:r>
          </w:p>
        </w:tc>
        <w:tc>
          <w:tcPr>
            <w:tcW w:type="dxa" w:w="3120"/>
            <w:shd w:val="clear" w:color="auto" w:fill="F1F5F9"/>
            <w:vAlign w:val="center"/>
          </w:tcPr>
          <w:p>
            <w:pPr>
              <w:spacing w:before="20" w:after="20"/>
              <w:jc w:val="left"/>
            </w:pPr>
            <w:r>
              <w:rPr>
                <w:rFonts w:ascii="Calibri" w:hAnsi="Calibri"/>
                <w:b w:val="0"/>
                <w:i w:val="0"/>
                <w:sz w:val="19"/>
              </w:rPr>
              <w:t>Split between ATT (evaluative affect) and HM (hedonic affect) as separate predictors</w:t>
            </w:r>
          </w:p>
        </w:tc>
      </w:tr>
      <w:tr>
        <w:tc>
          <w:tcPr>
            <w:tcW w:type="dxa" w:w="3120"/>
            <w:shd w:val="clear" w:color="auto" w:fill="FFFFFF"/>
            <w:vAlign w:val="center"/>
          </w:tcPr>
          <w:p>
            <w:pPr>
              <w:spacing w:before="20" w:after="20"/>
              <w:jc w:val="left"/>
            </w:pPr>
            <w:r>
              <w:rPr>
                <w:rFonts w:ascii="Calibri" w:hAnsi="Calibri"/>
                <w:b w:val="0"/>
                <w:i w:val="0"/>
                <w:sz w:val="19"/>
              </w:rPr>
              <w:t>Structural paths to BI</w:t>
            </w:r>
          </w:p>
        </w:tc>
        <w:tc>
          <w:tcPr>
            <w:tcW w:type="dxa" w:w="3120"/>
            <w:shd w:val="clear" w:color="auto" w:fill="FFFFFF"/>
            <w:vAlign w:val="center"/>
          </w:tcPr>
          <w:p>
            <w:pPr>
              <w:spacing w:before="20" w:after="20"/>
              <w:jc w:val="left"/>
            </w:pPr>
            <w:r>
              <w:rPr>
                <w:rFonts w:ascii="Calibri" w:hAnsi="Calibri"/>
                <w:b w:val="0"/>
                <w:i w:val="0"/>
                <w:sz w:val="19"/>
              </w:rPr>
              <w:t>ATT-&gt;BI; SI-&gt;BI; SE-&gt;BI; TRU-&gt;BI; ANX-&gt;BI</w:t>
            </w:r>
          </w:p>
        </w:tc>
        <w:tc>
          <w:tcPr>
            <w:tcW w:type="dxa" w:w="3120"/>
            <w:shd w:val="clear" w:color="auto" w:fill="FFFFFF"/>
            <w:vAlign w:val="center"/>
          </w:tcPr>
          <w:p>
            <w:pPr>
              <w:spacing w:before="20" w:after="20"/>
              <w:jc w:val="left"/>
            </w:pPr>
            <w:r>
              <w:rPr>
                <w:rFonts w:ascii="Calibri" w:hAnsi="Calibri"/>
                <w:b w:val="0"/>
                <w:i w:val="0"/>
                <w:sz w:val="19"/>
              </w:rPr>
              <w:t>ATT-&gt;BI; HM-&gt;BI; SI-&gt;BI; SE-&gt;BI; TRU-&gt;BI; ANX-&gt;BI</w:t>
            </w:r>
          </w:p>
        </w:tc>
      </w:tr>
      <w:tr>
        <w:tc>
          <w:tcPr>
            <w:tcW w:type="dxa" w:w="3120"/>
            <w:shd w:val="clear" w:color="auto" w:fill="FFF7ED"/>
            <w:vAlign w:val="center"/>
          </w:tcPr>
          <w:p>
            <w:pPr>
              <w:spacing w:before="20" w:after="20"/>
              <w:jc w:val="left"/>
            </w:pPr>
            <w:r>
              <w:rPr>
                <w:rFonts w:ascii="Calibri" w:hAnsi="Calibri"/>
                <w:b w:val="0"/>
                <w:i w:val="0"/>
                <w:sz w:val="19"/>
              </w:rPr>
              <w:t>Theoretical risk</w:t>
            </w:r>
          </w:p>
        </w:tc>
        <w:tc>
          <w:tcPr>
            <w:tcW w:type="dxa" w:w="3120"/>
            <w:shd w:val="clear" w:color="auto" w:fill="FFF7ED"/>
            <w:vAlign w:val="center"/>
          </w:tcPr>
          <w:p>
            <w:pPr>
              <w:spacing w:before="20" w:after="20"/>
              <w:jc w:val="left"/>
            </w:pPr>
            <w:r>
              <w:rPr>
                <w:rFonts w:ascii="Calibri" w:hAnsi="Calibri"/>
                <w:b w:val="0"/>
                <w:i w:val="0"/>
                <w:sz w:val="19"/>
              </w:rPr>
              <w:t>Under-specifies hedonic motivation if it has unique variance in BI beyond ATT</w:t>
            </w:r>
          </w:p>
        </w:tc>
        <w:tc>
          <w:tcPr>
            <w:tcW w:type="dxa" w:w="3120"/>
            <w:shd w:val="clear" w:color="auto" w:fill="FFF7ED"/>
            <w:vAlign w:val="center"/>
          </w:tcPr>
          <w:p>
            <w:pPr>
              <w:spacing w:before="20" w:after="20"/>
              <w:jc w:val="left"/>
            </w:pPr>
            <w:r>
              <w:rPr>
                <w:rFonts w:ascii="Calibri" w:hAnsi="Calibri"/>
                <w:b w:val="0"/>
                <w:i w:val="0"/>
                <w:sz w:val="19"/>
              </w:rPr>
              <w:t>Over-specifies if HM and ATT are measuring the same evaluative-affective process</w:t>
            </w:r>
          </w:p>
        </w:tc>
      </w:tr>
      <w:tr>
        <w:tc>
          <w:tcPr>
            <w:tcW w:type="dxa" w:w="3120"/>
            <w:shd w:val="clear" w:color="auto" w:fill="F0FDF4"/>
            <w:vAlign w:val="center"/>
          </w:tcPr>
          <w:p>
            <w:pPr>
              <w:spacing w:before="20" w:after="20"/>
              <w:jc w:val="left"/>
            </w:pPr>
            <w:r>
              <w:rPr>
                <w:rFonts w:ascii="Calibri" w:hAnsi="Calibri"/>
                <w:b w:val="0"/>
                <w:i w:val="0"/>
                <w:sz w:val="19"/>
              </w:rPr>
              <w:t>Prior support</w:t>
            </w:r>
          </w:p>
        </w:tc>
        <w:tc>
          <w:tcPr>
            <w:tcW w:type="dxa" w:w="3120"/>
            <w:shd w:val="clear" w:color="auto" w:fill="F0FDF4"/>
            <w:vAlign w:val="center"/>
          </w:tcPr>
          <w:p>
            <w:pPr>
              <w:spacing w:before="20" w:after="20"/>
              <w:jc w:val="left"/>
            </w:pPr>
            <w:r>
              <w:rPr>
                <w:rFonts w:ascii="Calibri" w:hAnsi="Calibri"/>
                <w:b w:val="0"/>
                <w:i w:val="0"/>
                <w:sz w:val="19"/>
              </w:rPr>
              <w:t>TAM meta-analyses (Scherer et al. 2019); TPB meta-analyses</w:t>
            </w:r>
          </w:p>
        </w:tc>
        <w:tc>
          <w:tcPr>
            <w:tcW w:type="dxa" w:w="3120"/>
            <w:shd w:val="clear" w:color="auto" w:fill="F0FDF4"/>
            <w:vAlign w:val="center"/>
          </w:tcPr>
          <w:p>
            <w:pPr>
              <w:spacing w:before="20" w:after="20"/>
              <w:jc w:val="left"/>
            </w:pPr>
            <w:r>
              <w:rPr>
                <w:rFonts w:ascii="Calibri" w:hAnsi="Calibri"/>
                <w:b w:val="0"/>
                <w:i w:val="0"/>
                <w:sz w:val="19"/>
              </w:rPr>
              <w:t>UTAUT2 (Venkatesh et al. 2012); hedonic system literature</w:t>
            </w:r>
          </w:p>
        </w:tc>
      </w:tr>
    </w:tbl>
    <w:p>
      <w:pPr>
        <w:spacing w:before="0" w:after="160"/>
        <w:jc w:val="left"/>
      </w:pPr>
      <w:r>
        <w:rPr>
          <w:rFonts w:ascii="Calibri" w:hAnsi="Calibri"/>
          <w:b w:val="0"/>
          <w:i/>
          <w:color w:val="6B7280"/>
          <w:sz w:val="18"/>
        </w:rPr>
        <w:t>Table 3. Theoretical implications of Model A vs. Model B.</w:t>
      </w:r>
    </w:p>
    <w:p>
      <w:pPr>
        <w:pStyle w:val="Heading2"/>
        <w:spacing w:before="200" w:after="80"/>
      </w:pPr>
      <w:r>
        <w:rPr>
          <w:color w:val="2563EB"/>
          <w:sz w:val="24"/>
        </w:rPr>
        <w:t>3.2  Nested Model Comparison</w:t>
      </w:r>
    </w:p>
    <w:p>
      <w:pPr>
        <w:spacing w:before="0" w:after="120"/>
        <w:jc w:val="left"/>
      </w:pPr>
      <w:r>
        <w:rPr>
          <w:rFonts w:ascii="Calibri" w:hAnsi="Calibri"/>
          <w:b w:val="0"/>
          <w:i w:val="0"/>
          <w:sz w:val="21"/>
        </w:rPr>
        <w:t>Because Model A is nested within Model B (Model A is Model B with the HM-&gt;BI path constrained to zero), a chi-square difference test or AIC/BIC comparison in Stage 2 could formally evaluate whether HM adds explanatory power. However, this comparison requires that HM be estimable in Stage 1 with adequate k across all 10 new cells -- which the co-occurrence analysis (Section 2) suggests is not currently achievable, particularly for the HM-ANX and HM-TRU cells.</w:t>
      </w:r>
    </w:p>
    <w:p>
      <w:pPr>
        <w:spacing w:before="100" w:after="60"/>
        <w:ind w:left="227"/>
      </w:pPr>
      <w:r>
        <w:rPr>
          <w:rFonts w:ascii="Calibri" w:hAnsi="Calibri"/>
          <w:b/>
          <w:i w:val="0"/>
          <w:color w:val="1E40AF"/>
          <w:sz w:val="20"/>
        </w:rPr>
        <w:t xml:space="preserve">Open Question 3:  </w:t>
      </w:r>
      <w:r>
        <w:rPr>
          <w:rFonts w:ascii="Calibri" w:hAnsi="Calibri"/>
          <w:b w:val="0"/>
          <w:i/>
          <w:color w:val="374151"/>
          <w:sz w:val="20"/>
        </w:rPr>
        <w:t>Is the nested model comparison (Model A vs. Model B) a research question worth pursuing in this study, or does it fall outside the scope of our AI-specificity hypothesis? Our primary RQ2 tests whether TRU and ANX add incremental power beyond Tier-1 constructs -- not whether HM adds power beyond ATT.</w:t>
      </w:r>
    </w:p>
    <w:p>
      <w:pPr>
        <w:spacing w:before="100" w:after="60"/>
        <w:ind w:left="227"/>
      </w:pPr>
      <w:r>
        <w:rPr>
          <w:rFonts w:ascii="Calibri" w:hAnsi="Calibri"/>
          <w:b/>
          <w:i w:val="0"/>
          <w:color w:val="1E40AF"/>
          <w:sz w:val="20"/>
        </w:rPr>
        <w:t xml:space="preserve">Open Question 4:  </w:t>
      </w:r>
      <w:r>
        <w:rPr>
          <w:rFonts w:ascii="Calibri" w:hAnsi="Calibri"/>
          <w:b w:val="0"/>
          <w:i/>
          <w:color w:val="374151"/>
          <w:sz w:val="20"/>
        </w:rPr>
        <w:t>If the team agrees that Model A (TRA/TPB mediation) is the correct theoretical frame for this study, HM is excluded on theoretical grounds alone -- the co-occurrence and coverage arguments become supporting evidence, not the primary rationale. Does the team endorse Model A as the theoretical commitment?</w:t>
      </w:r>
    </w:p>
    <w:p>
      <w:pPr>
        <w:pStyle w:val="Heading1"/>
        <w:spacing w:before="280" w:after="80"/>
      </w:pPr>
      <w:r>
        <w:rPr>
          <w:color w:val="1E3A8A"/>
          <w:sz w:val="28"/>
        </w:rPr>
        <w:t>4.  ATT-HM Collinearity: A Model-Level Concern</w:t>
      </w:r>
    </w:p>
    <w:p>
      <w:pPr>
        <w:spacing w:before="0" w:after="120"/>
        <w:jc w:val="left"/>
      </w:pPr>
      <w:r>
        <w:rPr>
          <w:rFonts w:ascii="Calibri" w:hAnsi="Calibri"/>
          <w:b w:val="0"/>
          <w:i w:val="0"/>
          <w:sz w:val="21"/>
        </w:rPr>
        <w:t>Even within Model B, a practical problem arises: ATT and HM are expected to correlate highly (r ≈ .60-.80 based on prior UTAUT2 studies and the overlapping item content shown in Figure 4). When two highly correlated constructs both predict the same outcome (BI) in a Stage 2 SEM, the result is inflated standard errors and unstable path estimates -- a multicollinearity problem at the latent variable level.</w:t>
      </w:r>
    </w:p>
    <w:p>
      <w:pPr>
        <w:jc w:val="center"/>
      </w:pPr>
      <w:r>
        <w:drawing>
          <wp:inline xmlns:a="http://schemas.openxmlformats.org/drawingml/2006/main" xmlns:pic="http://schemas.openxmlformats.org/drawingml/2006/picture">
            <wp:extent cx="5852160" cy="2467888"/>
            <wp:docPr id="4" name="Picture 4"/>
            <wp:cNvGraphicFramePr>
              <a:graphicFrameLocks noChangeAspect="1"/>
            </wp:cNvGraphicFramePr>
            <a:graphic>
              <a:graphicData uri="http://schemas.openxmlformats.org/drawingml/2006/picture">
                <pic:pic>
                  <pic:nvPicPr>
                    <pic:cNvPr id="0" name="fig4_att_hm_boundary.png"/>
                    <pic:cNvPicPr/>
                  </pic:nvPicPr>
                  <pic:blipFill>
                    <a:blip r:embed="rId12"/>
                    <a:stretch>
                      <a:fillRect/>
                    </a:stretch>
                  </pic:blipFill>
                  <pic:spPr>
                    <a:xfrm>
                      <a:off x="0" y="0"/>
                      <a:ext cx="5852160" cy="2467888"/>
                    </a:xfrm>
                    <a:prstGeom prst="rect"/>
                  </pic:spPr>
                </pic:pic>
              </a:graphicData>
            </a:graphic>
          </wp:inline>
        </w:drawing>
      </w:r>
    </w:p>
    <w:p>
      <w:pPr>
        <w:spacing w:after="200"/>
        <w:jc w:val="center"/>
      </w:pPr>
      <w:r>
        <w:rPr>
          <w:rFonts w:ascii="Calibri" w:hAnsi="Calibri"/>
          <w:b w:val="0"/>
          <w:i/>
          <w:color w:val="6B7280"/>
          <w:sz w:val="18"/>
        </w:rPr>
        <w:t>Figure 4.  Left: conceptual boundary between ATT and HM (with overlap zone where ATT scales include hedonic/pleasant items). Right: expected inter-construct correlation ranges.</w:t>
      </w:r>
    </w:p>
    <w:tbl>
      <w:tblPr>
        <w:tblStyle w:val="TableGrid"/>
        <w:tblW w:type="auto" w:w="0"/>
        <w:jc w:val="left"/>
        <w:tblLook w:firstColumn="1" w:firstRow="1" w:lastColumn="0" w:lastRow="0" w:noHBand="0" w:noVBand="1" w:val="04A0"/>
      </w:tblPr>
      <w:tblGrid>
        <w:gridCol w:w="2160"/>
        <w:gridCol w:w="2592"/>
        <w:gridCol w:w="4896"/>
      </w:tblGrid>
      <w:tr>
        <w:tc>
          <w:tcPr>
            <w:tcW w:type="dxa" w:w="3120"/>
            <w:shd w:val="clear" w:color="auto" w:fill="1E3A5F"/>
            <w:vAlign w:val="center"/>
          </w:tcPr>
          <w:p>
            <w:pPr>
              <w:spacing w:before="20" w:after="20"/>
              <w:jc w:val="left"/>
            </w:pPr>
            <w:r>
              <w:rPr>
                <w:rFonts w:ascii="Calibri" w:hAnsi="Calibri"/>
                <w:b/>
                <w:i w:val="0"/>
                <w:color w:val="FFFFFF"/>
                <w:sz w:val="20"/>
              </w:rPr>
              <w:t>Construct pair</w:t>
            </w:r>
          </w:p>
        </w:tc>
        <w:tc>
          <w:tcPr>
            <w:tcW w:type="dxa" w:w="3120"/>
            <w:shd w:val="clear" w:color="auto" w:fill="1E3A5F"/>
            <w:vAlign w:val="center"/>
          </w:tcPr>
          <w:p>
            <w:pPr>
              <w:spacing w:before="20" w:after="20"/>
              <w:jc w:val="left"/>
            </w:pPr>
            <w:r>
              <w:rPr>
                <w:rFonts w:ascii="Calibri" w:hAnsi="Calibri"/>
                <w:b/>
                <w:i w:val="0"/>
                <w:color w:val="FFFFFF"/>
                <w:sz w:val="20"/>
              </w:rPr>
              <w:t>Expected r (literature)</w:t>
            </w:r>
          </w:p>
        </w:tc>
        <w:tc>
          <w:tcPr>
            <w:tcW w:type="dxa" w:w="3120"/>
            <w:shd w:val="clear" w:color="auto" w:fill="1E3A5F"/>
            <w:vAlign w:val="center"/>
          </w:tcPr>
          <w:p>
            <w:pPr>
              <w:spacing w:before="20" w:after="20"/>
              <w:jc w:val="left"/>
            </w:pPr>
            <w:r>
              <w:rPr>
                <w:rFonts w:ascii="Calibri" w:hAnsi="Calibri"/>
                <w:b/>
                <w:i w:val="0"/>
                <w:color w:val="FFFFFF"/>
                <w:sz w:val="20"/>
              </w:rPr>
              <w:t>Collinearity risk for Stage 2 SEM</w:t>
            </w:r>
          </w:p>
        </w:tc>
      </w:tr>
      <w:tr>
        <w:tc>
          <w:tcPr>
            <w:tcW w:type="dxa" w:w="3120"/>
            <w:shd w:val="clear" w:color="auto" w:fill="FEE2E2"/>
            <w:vAlign w:val="center"/>
          </w:tcPr>
          <w:p>
            <w:pPr>
              <w:spacing w:before="20" w:after="20"/>
              <w:jc w:val="left"/>
            </w:pPr>
            <w:r>
              <w:rPr>
                <w:rFonts w:ascii="Calibri" w:hAnsi="Calibri"/>
                <w:b w:val="0"/>
                <w:i w:val="0"/>
                <w:sz w:val="19"/>
              </w:rPr>
              <w:t>HM -- ATT</w:t>
            </w:r>
          </w:p>
        </w:tc>
        <w:tc>
          <w:tcPr>
            <w:tcW w:type="dxa" w:w="3120"/>
            <w:shd w:val="clear" w:color="auto" w:fill="FEE2E2"/>
            <w:vAlign w:val="center"/>
          </w:tcPr>
          <w:p>
            <w:pPr>
              <w:spacing w:before="20" w:after="20"/>
              <w:jc w:val="left"/>
            </w:pPr>
            <w:r>
              <w:rPr>
                <w:rFonts w:ascii="Calibri" w:hAnsi="Calibri"/>
                <w:b/>
                <w:i w:val="0"/>
                <w:color w:val="DC2626"/>
                <w:sz w:val="19"/>
              </w:rPr>
              <w:t>r = .60 - .80</w:t>
            </w:r>
          </w:p>
        </w:tc>
        <w:tc>
          <w:tcPr>
            <w:tcW w:type="dxa" w:w="3120"/>
            <w:shd w:val="clear" w:color="auto" w:fill="FEE2E2"/>
            <w:vAlign w:val="center"/>
          </w:tcPr>
          <w:p>
            <w:pPr>
              <w:spacing w:before="20" w:after="20"/>
              <w:jc w:val="left"/>
            </w:pPr>
            <w:r>
              <w:rPr>
                <w:rFonts w:ascii="Calibri" w:hAnsi="Calibri"/>
                <w:b w:val="0"/>
                <w:i w:val="0"/>
                <w:color w:val="DC2626"/>
                <w:sz w:val="19"/>
              </w:rPr>
              <w:t>HIGH: both predict BI; inflated SE for ATT-&gt;BI and HM-&gt;BI paths</w:t>
            </w:r>
          </w:p>
        </w:tc>
      </w:tr>
      <w:tr>
        <w:tc>
          <w:tcPr>
            <w:tcW w:type="dxa" w:w="3120"/>
            <w:shd w:val="clear" w:color="auto" w:fill="FFFFFF"/>
            <w:vAlign w:val="center"/>
          </w:tcPr>
          <w:p>
            <w:pPr>
              <w:spacing w:before="20" w:after="20"/>
              <w:jc w:val="left"/>
            </w:pPr>
            <w:r>
              <w:rPr>
                <w:rFonts w:ascii="Calibri" w:hAnsi="Calibri"/>
                <w:b w:val="0"/>
                <w:i w:val="0"/>
                <w:sz w:val="19"/>
              </w:rPr>
              <w:t>HM -- PE</w:t>
            </w:r>
          </w:p>
        </w:tc>
        <w:tc>
          <w:tcPr>
            <w:tcW w:type="dxa" w:w="3120"/>
            <w:shd w:val="clear" w:color="auto" w:fill="FFFFFF"/>
            <w:vAlign w:val="center"/>
          </w:tcPr>
          <w:p>
            <w:pPr>
              <w:spacing w:before="20" w:after="20"/>
              <w:jc w:val="left"/>
            </w:pPr>
            <w:r>
              <w:rPr>
                <w:rFonts w:ascii="Calibri" w:hAnsi="Calibri"/>
                <w:b w:val="0"/>
                <w:i w:val="0"/>
                <w:sz w:val="19"/>
              </w:rPr>
              <w:t>r = .45 - .65</w:t>
            </w:r>
          </w:p>
        </w:tc>
        <w:tc>
          <w:tcPr>
            <w:tcW w:type="dxa" w:w="3120"/>
            <w:shd w:val="clear" w:color="auto" w:fill="FFFFFF"/>
            <w:vAlign w:val="center"/>
          </w:tcPr>
          <w:p>
            <w:pPr>
              <w:spacing w:before="20" w:after="20"/>
              <w:jc w:val="left"/>
            </w:pPr>
            <w:r>
              <w:rPr>
                <w:rFonts w:ascii="Calibri" w:hAnsi="Calibri"/>
                <w:b w:val="0"/>
                <w:i w:val="0"/>
                <w:sz w:val="19"/>
              </w:rPr>
              <w:t>Moderate: PE-&gt;ATT-&gt;BI chain remains intact</w:t>
            </w:r>
          </w:p>
        </w:tc>
      </w:tr>
      <w:tr>
        <w:tc>
          <w:tcPr>
            <w:tcW w:type="dxa" w:w="3120"/>
            <w:shd w:val="clear" w:color="auto" w:fill="F1F5F9"/>
            <w:vAlign w:val="center"/>
          </w:tcPr>
          <w:p>
            <w:pPr>
              <w:spacing w:before="20" w:after="20"/>
              <w:jc w:val="left"/>
            </w:pPr>
            <w:r>
              <w:rPr>
                <w:rFonts w:ascii="Calibri" w:hAnsi="Calibri"/>
                <w:b w:val="0"/>
                <w:i w:val="0"/>
                <w:sz w:val="19"/>
              </w:rPr>
              <w:t>HM -- EE</w:t>
            </w:r>
          </w:p>
        </w:tc>
        <w:tc>
          <w:tcPr>
            <w:tcW w:type="dxa" w:w="3120"/>
            <w:shd w:val="clear" w:color="auto" w:fill="F1F5F9"/>
            <w:vAlign w:val="center"/>
          </w:tcPr>
          <w:p>
            <w:pPr>
              <w:spacing w:before="20" w:after="20"/>
              <w:jc w:val="left"/>
            </w:pPr>
            <w:r>
              <w:rPr>
                <w:rFonts w:ascii="Calibri" w:hAnsi="Calibri"/>
                <w:b w:val="0"/>
                <w:i w:val="0"/>
                <w:sz w:val="19"/>
              </w:rPr>
              <w:t>r = .40 - .60</w:t>
            </w:r>
          </w:p>
        </w:tc>
        <w:tc>
          <w:tcPr>
            <w:tcW w:type="dxa" w:w="3120"/>
            <w:shd w:val="clear" w:color="auto" w:fill="F1F5F9"/>
            <w:vAlign w:val="center"/>
          </w:tcPr>
          <w:p>
            <w:pPr>
              <w:spacing w:before="20" w:after="20"/>
              <w:jc w:val="left"/>
            </w:pPr>
            <w:r>
              <w:rPr>
                <w:rFonts w:ascii="Calibri" w:hAnsi="Calibri"/>
                <w:b w:val="0"/>
                <w:i w:val="0"/>
                <w:sz w:val="19"/>
              </w:rPr>
              <w:t>Moderate: acceptable</w:t>
            </w:r>
          </w:p>
        </w:tc>
      </w:tr>
      <w:tr>
        <w:tc>
          <w:tcPr>
            <w:tcW w:type="dxa" w:w="3120"/>
            <w:shd w:val="clear" w:color="auto" w:fill="FFFFFF"/>
            <w:vAlign w:val="center"/>
          </w:tcPr>
          <w:p>
            <w:pPr>
              <w:spacing w:before="20" w:after="20"/>
              <w:jc w:val="left"/>
            </w:pPr>
            <w:r>
              <w:rPr>
                <w:rFonts w:ascii="Calibri" w:hAnsi="Calibri"/>
                <w:b w:val="0"/>
                <w:i w:val="0"/>
                <w:sz w:val="19"/>
              </w:rPr>
              <w:t>HM -- BI</w:t>
            </w:r>
          </w:p>
        </w:tc>
        <w:tc>
          <w:tcPr>
            <w:tcW w:type="dxa" w:w="3120"/>
            <w:shd w:val="clear" w:color="auto" w:fill="FFFFFF"/>
            <w:vAlign w:val="center"/>
          </w:tcPr>
          <w:p>
            <w:pPr>
              <w:spacing w:before="20" w:after="20"/>
              <w:jc w:val="left"/>
            </w:pPr>
            <w:r>
              <w:rPr>
                <w:rFonts w:ascii="Calibri" w:hAnsi="Calibri"/>
                <w:b w:val="0"/>
                <w:i w:val="0"/>
                <w:sz w:val="19"/>
              </w:rPr>
              <w:t>r = .50 - .70</w:t>
            </w:r>
          </w:p>
        </w:tc>
        <w:tc>
          <w:tcPr>
            <w:tcW w:type="dxa" w:w="3120"/>
            <w:shd w:val="clear" w:color="auto" w:fill="FFFFFF"/>
            <w:vAlign w:val="center"/>
          </w:tcPr>
          <w:p>
            <w:pPr>
              <w:spacing w:before="20" w:after="20"/>
              <w:jc w:val="left"/>
            </w:pPr>
            <w:r>
              <w:rPr>
                <w:rFonts w:ascii="Calibri" w:hAnsi="Calibri"/>
                <w:b w:val="0"/>
                <w:i w:val="0"/>
                <w:sz w:val="19"/>
              </w:rPr>
              <w:t>Strong direct effect -- this is HM's justification</w:t>
            </w:r>
          </w:p>
        </w:tc>
      </w:tr>
      <w:tr>
        <w:tc>
          <w:tcPr>
            <w:tcW w:type="dxa" w:w="3120"/>
            <w:shd w:val="clear" w:color="auto" w:fill="F1F5F9"/>
            <w:vAlign w:val="center"/>
          </w:tcPr>
          <w:p>
            <w:pPr>
              <w:spacing w:before="20" w:after="20"/>
              <w:jc w:val="left"/>
            </w:pPr>
            <w:r>
              <w:rPr>
                <w:rFonts w:ascii="Calibri" w:hAnsi="Calibri"/>
                <w:b w:val="0"/>
                <w:i w:val="0"/>
                <w:sz w:val="19"/>
              </w:rPr>
              <w:t>ATT -- BI</w:t>
            </w:r>
          </w:p>
        </w:tc>
        <w:tc>
          <w:tcPr>
            <w:tcW w:type="dxa" w:w="3120"/>
            <w:shd w:val="clear" w:color="auto" w:fill="F1F5F9"/>
            <w:vAlign w:val="center"/>
          </w:tcPr>
          <w:p>
            <w:pPr>
              <w:spacing w:before="20" w:after="20"/>
              <w:jc w:val="left"/>
            </w:pPr>
            <w:r>
              <w:rPr>
                <w:rFonts w:ascii="Calibri" w:hAnsi="Calibri"/>
                <w:b w:val="0"/>
                <w:i w:val="0"/>
                <w:sz w:val="19"/>
              </w:rPr>
              <w:t>r = .55 - .75</w:t>
            </w:r>
          </w:p>
        </w:tc>
        <w:tc>
          <w:tcPr>
            <w:tcW w:type="dxa" w:w="3120"/>
            <w:shd w:val="clear" w:color="auto" w:fill="F1F5F9"/>
            <w:vAlign w:val="center"/>
          </w:tcPr>
          <w:p>
            <w:pPr>
              <w:spacing w:before="20" w:after="20"/>
              <w:jc w:val="left"/>
            </w:pPr>
            <w:r>
              <w:rPr>
                <w:rFonts w:ascii="Calibri" w:hAnsi="Calibri"/>
                <w:b w:val="0"/>
                <w:i w:val="0"/>
                <w:sz w:val="19"/>
              </w:rPr>
              <w:t>Current model: ATT remains the primary affective mediator</w:t>
            </w:r>
          </w:p>
        </w:tc>
      </w:tr>
    </w:tbl>
    <w:p>
      <w:pPr>
        <w:spacing w:before="0" w:after="120"/>
        <w:jc w:val="left"/>
      </w:pPr>
      <w:r>
        <w:rPr>
          <w:rFonts w:ascii="Calibri" w:hAnsi="Calibri"/>
          <w:b w:val="0"/>
          <w:i/>
          <w:color w:val="6B7280"/>
          <w:sz w:val="18"/>
        </w:rPr>
        <w:t>Table 4. Expected ATT-HM correlation and collinearity implications in Stage 2 SEM.</w:t>
      </w:r>
    </w:p>
    <w:p>
      <w:pPr>
        <w:spacing w:before="0" w:after="120"/>
        <w:jc w:val="left"/>
      </w:pPr>
      <w:r>
        <w:rPr>
          <w:rFonts w:ascii="Calibri" w:hAnsi="Calibri"/>
          <w:b w:val="0"/>
          <w:i w:val="0"/>
          <w:sz w:val="21"/>
        </w:rPr>
        <w:t>Note on measurement-level overlap: ATT scales in the AI adoption literature often include items like 'Using AI is pleasant,' 'I like using AI,' or 'Using AI is a satisfying experience.' These items are indistinguishable from HM items ('Using AI is enjoyable,' 'Using AI is fun'). When this overlap exists, pooling ATT and HM correlations across studies will conflate construct-level measurement inconsistency with true structural differences.</w:t>
      </w:r>
    </w:p>
    <w:p>
      <w:pPr>
        <w:spacing w:before="100" w:after="60"/>
        <w:ind w:left="227"/>
      </w:pPr>
      <w:r>
        <w:rPr>
          <w:rFonts w:ascii="Calibri" w:hAnsi="Calibri"/>
          <w:b/>
          <w:i w:val="0"/>
          <w:color w:val="1E40AF"/>
          <w:sz w:val="20"/>
        </w:rPr>
        <w:t xml:space="preserve">Open Question 5:  </w:t>
      </w:r>
      <w:r>
        <w:rPr>
          <w:rFonts w:ascii="Calibri" w:hAnsi="Calibri"/>
          <w:b w:val="0"/>
          <w:i/>
          <w:color w:val="374151"/>
          <w:sz w:val="20"/>
        </w:rPr>
        <w:t>Should an ATT item-level audit be conducted to determine how many of the 81 ATT studies include hedonic/pleasant items in their ATT scale? If &gt;30% do, the ATT-HM boundary is already compromised in the existing model.</w:t>
      </w:r>
    </w:p>
    <w:p>
      <w:r>
        <w:br w:type="page"/>
      </w:r>
    </w:p>
    <w:p>
      <w:pPr>
        <w:pStyle w:val="Heading1"/>
        <w:spacing w:before="280" w:after="80"/>
      </w:pPr>
      <w:r>
        <w:rPr>
          <w:color w:val="1E3A8A"/>
          <w:sz w:val="28"/>
        </w:rPr>
        <w:t>5.  Revised Exclusion Rationale: What Should Be in the Manuscript</w:t>
      </w:r>
    </w:p>
    <w:p>
      <w:pPr>
        <w:spacing w:before="0" w:after="120"/>
        <w:jc w:val="left"/>
      </w:pPr>
      <w:r>
        <w:rPr>
          <w:rFonts w:ascii="Calibri" w:hAnsi="Calibri"/>
          <w:b w:val="0"/>
          <w:i w:val="0"/>
          <w:sz w:val="21"/>
        </w:rPr>
        <w:t>The current construct_selection_rationale.md (Section 4.1) states three reasons for HM exclusion. Based on the analysis in this document, the argument structure should be revised as follows.</w:t>
      </w:r>
    </w:p>
    <w:tbl>
      <w:tblPr>
        <w:tblStyle w:val="TableGrid"/>
        <w:tblW w:type="auto" w:w="0"/>
        <w:jc w:val="left"/>
        <w:tblLook w:firstColumn="1" w:firstRow="1" w:lastColumn="0" w:lastRow="0" w:noHBand="0" w:noVBand="1" w:val="04A0"/>
      </w:tblPr>
      <w:tblGrid>
        <w:gridCol w:w="1872"/>
        <w:gridCol w:w="2736"/>
        <w:gridCol w:w="3744"/>
        <w:gridCol w:w="1440"/>
      </w:tblGrid>
      <w:tr>
        <w:tc>
          <w:tcPr>
            <w:tcW w:type="dxa" w:w="2340"/>
            <w:shd w:val="clear" w:color="auto" w:fill="1E3A5F"/>
            <w:vAlign w:val="center"/>
          </w:tcPr>
          <w:p>
            <w:pPr>
              <w:spacing w:before="20" w:after="20"/>
              <w:jc w:val="left"/>
            </w:pPr>
            <w:r>
              <w:rPr>
                <w:rFonts w:ascii="Calibri" w:hAnsi="Calibri"/>
                <w:b/>
                <w:i w:val="0"/>
                <w:color w:val="FFFFFF"/>
                <w:sz w:val="20"/>
              </w:rPr>
              <w:t>Argument</w:t>
            </w:r>
          </w:p>
        </w:tc>
        <w:tc>
          <w:tcPr>
            <w:tcW w:type="dxa" w:w="2340"/>
            <w:shd w:val="clear" w:color="auto" w:fill="1E3A5F"/>
            <w:vAlign w:val="center"/>
          </w:tcPr>
          <w:p>
            <w:pPr>
              <w:spacing w:before="20" w:after="20"/>
              <w:jc w:val="left"/>
            </w:pPr>
            <w:r>
              <w:rPr>
                <w:rFonts w:ascii="Calibri" w:hAnsi="Calibri"/>
                <w:b/>
                <w:i w:val="0"/>
                <w:color w:val="FFFFFF"/>
                <w:sz w:val="20"/>
              </w:rPr>
              <w:t>Current rationale (v2026-04-03)</w:t>
            </w:r>
          </w:p>
        </w:tc>
        <w:tc>
          <w:tcPr>
            <w:tcW w:type="dxa" w:w="2340"/>
            <w:shd w:val="clear" w:color="auto" w:fill="1E3A5F"/>
            <w:vAlign w:val="center"/>
          </w:tcPr>
          <w:p>
            <w:pPr>
              <w:spacing w:before="20" w:after="20"/>
              <w:jc w:val="left"/>
            </w:pPr>
            <w:r>
              <w:rPr>
                <w:rFonts w:ascii="Calibri" w:hAnsi="Calibri"/>
                <w:b/>
                <w:i w:val="0"/>
                <w:color w:val="FFFFFF"/>
                <w:sz w:val="20"/>
              </w:rPr>
              <w:t>Revised recommendation</w:t>
            </w:r>
          </w:p>
        </w:tc>
        <w:tc>
          <w:tcPr>
            <w:tcW w:type="dxa" w:w="2340"/>
            <w:shd w:val="clear" w:color="auto" w:fill="1E3A5F"/>
            <w:vAlign w:val="center"/>
          </w:tcPr>
          <w:p>
            <w:pPr>
              <w:spacing w:before="20" w:after="20"/>
              <w:jc w:val="left"/>
            </w:pPr>
            <w:r>
              <w:rPr>
                <w:rFonts w:ascii="Calibri" w:hAnsi="Calibri"/>
                <w:b/>
                <w:i w:val="0"/>
                <w:color w:val="FFFFFF"/>
                <w:sz w:val="20"/>
              </w:rPr>
              <w:t>Strength</w:t>
            </w:r>
          </w:p>
        </w:tc>
      </w:tr>
      <w:tr>
        <w:tc>
          <w:tcPr>
            <w:tcW w:type="dxa" w:w="2340"/>
            <w:shd w:val="clear" w:color="auto" w:fill="FEE2E2"/>
            <w:vAlign w:val="center"/>
          </w:tcPr>
          <w:p>
            <w:pPr>
              <w:spacing w:before="20" w:after="20"/>
              <w:jc w:val="left"/>
            </w:pPr>
            <w:r>
              <w:rPr>
                <w:rFonts w:ascii="Calibri" w:hAnsi="Calibri"/>
                <w:b w:val="0"/>
                <w:i w:val="0"/>
                <w:sz w:val="19"/>
              </w:rPr>
              <w:t>Structural inconsistency</w:t>
            </w:r>
          </w:p>
        </w:tc>
        <w:tc>
          <w:tcPr>
            <w:tcW w:type="dxa" w:w="2340"/>
            <w:shd w:val="clear" w:color="auto" w:fill="FEE2E2"/>
            <w:vAlign w:val="center"/>
          </w:tcPr>
          <w:p>
            <w:pPr>
              <w:spacing w:before="20" w:after="20"/>
              <w:jc w:val="left"/>
            </w:pPr>
            <w:r>
              <w:rPr>
                <w:rFonts w:ascii="Calibri" w:hAnsi="Calibri"/>
                <w:b w:val="0"/>
                <w:i w:val="0"/>
                <w:sz w:val="19"/>
              </w:rPr>
              <w:t>HM serves as exogenous antecedent in some studies but ATT-equivalent position in others</w:t>
            </w:r>
          </w:p>
        </w:tc>
        <w:tc>
          <w:tcPr>
            <w:tcW w:type="dxa" w:w="2340"/>
            <w:shd w:val="clear" w:color="auto" w:fill="FEE2E2"/>
            <w:vAlign w:val="center"/>
          </w:tcPr>
          <w:p>
            <w:pPr>
              <w:spacing w:before="20" w:after="20"/>
              <w:jc w:val="left"/>
            </w:pPr>
            <w:r>
              <w:rPr>
                <w:rFonts w:ascii="Calibri" w:hAnsi="Calibri"/>
                <w:b w:val="0"/>
                <w:i w:val="0"/>
                <w:sz w:val="19"/>
              </w:rPr>
              <w:t>REMOVE or REVISE: 98% of operationalized HM studies use HM as direct BI antecedent (UTAUT2-style). Inconsistency is minimal.</w:t>
            </w:r>
          </w:p>
        </w:tc>
        <w:tc>
          <w:tcPr>
            <w:tcW w:type="dxa" w:w="2340"/>
            <w:shd w:val="clear" w:color="auto" w:fill="FEE2E2"/>
            <w:vAlign w:val="center"/>
          </w:tcPr>
          <w:p>
            <w:pPr>
              <w:spacing w:before="20" w:after="20"/>
              <w:jc w:val="left"/>
            </w:pPr>
            <w:r>
              <w:rPr>
                <w:rFonts w:ascii="Calibri" w:hAnsi="Calibri"/>
                <w:b/>
                <w:i w:val="0"/>
                <w:color w:val="DC2626"/>
                <w:sz w:val="19"/>
              </w:rPr>
              <w:t>Empirically unsupported -- retract</w:t>
            </w:r>
          </w:p>
        </w:tc>
      </w:tr>
      <w:tr>
        <w:tc>
          <w:tcPr>
            <w:tcW w:type="dxa" w:w="2340"/>
            <w:shd w:val="clear" w:color="auto" w:fill="DCFCE7"/>
            <w:vAlign w:val="center"/>
          </w:tcPr>
          <w:p>
            <w:pPr>
              <w:spacing w:before="20" w:after="20"/>
              <w:jc w:val="left"/>
            </w:pPr>
            <w:r>
              <w:rPr>
                <w:rFonts w:ascii="Calibri" w:hAnsi="Calibri"/>
                <w:b w:val="0"/>
                <w:i w:val="0"/>
                <w:sz w:val="19"/>
              </w:rPr>
              <w:t>Coverage failure</w:t>
            </w:r>
          </w:p>
        </w:tc>
        <w:tc>
          <w:tcPr>
            <w:tcW w:type="dxa" w:w="2340"/>
            <w:shd w:val="clear" w:color="auto" w:fill="DCFCE7"/>
            <w:vAlign w:val="center"/>
          </w:tcPr>
          <w:p>
            <w:pPr>
              <w:spacing w:before="20" w:after="20"/>
              <w:jc w:val="left"/>
            </w:pPr>
            <w:r>
              <w:rPr>
                <w:rFonts w:ascii="Calibri" w:hAnsi="Calibri"/>
                <w:b w:val="0"/>
                <w:i w:val="0"/>
                <w:sz w:val="19"/>
              </w:rPr>
              <w:t>Not explicitly stated -- implied by k~33 estimate</w:t>
            </w:r>
          </w:p>
        </w:tc>
        <w:tc>
          <w:tcPr>
            <w:tcW w:type="dxa" w:w="2340"/>
            <w:shd w:val="clear" w:color="auto" w:fill="DCFCE7"/>
            <w:vAlign w:val="center"/>
          </w:tcPr>
          <w:p>
            <w:pPr>
              <w:spacing w:before="20" w:after="20"/>
              <w:jc w:val="left"/>
            </w:pPr>
            <w:r>
              <w:rPr>
                <w:rFonts w:ascii="Calibri" w:hAnsi="Calibri"/>
                <w:b w:val="0"/>
                <w:i w:val="0"/>
                <w:sz w:val="19"/>
              </w:rPr>
              <w:t>ADD as primary argument: HM-ANX cell k=5, HM-TRU k=13, HM-TRU-ANX simultaneous k=2. Positive-definiteness of the augmented matrix is not achievable.</w:t>
            </w:r>
          </w:p>
        </w:tc>
        <w:tc>
          <w:tcPr>
            <w:tcW w:type="dxa" w:w="2340"/>
            <w:shd w:val="clear" w:color="auto" w:fill="DCFCE7"/>
            <w:vAlign w:val="center"/>
          </w:tcPr>
          <w:p>
            <w:pPr>
              <w:spacing w:before="20" w:after="20"/>
              <w:jc w:val="left"/>
            </w:pPr>
            <w:r>
              <w:rPr>
                <w:rFonts w:ascii="Calibri" w:hAnsi="Calibri"/>
                <w:b/>
                <w:i w:val="0"/>
                <w:color w:val="16A34A"/>
                <w:sz w:val="19"/>
              </w:rPr>
              <w:t>Empirically strong -- should lead</w:t>
            </w:r>
          </w:p>
        </w:tc>
      </w:tr>
      <w:tr>
        <w:tc>
          <w:tcPr>
            <w:tcW w:type="dxa" w:w="2340"/>
            <w:shd w:val="clear" w:color="auto" w:fill="DCFCE7"/>
            <w:vAlign w:val="center"/>
          </w:tcPr>
          <w:p>
            <w:pPr>
              <w:spacing w:before="20" w:after="20"/>
              <w:jc w:val="left"/>
            </w:pPr>
            <w:r>
              <w:rPr>
                <w:rFonts w:ascii="Calibri" w:hAnsi="Calibri"/>
                <w:b w:val="0"/>
                <w:i w:val="0"/>
                <w:sz w:val="19"/>
              </w:rPr>
              <w:t>Model architecture conflict</w:t>
            </w:r>
          </w:p>
        </w:tc>
        <w:tc>
          <w:tcPr>
            <w:tcW w:type="dxa" w:w="2340"/>
            <w:shd w:val="clear" w:color="auto" w:fill="DCFCE7"/>
            <w:vAlign w:val="center"/>
          </w:tcPr>
          <w:p>
            <w:pPr>
              <w:spacing w:before="20" w:after="20"/>
              <w:jc w:val="left"/>
            </w:pPr>
            <w:r>
              <w:rPr>
                <w:rFonts w:ascii="Calibri" w:hAnsi="Calibri"/>
                <w:b w:val="0"/>
                <w:i w:val="0"/>
                <w:sz w:val="19"/>
              </w:rPr>
              <w:t>Not stated</w:t>
            </w:r>
          </w:p>
        </w:tc>
        <w:tc>
          <w:tcPr>
            <w:tcW w:type="dxa" w:w="2340"/>
            <w:shd w:val="clear" w:color="auto" w:fill="DCFCE7"/>
            <w:vAlign w:val="center"/>
          </w:tcPr>
          <w:p>
            <w:pPr>
              <w:spacing w:before="20" w:after="20"/>
              <w:jc w:val="left"/>
            </w:pPr>
            <w:r>
              <w:rPr>
                <w:rFonts w:ascii="Calibri" w:hAnsi="Calibri"/>
                <w:b w:val="0"/>
                <w:i w:val="0"/>
                <w:sz w:val="19"/>
              </w:rPr>
              <w:t>ADD as secondary argument: including HM shifts the model from TRA/TPB mediation (Model A) to UTAUT2 parallel-predictor (Model B), changing the theoretical commitment of the study.</w:t>
            </w:r>
          </w:p>
        </w:tc>
        <w:tc>
          <w:tcPr>
            <w:tcW w:type="dxa" w:w="2340"/>
            <w:shd w:val="clear" w:color="auto" w:fill="DCFCE7"/>
            <w:vAlign w:val="center"/>
          </w:tcPr>
          <w:p>
            <w:pPr>
              <w:spacing w:before="20" w:after="20"/>
              <w:jc w:val="left"/>
            </w:pPr>
            <w:r>
              <w:rPr>
                <w:rFonts w:ascii="Calibri" w:hAnsi="Calibri"/>
                <w:b/>
                <w:i w:val="0"/>
                <w:color w:val="16A34A"/>
                <w:sz w:val="19"/>
              </w:rPr>
              <w:t>Theoretically strong -- should be second</w:t>
            </w:r>
          </w:p>
        </w:tc>
      </w:tr>
      <w:tr>
        <w:tc>
          <w:tcPr>
            <w:tcW w:type="dxa" w:w="2340"/>
            <w:shd w:val="clear" w:color="auto" w:fill="FFFFFF"/>
            <w:vAlign w:val="center"/>
          </w:tcPr>
          <w:p>
            <w:pPr>
              <w:spacing w:before="20" w:after="20"/>
              <w:jc w:val="left"/>
            </w:pPr>
            <w:r>
              <w:rPr>
                <w:rFonts w:ascii="Calibri" w:hAnsi="Calibri"/>
                <w:b w:val="0"/>
                <w:i w:val="0"/>
                <w:sz w:val="19"/>
              </w:rPr>
              <w:t>ATT-HM collinearity</w:t>
            </w:r>
          </w:p>
        </w:tc>
        <w:tc>
          <w:tcPr>
            <w:tcW w:type="dxa" w:w="2340"/>
            <w:shd w:val="clear" w:color="auto" w:fill="FFFFFF"/>
            <w:vAlign w:val="center"/>
          </w:tcPr>
          <w:p>
            <w:pPr>
              <w:spacing w:before="20" w:after="20"/>
              <w:jc w:val="left"/>
            </w:pPr>
            <w:r>
              <w:rPr>
                <w:rFonts w:ascii="Calibri" w:hAnsi="Calibri"/>
                <w:b w:val="0"/>
                <w:i w:val="0"/>
                <w:sz w:val="19"/>
              </w:rPr>
              <w:t>Not stated</w:t>
            </w:r>
          </w:p>
        </w:tc>
        <w:tc>
          <w:tcPr>
            <w:tcW w:type="dxa" w:w="2340"/>
            <w:shd w:val="clear" w:color="auto" w:fill="FFFFFF"/>
            <w:vAlign w:val="center"/>
          </w:tcPr>
          <w:p>
            <w:pPr>
              <w:spacing w:before="20" w:after="20"/>
              <w:jc w:val="left"/>
            </w:pPr>
            <w:r>
              <w:rPr>
                <w:rFonts w:ascii="Calibri" w:hAnsi="Calibri"/>
                <w:b w:val="0"/>
                <w:i w:val="0"/>
                <w:sz w:val="19"/>
              </w:rPr>
              <w:t>ADD as tertiary argument: expected r(HM,ATT) ≈ .60-.80 creates multicollinearity in Stage 2 SEM; ATT-&gt;BI and HM-&gt;BI path estimates would be unstable.</w:t>
            </w:r>
          </w:p>
        </w:tc>
        <w:tc>
          <w:tcPr>
            <w:tcW w:type="dxa" w:w="2340"/>
            <w:shd w:val="clear" w:color="auto" w:fill="FFFFFF"/>
            <w:vAlign w:val="center"/>
          </w:tcPr>
          <w:p>
            <w:pPr>
              <w:spacing w:before="20" w:after="20"/>
              <w:jc w:val="left"/>
            </w:pPr>
            <w:r>
              <w:rPr>
                <w:rFonts w:ascii="Calibri" w:hAnsi="Calibri"/>
                <w:b/>
                <w:i w:val="0"/>
                <w:color w:val="D97706"/>
                <w:sz w:val="19"/>
              </w:rPr>
              <w:t>Model-level concern -- supporting</w:t>
            </w:r>
          </w:p>
        </w:tc>
      </w:tr>
      <w:tr>
        <w:tc>
          <w:tcPr>
            <w:tcW w:type="dxa" w:w="2340"/>
            <w:shd w:val="clear" w:color="auto" w:fill="F1F5F9"/>
            <w:vAlign w:val="center"/>
          </w:tcPr>
          <w:p>
            <w:pPr>
              <w:spacing w:before="20" w:after="20"/>
              <w:jc w:val="left"/>
            </w:pPr>
            <w:r>
              <w:rPr>
                <w:rFonts w:ascii="Calibri" w:hAnsi="Calibri"/>
                <w:b w:val="0"/>
                <w:i w:val="0"/>
                <w:sz w:val="19"/>
              </w:rPr>
              <w:t>Low AI-specificity</w:t>
            </w:r>
          </w:p>
        </w:tc>
        <w:tc>
          <w:tcPr>
            <w:tcW w:type="dxa" w:w="2340"/>
            <w:shd w:val="clear" w:color="auto" w:fill="F1F5F9"/>
            <w:vAlign w:val="center"/>
          </w:tcPr>
          <w:p>
            <w:pPr>
              <w:spacing w:before="20" w:after="20"/>
              <w:jc w:val="left"/>
            </w:pPr>
            <w:r>
              <w:rPr>
                <w:rFonts w:ascii="Calibri" w:hAnsi="Calibri"/>
                <w:b w:val="0"/>
                <w:i w:val="0"/>
                <w:sz w:val="19"/>
              </w:rPr>
              <w:t>Stated (Argument 2)</w:t>
            </w:r>
          </w:p>
        </w:tc>
        <w:tc>
          <w:tcPr>
            <w:tcW w:type="dxa" w:w="2340"/>
            <w:shd w:val="clear" w:color="auto" w:fill="F1F5F9"/>
            <w:vAlign w:val="center"/>
          </w:tcPr>
          <w:p>
            <w:pPr>
              <w:spacing w:before="20" w:after="20"/>
              <w:jc w:val="left"/>
            </w:pPr>
            <w:r>
              <w:rPr>
                <w:rFonts w:ascii="Calibri" w:hAnsi="Calibri"/>
                <w:b w:val="0"/>
                <w:i w:val="0"/>
                <w:sz w:val="19"/>
              </w:rPr>
              <w:t>RETAIN: HM operates identically in social media and gaming contexts; no theoretical shift expected for AI-specific adoption.</w:t>
            </w:r>
          </w:p>
        </w:tc>
        <w:tc>
          <w:tcPr>
            <w:tcW w:type="dxa" w:w="2340"/>
            <w:shd w:val="clear" w:color="auto" w:fill="F1F5F9"/>
            <w:vAlign w:val="center"/>
          </w:tcPr>
          <w:p>
            <w:pPr>
              <w:spacing w:before="20" w:after="20"/>
              <w:jc w:val="left"/>
            </w:pPr>
            <w:r>
              <w:rPr>
                <w:rFonts w:ascii="Calibri" w:hAnsi="Calibri"/>
                <w:b/>
                <w:i w:val="0"/>
                <w:color w:val="D97706"/>
                <w:sz w:val="19"/>
              </w:rPr>
              <w:t>Theoretical -- retain as supporting</w:t>
            </w:r>
          </w:p>
        </w:tc>
      </w:tr>
      <w:tr>
        <w:tc>
          <w:tcPr>
            <w:tcW w:type="dxa" w:w="2340"/>
            <w:shd w:val="clear" w:color="auto" w:fill="FFFFFF"/>
            <w:vAlign w:val="center"/>
          </w:tcPr>
          <w:p>
            <w:pPr>
              <w:spacing w:before="20" w:after="20"/>
              <w:jc w:val="left"/>
            </w:pPr>
            <w:r>
              <w:rPr>
                <w:rFonts w:ascii="Calibri" w:hAnsi="Calibri"/>
                <w:b w:val="0"/>
                <w:i w:val="0"/>
                <w:sz w:val="19"/>
              </w:rPr>
              <w:t>Operationalization heterogeneity</w:t>
            </w:r>
          </w:p>
        </w:tc>
        <w:tc>
          <w:tcPr>
            <w:tcW w:type="dxa" w:w="2340"/>
            <w:shd w:val="clear" w:color="auto" w:fill="FFFFFF"/>
            <w:vAlign w:val="center"/>
          </w:tcPr>
          <w:p>
            <w:pPr>
              <w:spacing w:before="20" w:after="20"/>
              <w:jc w:val="left"/>
            </w:pPr>
            <w:r>
              <w:rPr>
                <w:rFonts w:ascii="Calibri" w:hAnsi="Calibri"/>
                <w:b w:val="0"/>
                <w:i w:val="0"/>
                <w:sz w:val="19"/>
              </w:rPr>
              <w:t>Stated (Argument 3)</w:t>
            </w:r>
          </w:p>
        </w:tc>
        <w:tc>
          <w:tcPr>
            <w:tcW w:type="dxa" w:w="2340"/>
            <w:shd w:val="clear" w:color="auto" w:fill="FFFFFF"/>
            <w:vAlign w:val="center"/>
          </w:tcPr>
          <w:p>
            <w:pPr>
              <w:spacing w:before="20" w:after="20"/>
              <w:jc w:val="left"/>
            </w:pPr>
            <w:r>
              <w:rPr>
                <w:rFonts w:ascii="Calibri" w:hAnsi="Calibri"/>
                <w:b w:val="0"/>
                <w:i w:val="0"/>
                <w:sz w:val="19"/>
              </w:rPr>
              <w:t>RETAIN with caveat: perceived enjoyment, intrinsic motivation, perceived fun vary across studies. Item-level audit needed to confirm.</w:t>
            </w:r>
          </w:p>
        </w:tc>
        <w:tc>
          <w:tcPr>
            <w:tcW w:type="dxa" w:w="2340"/>
            <w:shd w:val="clear" w:color="auto" w:fill="FFFFFF"/>
            <w:vAlign w:val="center"/>
          </w:tcPr>
          <w:p>
            <w:pPr>
              <w:spacing w:before="20" w:after="20"/>
              <w:jc w:val="left"/>
            </w:pPr>
            <w:r>
              <w:rPr>
                <w:rFonts w:ascii="Calibri" w:hAnsi="Calibri"/>
                <w:b/>
                <w:i w:val="0"/>
                <w:color w:val="D97706"/>
                <w:sz w:val="19"/>
              </w:rPr>
              <w:t>Partially supported -- retain</w:t>
            </w:r>
          </w:p>
        </w:tc>
      </w:tr>
    </w:tbl>
    <w:p>
      <w:pPr>
        <w:spacing w:before="0" w:after="160"/>
        <w:jc w:val="left"/>
      </w:pPr>
      <w:r>
        <w:rPr>
          <w:rFonts w:ascii="Calibri" w:hAnsi="Calibri"/>
          <w:b w:val="0"/>
          <w:i/>
          <w:color w:val="6B7280"/>
          <w:sz w:val="18"/>
        </w:rPr>
        <w:t>Table 5. Recommended revisions to construct_selection_rationale.md Section 4.1.</w:t>
      </w:r>
    </w:p>
    <w:p>
      <w:pPr>
        <w:spacing w:before="100" w:after="60"/>
        <w:ind w:left="227"/>
      </w:pPr>
      <w:r>
        <w:rPr>
          <w:rFonts w:ascii="Calibri" w:hAnsi="Calibri"/>
          <w:b/>
          <w:i w:val="0"/>
          <w:color w:val="1E40AF"/>
          <w:sz w:val="20"/>
        </w:rPr>
        <w:t xml:space="preserve">Open Question 6:  </w:t>
      </w:r>
      <w:r>
        <w:rPr>
          <w:rFonts w:ascii="Calibri" w:hAnsi="Calibri"/>
          <w:b w:val="0"/>
          <w:i/>
          <w:color w:val="374151"/>
          <w:sz w:val="20"/>
        </w:rPr>
        <w:t>Should the rationale document be revised now (pre-coding completion) or after all 224 studies are coded and co-occurrence counts are finalized? A post-coding revision would have exact k values for every HM cell.</w:t>
      </w:r>
    </w:p>
    <w:p>
      <w:pPr>
        <w:pStyle w:val="Heading1"/>
        <w:spacing w:before="280" w:after="80"/>
      </w:pPr>
      <w:r>
        <w:rPr>
          <w:color w:val="1E3A8A"/>
          <w:sz w:val="28"/>
        </w:rPr>
        <w:t>6.  ANX vs. Perceived Risk: Standing Issues</w:t>
      </w:r>
    </w:p>
    <w:p>
      <w:pPr>
        <w:spacing w:before="0" w:after="80"/>
        <w:jc w:val="left"/>
      </w:pPr>
      <w:r>
        <w:rPr>
          <w:rFonts w:ascii="Calibri" w:hAnsi="Calibri"/>
          <w:b w:val="0"/>
          <w:i/>
          <w:sz w:val="20"/>
        </w:rPr>
        <w:t>This section retains the ANX/PR classification issues from v1, condensed.</w:t>
      </w:r>
    </w:p>
    <w:tbl>
      <w:tblPr>
        <w:tblStyle w:val="TableGrid"/>
        <w:tblW w:type="auto" w:w="0"/>
        <w:jc w:val="left"/>
        <w:tblLook w:firstColumn="1" w:firstRow="1" w:lastColumn="0" w:lastRow="0" w:noHBand="0" w:noVBand="1" w:val="04A0"/>
      </w:tblPr>
      <w:tblGrid>
        <w:gridCol w:w="2016"/>
        <w:gridCol w:w="3888"/>
        <w:gridCol w:w="3888"/>
      </w:tblGrid>
      <w:tr>
        <w:tc>
          <w:tcPr>
            <w:tcW w:type="dxa" w:w="3120"/>
            <w:shd w:val="clear" w:color="auto" w:fill="1E3A5F"/>
            <w:vAlign w:val="center"/>
          </w:tcPr>
          <w:p>
            <w:pPr>
              <w:spacing w:before="20" w:after="20"/>
              <w:jc w:val="left"/>
            </w:pPr>
            <w:r>
              <w:rPr>
                <w:rFonts w:ascii="Calibri" w:hAnsi="Calibri"/>
                <w:b/>
                <w:i w:val="0"/>
                <w:color w:val="FFFFFF"/>
                <w:sz w:val="20"/>
              </w:rPr>
              <w:t>Dimension</w:t>
            </w:r>
          </w:p>
        </w:tc>
        <w:tc>
          <w:tcPr>
            <w:tcW w:type="dxa" w:w="3120"/>
            <w:shd w:val="clear" w:color="auto" w:fill="1E3A5F"/>
            <w:vAlign w:val="center"/>
          </w:tcPr>
          <w:p>
            <w:pPr>
              <w:spacing w:before="20" w:after="20"/>
              <w:jc w:val="left"/>
            </w:pPr>
            <w:r>
              <w:rPr>
                <w:rFonts w:ascii="Calibri" w:hAnsi="Calibri"/>
                <w:b/>
                <w:i w:val="0"/>
                <w:color w:val="FFFFFF"/>
                <w:sz w:val="20"/>
              </w:rPr>
              <w:t>ANX (AI Anxiety)</w:t>
            </w:r>
          </w:p>
        </w:tc>
        <w:tc>
          <w:tcPr>
            <w:tcW w:type="dxa" w:w="3120"/>
            <w:shd w:val="clear" w:color="auto" w:fill="1E3A5F"/>
            <w:vAlign w:val="center"/>
          </w:tcPr>
          <w:p>
            <w:pPr>
              <w:spacing w:before="20" w:after="20"/>
              <w:jc w:val="left"/>
            </w:pPr>
            <w:r>
              <w:rPr>
                <w:rFonts w:ascii="Calibri" w:hAnsi="Calibri"/>
                <w:b/>
                <w:i w:val="0"/>
                <w:color w:val="FFFFFF"/>
                <w:sz w:val="20"/>
              </w:rPr>
              <w:t>Perceived Risk (PR)</w:t>
            </w:r>
          </w:p>
        </w:tc>
      </w:tr>
      <w:tr>
        <w:tc>
          <w:tcPr>
            <w:tcW w:type="dxa" w:w="3120"/>
            <w:shd w:val="clear" w:color="auto" w:fill="F1F5F9"/>
            <w:vAlign w:val="center"/>
          </w:tcPr>
          <w:p>
            <w:pPr>
              <w:spacing w:before="20" w:after="20"/>
              <w:jc w:val="left"/>
            </w:pPr>
            <w:r>
              <w:rPr>
                <w:rFonts w:ascii="Calibri" w:hAnsi="Calibri"/>
                <w:b w:val="0"/>
                <w:i w:val="0"/>
                <w:sz w:val="19"/>
              </w:rPr>
              <w:t>Nature</w:t>
            </w:r>
          </w:p>
        </w:tc>
        <w:tc>
          <w:tcPr>
            <w:tcW w:type="dxa" w:w="3120"/>
            <w:shd w:val="clear" w:color="auto" w:fill="F1F5F9"/>
            <w:vAlign w:val="center"/>
          </w:tcPr>
          <w:p>
            <w:pPr>
              <w:spacing w:before="20" w:after="20"/>
              <w:jc w:val="left"/>
            </w:pPr>
            <w:r>
              <w:rPr>
                <w:rFonts w:ascii="Calibri" w:hAnsi="Calibri"/>
                <w:b w:val="0"/>
                <w:i w:val="0"/>
                <w:sz w:val="19"/>
              </w:rPr>
              <w:t>Emotional state: fear, nervousness</w:t>
            </w:r>
          </w:p>
        </w:tc>
        <w:tc>
          <w:tcPr>
            <w:tcW w:type="dxa" w:w="3120"/>
            <w:shd w:val="clear" w:color="auto" w:fill="F1F5F9"/>
            <w:vAlign w:val="center"/>
          </w:tcPr>
          <w:p>
            <w:pPr>
              <w:spacing w:before="20" w:after="20"/>
              <w:jc w:val="left"/>
            </w:pPr>
            <w:r>
              <w:rPr>
                <w:rFonts w:ascii="Calibri" w:hAnsi="Calibri"/>
                <w:b w:val="0"/>
                <w:i w:val="0"/>
                <w:sz w:val="19"/>
              </w:rPr>
              <w:t>Cognitive: probability x consequence</w:t>
            </w:r>
          </w:p>
        </w:tc>
      </w:tr>
      <w:tr>
        <w:tc>
          <w:tcPr>
            <w:tcW w:type="dxa" w:w="3120"/>
            <w:shd w:val="clear" w:color="auto" w:fill="FFFFFF"/>
            <w:vAlign w:val="center"/>
          </w:tcPr>
          <w:p>
            <w:pPr>
              <w:spacing w:before="20" w:after="20"/>
              <w:jc w:val="left"/>
            </w:pPr>
            <w:r>
              <w:rPr>
                <w:rFonts w:ascii="Calibri" w:hAnsi="Calibri"/>
                <w:b w:val="0"/>
                <w:i w:val="0"/>
                <w:sz w:val="19"/>
              </w:rPr>
              <w:t>Item stem</w:t>
            </w:r>
          </w:p>
        </w:tc>
        <w:tc>
          <w:tcPr>
            <w:tcW w:type="dxa" w:w="3120"/>
            <w:shd w:val="clear" w:color="auto" w:fill="FFFFFF"/>
            <w:vAlign w:val="center"/>
          </w:tcPr>
          <w:p>
            <w:pPr>
              <w:spacing w:before="20" w:after="20"/>
              <w:jc w:val="left"/>
            </w:pPr>
            <w:r>
              <w:rPr>
                <w:rFonts w:ascii="Calibri" w:hAnsi="Calibri"/>
                <w:b w:val="0"/>
                <w:i w:val="0"/>
                <w:sz w:val="19"/>
              </w:rPr>
              <w:t>"AI makes me anxious / nervous"</w:t>
            </w:r>
          </w:p>
        </w:tc>
        <w:tc>
          <w:tcPr>
            <w:tcW w:type="dxa" w:w="3120"/>
            <w:shd w:val="clear" w:color="auto" w:fill="FFFFFF"/>
            <w:vAlign w:val="center"/>
          </w:tcPr>
          <w:p>
            <w:pPr>
              <w:spacing w:before="20" w:after="20"/>
              <w:jc w:val="left"/>
            </w:pPr>
            <w:r>
              <w:rPr>
                <w:rFonts w:ascii="Calibri" w:hAnsi="Calibri"/>
                <w:b w:val="0"/>
                <w:i w:val="0"/>
                <w:sz w:val="19"/>
              </w:rPr>
              <w:t>"There is a risk that AI will..."</w:t>
            </w:r>
          </w:p>
        </w:tc>
      </w:tr>
      <w:tr>
        <w:tc>
          <w:tcPr>
            <w:tcW w:type="dxa" w:w="3120"/>
            <w:shd w:val="clear" w:color="auto" w:fill="F1F5F9"/>
            <w:vAlign w:val="center"/>
          </w:tcPr>
          <w:p>
            <w:pPr>
              <w:spacing w:before="20" w:after="20"/>
              <w:jc w:val="left"/>
            </w:pPr>
            <w:r>
              <w:rPr>
                <w:rFonts w:ascii="Calibri" w:hAnsi="Calibri"/>
                <w:b w:val="0"/>
                <w:i w:val="0"/>
                <w:sz w:val="19"/>
              </w:rPr>
              <w:t>Structural path</w:t>
            </w:r>
          </w:p>
        </w:tc>
        <w:tc>
          <w:tcPr>
            <w:tcW w:type="dxa" w:w="3120"/>
            <w:shd w:val="clear" w:color="auto" w:fill="F1F5F9"/>
            <w:vAlign w:val="center"/>
          </w:tcPr>
          <w:p>
            <w:pPr>
              <w:spacing w:before="20" w:after="20"/>
              <w:jc w:val="left"/>
            </w:pPr>
            <w:r>
              <w:rPr>
                <w:rFonts w:ascii="Calibri" w:hAnsi="Calibri"/>
                <w:b w:val="0"/>
                <w:i w:val="0"/>
                <w:sz w:val="19"/>
              </w:rPr>
              <w:t>ANX-&gt;BI (-); ANX-&gt;ATT (-)</w:t>
            </w:r>
          </w:p>
        </w:tc>
        <w:tc>
          <w:tcPr>
            <w:tcW w:type="dxa" w:w="3120"/>
            <w:shd w:val="clear" w:color="auto" w:fill="F1F5F9"/>
            <w:vAlign w:val="center"/>
          </w:tcPr>
          <w:p>
            <w:pPr>
              <w:spacing w:before="20" w:after="20"/>
              <w:jc w:val="left"/>
            </w:pPr>
            <w:r>
              <w:rPr>
                <w:rFonts w:ascii="Calibri" w:hAnsi="Calibri"/>
                <w:b w:val="0"/>
                <w:i w:val="0"/>
                <w:sz w:val="19"/>
              </w:rPr>
              <w:t>PR-&gt;ATT (-) typical</w:t>
            </w:r>
          </w:p>
        </w:tc>
      </w:tr>
      <w:tr>
        <w:tc>
          <w:tcPr>
            <w:tcW w:type="dxa" w:w="3120"/>
            <w:shd w:val="clear" w:color="auto" w:fill="FFFFFF"/>
            <w:vAlign w:val="center"/>
          </w:tcPr>
          <w:p>
            <w:pPr>
              <w:spacing w:before="20" w:after="20"/>
              <w:jc w:val="left"/>
            </w:pPr>
            <w:r>
              <w:rPr>
                <w:rFonts w:ascii="Calibri" w:hAnsi="Calibri"/>
                <w:b w:val="0"/>
                <w:i w:val="0"/>
                <w:sz w:val="19"/>
              </w:rPr>
              <w:t>Boundary problem</w:t>
            </w:r>
          </w:p>
        </w:tc>
        <w:tc>
          <w:tcPr>
            <w:tcW w:type="dxa" w:w="3120"/>
            <w:shd w:val="clear" w:color="auto" w:fill="FFFFFF"/>
            <w:vAlign w:val="center"/>
          </w:tcPr>
          <w:p>
            <w:pPr>
              <w:spacing w:before="20" w:after="20"/>
              <w:jc w:val="left"/>
            </w:pPr>
            <w:r>
              <w:rPr>
                <w:rFonts w:ascii="Calibri" w:hAnsi="Calibri"/>
                <w:b w:val="0"/>
                <w:i w:val="0"/>
                <w:sz w:val="19"/>
              </w:rPr>
              <w:t>Affective PR items overlap with ANX</w:t>
            </w:r>
          </w:p>
        </w:tc>
        <w:tc>
          <w:tcPr>
            <w:tcW w:type="dxa" w:w="3120"/>
            <w:shd w:val="clear" w:color="auto" w:fill="FFFFFF"/>
            <w:vAlign w:val="center"/>
          </w:tcPr>
          <w:p>
            <w:pPr>
              <w:spacing w:before="20" w:after="20"/>
              <w:jc w:val="left"/>
            </w:pPr>
            <w:r>
              <w:rPr>
                <w:rFonts w:ascii="Calibri" w:hAnsi="Calibri"/>
                <w:b w:val="0"/>
                <w:i w:val="0"/>
                <w:sz w:val="19"/>
              </w:rPr>
              <w:t>Cognitive PR items do NOT map to ANX</w:t>
            </w:r>
          </w:p>
        </w:tc>
      </w:tr>
    </w:tbl>
    <w:p>
      <w:pPr>
        <w:spacing w:before="0" w:after="120"/>
        <w:jc w:val="left"/>
      </w:pPr>
      <w:r>
        <w:rPr>
          <w:rFonts w:ascii="Calibri" w:hAnsi="Calibri"/>
          <w:b w:val="0"/>
          <w:i/>
          <w:color w:val="6B7280"/>
          <w:sz w:val="18"/>
        </w:rPr>
        <w:t>Table 6. ANX vs. PR theoretical distinction.</w:t>
      </w:r>
    </w:p>
    <w:p>
      <w:pPr>
        <w:pStyle w:val="Heading2"/>
        <w:spacing w:before="200" w:after="80"/>
      </w:pPr>
      <w:r>
        <w:rPr>
          <w:color w:val="2563EB"/>
          <w:sz w:val="24"/>
        </w:rPr>
        <w:t>6.1  S071 (Perceived Risk) Status</w:t>
      </w:r>
    </w:p>
    <w:tbl>
      <w:tblPr>
        <w:tblStyle w:val="TableGrid"/>
        <w:tblW w:type="auto" w:w="0"/>
        <w:jc w:val="left"/>
        <w:tblLook w:firstColumn="1" w:firstRow="1" w:lastColumn="0" w:lastRow="0" w:noHBand="0" w:noVBand="1" w:val="04A0"/>
      </w:tblPr>
      <w:tblGrid>
        <w:gridCol w:w="2016"/>
        <w:gridCol w:w="4320"/>
        <w:gridCol w:w="3312"/>
      </w:tblGrid>
      <w:tr>
        <w:tc>
          <w:tcPr>
            <w:tcW w:type="dxa" w:w="3120"/>
            <w:shd w:val="clear" w:color="auto" w:fill="1E3A5F"/>
            <w:vAlign w:val="center"/>
          </w:tcPr>
          <w:p>
            <w:pPr>
              <w:spacing w:before="20" w:after="20"/>
              <w:jc w:val="left"/>
            </w:pPr>
            <w:r>
              <w:rPr>
                <w:rFonts w:ascii="Calibri" w:hAnsi="Calibri"/>
                <w:b/>
                <w:i w:val="0"/>
                <w:color w:val="FFFFFF"/>
                <w:sz w:val="20"/>
              </w:rPr>
              <w:t>Evidence</w:t>
            </w:r>
          </w:p>
        </w:tc>
        <w:tc>
          <w:tcPr>
            <w:tcW w:type="dxa" w:w="3120"/>
            <w:shd w:val="clear" w:color="auto" w:fill="1E3A5F"/>
            <w:vAlign w:val="center"/>
          </w:tcPr>
          <w:p>
            <w:pPr>
              <w:spacing w:before="20" w:after="20"/>
              <w:jc w:val="left"/>
            </w:pPr>
            <w:r>
              <w:rPr>
                <w:rFonts w:ascii="Calibri" w:hAnsi="Calibri"/>
                <w:b/>
                <w:i w:val="0"/>
                <w:color w:val="FFFFFF"/>
                <w:sz w:val="20"/>
              </w:rPr>
              <w:t>Finding</w:t>
            </w:r>
          </w:p>
        </w:tc>
        <w:tc>
          <w:tcPr>
            <w:tcW w:type="dxa" w:w="3120"/>
            <w:shd w:val="clear" w:color="auto" w:fill="1E3A5F"/>
            <w:vAlign w:val="center"/>
          </w:tcPr>
          <w:p>
            <w:pPr>
              <w:spacing w:before="20" w:after="20"/>
              <w:jc w:val="left"/>
            </w:pPr>
            <w:r>
              <w:rPr>
                <w:rFonts w:ascii="Calibri" w:hAnsi="Calibri"/>
                <w:b/>
                <w:i w:val="0"/>
                <w:color w:val="FFFFFF"/>
                <w:sz w:val="20"/>
              </w:rPr>
              <w:t>Implication for coding</w:t>
            </w:r>
          </w:p>
        </w:tc>
      </w:tr>
      <w:tr>
        <w:tc>
          <w:tcPr>
            <w:tcW w:type="dxa" w:w="3120"/>
            <w:shd w:val="clear" w:color="auto" w:fill="F1F5F9"/>
            <w:vAlign w:val="center"/>
          </w:tcPr>
          <w:p>
            <w:pPr>
              <w:spacing w:before="20" w:after="20"/>
              <w:jc w:val="left"/>
            </w:pPr>
            <w:r>
              <w:rPr>
                <w:rFonts w:ascii="Calibri" w:hAnsi="Calibri"/>
                <w:b w:val="0"/>
                <w:i w:val="0"/>
                <w:sz w:val="19"/>
              </w:rPr>
              <w:t>Model structure</w:t>
            </w:r>
          </w:p>
        </w:tc>
        <w:tc>
          <w:tcPr>
            <w:tcW w:type="dxa" w:w="3120"/>
            <w:shd w:val="clear" w:color="auto" w:fill="F1F5F9"/>
            <w:vAlign w:val="center"/>
          </w:tcPr>
          <w:p>
            <w:pPr>
              <w:spacing w:before="20" w:after="20"/>
              <w:jc w:val="left"/>
            </w:pPr>
            <w:r>
              <w:rPr>
                <w:rFonts w:ascii="Calibri" w:hAnsi="Calibri"/>
                <w:b w:val="0"/>
                <w:i w:val="0"/>
                <w:sz w:val="19"/>
              </w:rPr>
              <w:t>PR-&gt;ATT (path coeff. = -0.104, p=.075). No PR-&gt;BI path.</w:t>
            </w:r>
          </w:p>
        </w:tc>
        <w:tc>
          <w:tcPr>
            <w:tcW w:type="dxa" w:w="3120"/>
            <w:shd w:val="clear" w:color="auto" w:fill="F1F5F9"/>
            <w:vAlign w:val="center"/>
          </w:tcPr>
          <w:p>
            <w:pPr>
              <w:spacing w:before="20" w:after="20"/>
              <w:jc w:val="left"/>
            </w:pPr>
            <w:r>
              <w:rPr>
                <w:rFonts w:ascii="Calibri" w:hAnsi="Calibri"/>
                <w:b w:val="0"/>
                <w:i w:val="0"/>
                <w:sz w:val="19"/>
              </w:rPr>
              <w:t>Structural pattern matches cognitive PR, not affective ANX</w:t>
            </w:r>
          </w:p>
        </w:tc>
      </w:tr>
      <w:tr>
        <w:tc>
          <w:tcPr>
            <w:tcW w:type="dxa" w:w="3120"/>
            <w:shd w:val="clear" w:color="auto" w:fill="FFFFFF"/>
            <w:vAlign w:val="center"/>
          </w:tcPr>
          <w:p>
            <w:pPr>
              <w:spacing w:before="20" w:after="20"/>
              <w:jc w:val="left"/>
            </w:pPr>
            <w:r>
              <w:rPr>
                <w:rFonts w:ascii="Calibri" w:hAnsi="Calibri"/>
                <w:b w:val="0"/>
                <w:i w:val="0"/>
                <w:sz w:val="19"/>
              </w:rPr>
              <w:t>Discussion text</w:t>
            </w:r>
          </w:p>
        </w:tc>
        <w:tc>
          <w:tcPr>
            <w:tcW w:type="dxa" w:w="3120"/>
            <w:shd w:val="clear" w:color="auto" w:fill="FFFFFF"/>
            <w:vAlign w:val="center"/>
          </w:tcPr>
          <w:p>
            <w:pPr>
              <w:spacing w:before="20" w:after="20"/>
              <w:jc w:val="left"/>
            </w:pPr>
            <w:r>
              <w:rPr>
                <w:rFonts w:ascii="Calibri" w:hAnsi="Calibri"/>
                <w:b w:val="0"/>
                <w:i w:val="0"/>
                <w:sz w:val="19"/>
              </w:rPr>
              <w:t>"Concerns over accuracy and safety" -- cognitive framing</w:t>
            </w:r>
          </w:p>
        </w:tc>
        <w:tc>
          <w:tcPr>
            <w:tcW w:type="dxa" w:w="3120"/>
            <w:shd w:val="clear" w:color="auto" w:fill="FFFFFF"/>
            <w:vAlign w:val="center"/>
          </w:tcPr>
          <w:p>
            <w:pPr>
              <w:spacing w:before="20" w:after="20"/>
              <w:jc w:val="left"/>
            </w:pPr>
            <w:r>
              <w:rPr>
                <w:rFonts w:ascii="Calibri" w:hAnsi="Calibri"/>
                <w:b w:val="0"/>
                <w:i w:val="0"/>
                <w:sz w:val="19"/>
              </w:rPr>
              <w:t>Supports cognitive PR interpretation</w:t>
            </w:r>
          </w:p>
        </w:tc>
      </w:tr>
      <w:tr>
        <w:tc>
          <w:tcPr>
            <w:tcW w:type="dxa" w:w="3120"/>
            <w:shd w:val="clear" w:color="auto" w:fill="F0FDF4"/>
            <w:vAlign w:val="center"/>
          </w:tcPr>
          <w:p>
            <w:pPr>
              <w:spacing w:before="20" w:after="20"/>
              <w:jc w:val="left"/>
            </w:pPr>
            <w:r>
              <w:rPr>
                <w:rFonts w:ascii="Calibri" w:hAnsi="Calibri"/>
                <w:b w:val="0"/>
                <w:i w:val="0"/>
                <w:sz w:val="19"/>
              </w:rPr>
              <w:t>SEM method</w:t>
            </w:r>
          </w:p>
        </w:tc>
        <w:tc>
          <w:tcPr>
            <w:tcW w:type="dxa" w:w="3120"/>
            <w:shd w:val="clear" w:color="auto" w:fill="F0FDF4"/>
            <w:vAlign w:val="center"/>
          </w:tcPr>
          <w:p>
            <w:pPr>
              <w:spacing w:before="20" w:after="20"/>
              <w:jc w:val="left"/>
            </w:pPr>
            <w:r>
              <w:rPr>
                <w:rFonts w:ascii="Calibri" w:hAnsi="Calibri"/>
                <w:b w:val="0"/>
                <w:i w:val="0"/>
                <w:sz w:val="19"/>
              </w:rPr>
              <w:t>PLS-SEM -- not extractable for Stage 1 regardless of classification</w:t>
            </w:r>
          </w:p>
        </w:tc>
        <w:tc>
          <w:tcPr>
            <w:tcW w:type="dxa" w:w="3120"/>
            <w:shd w:val="clear" w:color="auto" w:fill="F0FDF4"/>
            <w:vAlign w:val="center"/>
          </w:tcPr>
          <w:p>
            <w:pPr>
              <w:spacing w:before="20" w:after="20"/>
              <w:jc w:val="left"/>
            </w:pPr>
            <w:r>
              <w:rPr>
                <w:rFonts w:ascii="Calibri" w:hAnsi="Calibri"/>
                <w:b w:val="0"/>
                <w:i w:val="0"/>
                <w:sz w:val="19"/>
              </w:rPr>
              <w:t>Classification decision has no MASEM impact for this study</w:t>
            </w:r>
          </w:p>
        </w:tc>
      </w:tr>
      <w:tr>
        <w:tc>
          <w:tcPr>
            <w:tcW w:type="dxa" w:w="3120"/>
            <w:shd w:val="clear" w:color="auto" w:fill="FFFFFF"/>
            <w:vAlign w:val="center"/>
          </w:tcPr>
          <w:p>
            <w:pPr>
              <w:spacing w:before="20" w:after="20"/>
              <w:jc w:val="left"/>
            </w:pPr>
            <w:r>
              <w:rPr>
                <w:rFonts w:ascii="Calibri" w:hAnsi="Calibri"/>
                <w:b w:val="0"/>
                <w:i w:val="0"/>
                <w:sz w:val="19"/>
              </w:rPr>
              <w:t>Item text</w:t>
            </w:r>
          </w:p>
        </w:tc>
        <w:tc>
          <w:tcPr>
            <w:tcW w:type="dxa" w:w="3120"/>
            <w:shd w:val="clear" w:color="auto" w:fill="FFFFFF"/>
            <w:vAlign w:val="center"/>
          </w:tcPr>
          <w:p>
            <w:pPr>
              <w:spacing w:before="20" w:after="20"/>
              <w:jc w:val="left"/>
            </w:pPr>
            <w:r>
              <w:rPr>
                <w:rFonts w:ascii="Calibri" w:hAnsi="Calibri"/>
                <w:b w:val="0"/>
                <w:i w:val="0"/>
                <w:sz w:val="19"/>
              </w:rPr>
              <w:t>Not recoverable from PDF or Emerald (paywall). Penn State library access needed.</w:t>
            </w:r>
          </w:p>
        </w:tc>
        <w:tc>
          <w:tcPr>
            <w:tcW w:type="dxa" w:w="3120"/>
            <w:shd w:val="clear" w:color="auto" w:fill="FFFFFF"/>
            <w:vAlign w:val="center"/>
          </w:tcPr>
          <w:p>
            <w:pPr>
              <w:spacing w:before="20" w:after="20"/>
              <w:jc w:val="left"/>
            </w:pPr>
            <w:r>
              <w:rPr>
                <w:rFonts w:ascii="Calibri" w:hAnsi="Calibri"/>
                <w:b w:val="0"/>
                <w:i w:val="0"/>
                <w:sz w:val="19"/>
              </w:rPr>
              <w:t>Pending -- unmapped status maintained</w:t>
            </w:r>
          </w:p>
        </w:tc>
      </w:tr>
    </w:tbl>
    <w:p>
      <w:pPr>
        <w:spacing w:before="0" w:after="120"/>
        <w:jc w:val="left"/>
      </w:pPr>
      <w:r>
        <w:rPr>
          <w:rFonts w:ascii="Calibri" w:hAnsi="Calibri"/>
          <w:b w:val="0"/>
          <w:i/>
          <w:color w:val="6B7280"/>
          <w:sz w:val="18"/>
        </w:rPr>
        <w:t>Table 7. S071 evidence summary.</w:t>
      </w:r>
    </w:p>
    <w:p>
      <w:pPr>
        <w:spacing w:before="100" w:after="60"/>
        <w:ind w:left="227"/>
      </w:pPr>
      <w:r>
        <w:rPr>
          <w:rFonts w:ascii="Calibri" w:hAnsi="Calibri"/>
          <w:b/>
          <w:i w:val="0"/>
          <w:color w:val="1E40AF"/>
          <w:sz w:val="20"/>
        </w:rPr>
        <w:t xml:space="preserve">Open Question 7:  </w:t>
      </w:r>
      <w:r>
        <w:rPr>
          <w:rFonts w:ascii="Calibri" w:hAnsi="Calibri"/>
          <w:b w:val="0"/>
          <w:i/>
          <w:color w:val="374151"/>
          <w:sz w:val="20"/>
        </w:rPr>
        <w:t>For S190 (Time &amp; Psychological Risks composite): map full scale to ANX, exclude on mixed-construct grounds, or include with sensitivity flag?</w:t>
      </w:r>
    </w:p>
    <w:p>
      <w:pPr>
        <w:spacing w:before="100" w:after="60"/>
        <w:ind w:left="227"/>
      </w:pPr>
      <w:r>
        <w:rPr>
          <w:rFonts w:ascii="Calibri" w:hAnsi="Calibri"/>
          <w:b/>
          <w:i w:val="0"/>
          <w:color w:val="1E40AF"/>
          <w:sz w:val="20"/>
        </w:rPr>
        <w:t xml:space="preserve">Open Question 8:  </w:t>
      </w:r>
      <w:r>
        <w:rPr>
          <w:rFonts w:ascii="Calibri" w:hAnsi="Calibri"/>
          <w:b w:val="0"/>
          <w:i/>
          <w:color w:val="374151"/>
          <w:sz w:val="20"/>
        </w:rPr>
        <w:t>Should the item-level ANX/PR boundary criterion (affective language -&gt; ANX; probabilistic language -&gt; exclude) be added to the coding manual as a formal decision rule?</w:t>
      </w:r>
    </w:p>
    <w:p>
      <w:r>
        <w:br w:type="page"/>
      </w:r>
    </w:p>
    <w:p>
      <w:pPr>
        <w:pStyle w:val="Heading1"/>
        <w:spacing w:before="280" w:after="80"/>
      </w:pPr>
      <w:r>
        <w:rPr>
          <w:color w:val="1E3A8A"/>
          <w:sz w:val="28"/>
        </w:rPr>
        <w:t>7.  Open Questions Summary</w:t>
      </w:r>
    </w:p>
    <w:tbl>
      <w:tblPr>
        <w:tblStyle w:val="TableGrid"/>
        <w:tblW w:type="auto" w:w="0"/>
        <w:jc w:val="left"/>
        <w:tblLook w:firstColumn="1" w:firstRow="1" w:lastColumn="0" w:lastRow="0" w:noHBand="0" w:noVBand="1" w:val="04A0"/>
      </w:tblPr>
      <w:tblGrid>
        <w:gridCol w:w="432"/>
        <w:gridCol w:w="2592"/>
        <w:gridCol w:w="5040"/>
        <w:gridCol w:w="1296"/>
      </w:tblGrid>
      <w:tr>
        <w:tc>
          <w:tcPr>
            <w:tcW w:type="dxa" w:w="2340"/>
            <w:shd w:val="clear" w:color="auto" w:fill="1E3A5F"/>
            <w:vAlign w:val="center"/>
          </w:tcPr>
          <w:p>
            <w:pPr>
              <w:spacing w:before="20" w:after="20"/>
              <w:jc w:val="left"/>
            </w:pPr>
            <w:r>
              <w:rPr>
                <w:rFonts w:ascii="Calibri" w:hAnsi="Calibri"/>
                <w:b/>
                <w:i w:val="0"/>
                <w:color w:val="FFFFFF"/>
                <w:sz w:val="20"/>
              </w:rPr>
              <w:t>#</w:t>
            </w:r>
          </w:p>
        </w:tc>
        <w:tc>
          <w:tcPr>
            <w:tcW w:type="dxa" w:w="2340"/>
            <w:shd w:val="clear" w:color="auto" w:fill="1E3A5F"/>
            <w:vAlign w:val="center"/>
          </w:tcPr>
          <w:p>
            <w:pPr>
              <w:spacing w:before="20" w:after="20"/>
              <w:jc w:val="left"/>
            </w:pPr>
            <w:r>
              <w:rPr>
                <w:rFonts w:ascii="Calibri" w:hAnsi="Calibri"/>
                <w:b/>
                <w:i w:val="0"/>
                <w:color w:val="FFFFFF"/>
                <w:sz w:val="20"/>
              </w:rPr>
              <w:t>Issue</w:t>
            </w:r>
          </w:p>
        </w:tc>
        <w:tc>
          <w:tcPr>
            <w:tcW w:type="dxa" w:w="2340"/>
            <w:shd w:val="clear" w:color="auto" w:fill="1E3A5F"/>
            <w:vAlign w:val="center"/>
          </w:tcPr>
          <w:p>
            <w:pPr>
              <w:spacing w:before="20" w:after="20"/>
              <w:jc w:val="left"/>
            </w:pPr>
            <w:r>
              <w:rPr>
                <w:rFonts w:ascii="Calibri" w:hAnsi="Calibri"/>
                <w:b/>
                <w:i w:val="0"/>
                <w:color w:val="FFFFFF"/>
                <w:sz w:val="20"/>
              </w:rPr>
              <w:t>Options</w:t>
            </w:r>
          </w:p>
        </w:tc>
        <w:tc>
          <w:tcPr>
            <w:tcW w:type="dxa" w:w="2340"/>
            <w:shd w:val="clear" w:color="auto" w:fill="1E3A5F"/>
            <w:vAlign w:val="center"/>
          </w:tcPr>
          <w:p>
            <w:pPr>
              <w:spacing w:before="20" w:after="20"/>
              <w:jc w:val="left"/>
            </w:pPr>
            <w:r>
              <w:rPr>
                <w:rFonts w:ascii="Calibri" w:hAnsi="Calibri"/>
                <w:b/>
                <w:i w:val="0"/>
                <w:color w:val="FFFFFF"/>
                <w:sz w:val="20"/>
              </w:rPr>
              <w:t>Status</w:t>
            </w:r>
          </w:p>
        </w:tc>
      </w:tr>
      <w:tr>
        <w:tc>
          <w:tcPr>
            <w:tcW w:type="dxa" w:w="2340"/>
            <w:shd w:val="clear" w:color="auto" w:fill="F1F5F9"/>
            <w:vAlign w:val="center"/>
          </w:tcPr>
          <w:p>
            <w:pPr>
              <w:spacing w:before="20" w:after="20"/>
              <w:jc w:val="left"/>
            </w:pPr>
            <w:r>
              <w:rPr>
                <w:rFonts w:ascii="Calibri" w:hAnsi="Calibri"/>
                <w:b w:val="0"/>
                <w:i w:val="0"/>
                <w:sz w:val="19"/>
              </w:rPr>
              <w:t>1</w:t>
            </w:r>
          </w:p>
        </w:tc>
        <w:tc>
          <w:tcPr>
            <w:tcW w:type="dxa" w:w="2340"/>
            <w:shd w:val="clear" w:color="auto" w:fill="F1F5F9"/>
            <w:vAlign w:val="center"/>
          </w:tcPr>
          <w:p>
            <w:pPr>
              <w:spacing w:before="20" w:after="20"/>
              <w:jc w:val="left"/>
            </w:pPr>
            <w:r>
              <w:rPr>
                <w:rFonts w:ascii="Calibri" w:hAnsi="Calibri"/>
                <w:b w:val="0"/>
                <w:i w:val="0"/>
                <w:sz w:val="19"/>
              </w:rPr>
              <w:t>HM-ANX cell (k=5): coverage failure?</w:t>
            </w:r>
          </w:p>
        </w:tc>
        <w:tc>
          <w:tcPr>
            <w:tcW w:type="dxa" w:w="2340"/>
            <w:shd w:val="clear" w:color="auto" w:fill="F1F5F9"/>
            <w:vAlign w:val="center"/>
          </w:tcPr>
          <w:p>
            <w:pPr>
              <w:spacing w:before="20" w:after="20"/>
              <w:jc w:val="left"/>
            </w:pPr>
            <w:r>
              <w:rPr>
                <w:rFonts w:ascii="Calibri" w:hAnsi="Calibri"/>
                <w:b w:val="0"/>
                <w:i w:val="0"/>
                <w:sz w:val="19"/>
              </w:rPr>
              <w:t>(a) Yes -- exclude on coverage; (b) ridge/pairwise workaround</w:t>
            </w:r>
          </w:p>
        </w:tc>
        <w:tc>
          <w:tcPr>
            <w:tcW w:type="dxa" w:w="2340"/>
            <w:shd w:val="clear" w:color="auto" w:fill="F1F5F9"/>
            <w:vAlign w:val="center"/>
          </w:tcPr>
          <w:p>
            <w:pPr>
              <w:spacing w:before="20" w:after="20"/>
              <w:jc w:val="left"/>
            </w:pPr>
            <w:r>
              <w:rPr>
                <w:rFonts w:ascii="Calibri" w:hAnsi="Calibri"/>
                <w:b/>
                <w:i w:val="0"/>
                <w:color w:val="EA580C"/>
                <w:sz w:val="19"/>
              </w:rPr>
              <w:t>OPEN</w:t>
            </w:r>
          </w:p>
        </w:tc>
      </w:tr>
      <w:tr>
        <w:tc>
          <w:tcPr>
            <w:tcW w:type="dxa" w:w="2340"/>
            <w:shd w:val="clear" w:color="auto" w:fill="FFFFFF"/>
            <w:vAlign w:val="center"/>
          </w:tcPr>
          <w:p>
            <w:pPr>
              <w:spacing w:before="20" w:after="20"/>
              <w:jc w:val="left"/>
            </w:pPr>
            <w:r>
              <w:rPr>
                <w:rFonts w:ascii="Calibri" w:hAnsi="Calibri"/>
                <w:b w:val="0"/>
                <w:i w:val="0"/>
                <w:sz w:val="19"/>
              </w:rPr>
              <w:t>2</w:t>
            </w:r>
          </w:p>
        </w:tc>
        <w:tc>
          <w:tcPr>
            <w:tcW w:type="dxa" w:w="2340"/>
            <w:shd w:val="clear" w:color="auto" w:fill="FFFFFF"/>
            <w:vAlign w:val="center"/>
          </w:tcPr>
          <w:p>
            <w:pPr>
              <w:spacing w:before="20" w:after="20"/>
              <w:jc w:val="left"/>
            </w:pPr>
            <w:r>
              <w:rPr>
                <w:rFonts w:ascii="Calibri" w:hAnsi="Calibri"/>
                <w:b w:val="0"/>
                <w:i w:val="0"/>
                <w:sz w:val="19"/>
              </w:rPr>
              <w:t>PLS Fornell-Larcker: treat as CB-SEM correlation?</w:t>
            </w:r>
          </w:p>
        </w:tc>
        <w:tc>
          <w:tcPr>
            <w:tcW w:type="dxa" w:w="2340"/>
            <w:shd w:val="clear" w:color="auto" w:fill="FFFFFF"/>
            <w:vAlign w:val="center"/>
          </w:tcPr>
          <w:p>
            <w:pPr>
              <w:spacing w:before="20" w:after="20"/>
              <w:jc w:val="left"/>
            </w:pPr>
            <w:r>
              <w:rPr>
                <w:rFonts w:ascii="Calibri" w:hAnsi="Calibri"/>
                <w:b w:val="0"/>
                <w:i w:val="0"/>
                <w:sz w:val="19"/>
              </w:rPr>
              <w:t>(a) Yes -- identical treatment; (b) SEM-method moderator</w:t>
            </w:r>
          </w:p>
        </w:tc>
        <w:tc>
          <w:tcPr>
            <w:tcW w:type="dxa" w:w="2340"/>
            <w:shd w:val="clear" w:color="auto" w:fill="FFFFFF"/>
            <w:vAlign w:val="center"/>
          </w:tcPr>
          <w:p>
            <w:pPr>
              <w:spacing w:before="20" w:after="20"/>
              <w:jc w:val="left"/>
            </w:pPr>
            <w:r>
              <w:rPr>
                <w:rFonts w:ascii="Calibri" w:hAnsi="Calibri"/>
                <w:b/>
                <w:i w:val="0"/>
                <w:color w:val="EA580C"/>
                <w:sz w:val="19"/>
              </w:rPr>
              <w:t>OPEN</w:t>
            </w:r>
          </w:p>
        </w:tc>
      </w:tr>
      <w:tr>
        <w:tc>
          <w:tcPr>
            <w:tcW w:type="dxa" w:w="2340"/>
            <w:shd w:val="clear" w:color="auto" w:fill="F1F5F9"/>
            <w:vAlign w:val="center"/>
          </w:tcPr>
          <w:p>
            <w:pPr>
              <w:spacing w:before="20" w:after="20"/>
              <w:jc w:val="left"/>
            </w:pPr>
            <w:r>
              <w:rPr>
                <w:rFonts w:ascii="Calibri" w:hAnsi="Calibri"/>
                <w:b w:val="0"/>
                <w:i w:val="0"/>
                <w:sz w:val="19"/>
              </w:rPr>
              <w:t>3</w:t>
            </w:r>
          </w:p>
        </w:tc>
        <w:tc>
          <w:tcPr>
            <w:tcW w:type="dxa" w:w="2340"/>
            <w:shd w:val="clear" w:color="auto" w:fill="F1F5F9"/>
            <w:vAlign w:val="center"/>
          </w:tcPr>
          <w:p>
            <w:pPr>
              <w:spacing w:before="20" w:after="20"/>
              <w:jc w:val="left"/>
            </w:pPr>
            <w:r>
              <w:rPr>
                <w:rFonts w:ascii="Calibri" w:hAnsi="Calibri"/>
                <w:b w:val="0"/>
                <w:i w:val="0"/>
                <w:sz w:val="19"/>
              </w:rPr>
              <w:t>Nested model comparison (A vs B) in scope?</w:t>
            </w:r>
          </w:p>
        </w:tc>
        <w:tc>
          <w:tcPr>
            <w:tcW w:type="dxa" w:w="2340"/>
            <w:shd w:val="clear" w:color="auto" w:fill="F1F5F9"/>
            <w:vAlign w:val="center"/>
          </w:tcPr>
          <w:p>
            <w:pPr>
              <w:spacing w:before="20" w:after="20"/>
              <w:jc w:val="left"/>
            </w:pPr>
            <w:r>
              <w:rPr>
                <w:rFonts w:ascii="Calibri" w:hAnsi="Calibri"/>
                <w:b w:val="0"/>
                <w:i w:val="0"/>
                <w:sz w:val="19"/>
              </w:rPr>
              <w:t>(a) In scope as sensitivity; (b) Out of scope</w:t>
            </w:r>
          </w:p>
        </w:tc>
        <w:tc>
          <w:tcPr>
            <w:tcW w:type="dxa" w:w="2340"/>
            <w:shd w:val="clear" w:color="auto" w:fill="F1F5F9"/>
            <w:vAlign w:val="center"/>
          </w:tcPr>
          <w:p>
            <w:pPr>
              <w:spacing w:before="20" w:after="20"/>
              <w:jc w:val="left"/>
            </w:pPr>
            <w:r>
              <w:rPr>
                <w:rFonts w:ascii="Calibri" w:hAnsi="Calibri"/>
                <w:b/>
                <w:i w:val="0"/>
                <w:color w:val="EA580C"/>
                <w:sz w:val="19"/>
              </w:rPr>
              <w:t>OPEN</w:t>
            </w:r>
          </w:p>
        </w:tc>
      </w:tr>
      <w:tr>
        <w:tc>
          <w:tcPr>
            <w:tcW w:type="dxa" w:w="2340"/>
            <w:shd w:val="clear" w:color="auto" w:fill="FFFFFF"/>
            <w:vAlign w:val="center"/>
          </w:tcPr>
          <w:p>
            <w:pPr>
              <w:spacing w:before="20" w:after="20"/>
              <w:jc w:val="left"/>
            </w:pPr>
            <w:r>
              <w:rPr>
                <w:rFonts w:ascii="Calibri" w:hAnsi="Calibri"/>
                <w:b w:val="0"/>
                <w:i w:val="0"/>
                <w:sz w:val="19"/>
              </w:rPr>
              <w:t>4</w:t>
            </w:r>
          </w:p>
        </w:tc>
        <w:tc>
          <w:tcPr>
            <w:tcW w:type="dxa" w:w="2340"/>
            <w:shd w:val="clear" w:color="auto" w:fill="FFFFFF"/>
            <w:vAlign w:val="center"/>
          </w:tcPr>
          <w:p>
            <w:pPr>
              <w:spacing w:before="20" w:after="20"/>
              <w:jc w:val="left"/>
            </w:pPr>
            <w:r>
              <w:rPr>
                <w:rFonts w:ascii="Calibri" w:hAnsi="Calibri"/>
                <w:b w:val="0"/>
                <w:i w:val="0"/>
                <w:sz w:val="19"/>
              </w:rPr>
              <w:t>Model A (TRA/TPB) as theoretical commitment?</w:t>
            </w:r>
          </w:p>
        </w:tc>
        <w:tc>
          <w:tcPr>
            <w:tcW w:type="dxa" w:w="2340"/>
            <w:shd w:val="clear" w:color="auto" w:fill="FFFFFF"/>
            <w:vAlign w:val="center"/>
          </w:tcPr>
          <w:p>
            <w:pPr>
              <w:spacing w:before="20" w:after="20"/>
              <w:jc w:val="left"/>
            </w:pPr>
            <w:r>
              <w:rPr>
                <w:rFonts w:ascii="Calibri" w:hAnsi="Calibri"/>
                <w:b w:val="0"/>
                <w:i w:val="0"/>
                <w:sz w:val="19"/>
              </w:rPr>
              <w:t>(a) Endorse Model A; (b) Open to Model B</w:t>
            </w:r>
          </w:p>
        </w:tc>
        <w:tc>
          <w:tcPr>
            <w:tcW w:type="dxa" w:w="2340"/>
            <w:shd w:val="clear" w:color="auto" w:fill="FFFFFF"/>
            <w:vAlign w:val="center"/>
          </w:tcPr>
          <w:p>
            <w:pPr>
              <w:spacing w:before="20" w:after="20"/>
              <w:jc w:val="left"/>
            </w:pPr>
            <w:r>
              <w:rPr>
                <w:rFonts w:ascii="Calibri" w:hAnsi="Calibri"/>
                <w:b/>
                <w:i w:val="0"/>
                <w:color w:val="EA580C"/>
                <w:sz w:val="19"/>
              </w:rPr>
              <w:t>OPEN</w:t>
            </w:r>
          </w:p>
        </w:tc>
      </w:tr>
      <w:tr>
        <w:tc>
          <w:tcPr>
            <w:tcW w:type="dxa" w:w="2340"/>
            <w:shd w:val="clear" w:color="auto" w:fill="F1F5F9"/>
            <w:vAlign w:val="center"/>
          </w:tcPr>
          <w:p>
            <w:pPr>
              <w:spacing w:before="20" w:after="20"/>
              <w:jc w:val="left"/>
            </w:pPr>
            <w:r>
              <w:rPr>
                <w:rFonts w:ascii="Calibri" w:hAnsi="Calibri"/>
                <w:b w:val="0"/>
                <w:i w:val="0"/>
                <w:sz w:val="19"/>
              </w:rPr>
              <w:t>5</w:t>
            </w:r>
          </w:p>
        </w:tc>
        <w:tc>
          <w:tcPr>
            <w:tcW w:type="dxa" w:w="2340"/>
            <w:shd w:val="clear" w:color="auto" w:fill="F1F5F9"/>
            <w:vAlign w:val="center"/>
          </w:tcPr>
          <w:p>
            <w:pPr>
              <w:spacing w:before="20" w:after="20"/>
              <w:jc w:val="left"/>
            </w:pPr>
            <w:r>
              <w:rPr>
                <w:rFonts w:ascii="Calibri" w:hAnsi="Calibri"/>
                <w:b w:val="0"/>
                <w:i w:val="0"/>
                <w:sz w:val="19"/>
              </w:rPr>
              <w:t>ATT item-level audit for hedonic items?</w:t>
            </w:r>
          </w:p>
        </w:tc>
        <w:tc>
          <w:tcPr>
            <w:tcW w:type="dxa" w:w="2340"/>
            <w:shd w:val="clear" w:color="auto" w:fill="F1F5F9"/>
            <w:vAlign w:val="center"/>
          </w:tcPr>
          <w:p>
            <w:pPr>
              <w:spacing w:before="20" w:after="20"/>
              <w:jc w:val="left"/>
            </w:pPr>
            <w:r>
              <w:rPr>
                <w:rFonts w:ascii="Calibri" w:hAnsi="Calibri"/>
                <w:b w:val="0"/>
                <w:i w:val="0"/>
                <w:sz w:val="19"/>
              </w:rPr>
              <w:t>(a) Conduct audit; (b) Acknowledge as limitation</w:t>
            </w:r>
          </w:p>
        </w:tc>
        <w:tc>
          <w:tcPr>
            <w:tcW w:type="dxa" w:w="2340"/>
            <w:shd w:val="clear" w:color="auto" w:fill="F1F5F9"/>
            <w:vAlign w:val="center"/>
          </w:tcPr>
          <w:p>
            <w:pPr>
              <w:spacing w:before="20" w:after="20"/>
              <w:jc w:val="left"/>
            </w:pPr>
            <w:r>
              <w:rPr>
                <w:rFonts w:ascii="Calibri" w:hAnsi="Calibri"/>
                <w:b/>
                <w:i w:val="0"/>
                <w:color w:val="EA580C"/>
                <w:sz w:val="19"/>
              </w:rPr>
              <w:t>OPEN</w:t>
            </w:r>
          </w:p>
        </w:tc>
      </w:tr>
      <w:tr>
        <w:tc>
          <w:tcPr>
            <w:tcW w:type="dxa" w:w="2340"/>
            <w:shd w:val="clear" w:color="auto" w:fill="FFFFFF"/>
            <w:vAlign w:val="center"/>
          </w:tcPr>
          <w:p>
            <w:pPr>
              <w:spacing w:before="20" w:after="20"/>
              <w:jc w:val="left"/>
            </w:pPr>
            <w:r>
              <w:rPr>
                <w:rFonts w:ascii="Calibri" w:hAnsi="Calibri"/>
                <w:b w:val="0"/>
                <w:i w:val="0"/>
                <w:sz w:val="19"/>
              </w:rPr>
              <w:t>6</w:t>
            </w:r>
          </w:p>
        </w:tc>
        <w:tc>
          <w:tcPr>
            <w:tcW w:type="dxa" w:w="2340"/>
            <w:shd w:val="clear" w:color="auto" w:fill="FFFFFF"/>
            <w:vAlign w:val="center"/>
          </w:tcPr>
          <w:p>
            <w:pPr>
              <w:spacing w:before="20" w:after="20"/>
              <w:jc w:val="left"/>
            </w:pPr>
            <w:r>
              <w:rPr>
                <w:rFonts w:ascii="Calibri" w:hAnsi="Calibri"/>
                <w:b w:val="0"/>
                <w:i w:val="0"/>
                <w:sz w:val="19"/>
              </w:rPr>
              <w:t>Revise construct_selection_rationale.md now or post-coding?</w:t>
            </w:r>
          </w:p>
        </w:tc>
        <w:tc>
          <w:tcPr>
            <w:tcW w:type="dxa" w:w="2340"/>
            <w:shd w:val="clear" w:color="auto" w:fill="FFFFFF"/>
            <w:vAlign w:val="center"/>
          </w:tcPr>
          <w:p>
            <w:pPr>
              <w:spacing w:before="20" w:after="20"/>
              <w:jc w:val="left"/>
            </w:pPr>
            <w:r>
              <w:rPr>
                <w:rFonts w:ascii="Calibri" w:hAnsi="Calibri"/>
                <w:b w:val="0"/>
                <w:i w:val="0"/>
                <w:sz w:val="19"/>
              </w:rPr>
              <w:t>(a) Revise now; (b) After full coding</w:t>
            </w:r>
          </w:p>
        </w:tc>
        <w:tc>
          <w:tcPr>
            <w:tcW w:type="dxa" w:w="2340"/>
            <w:shd w:val="clear" w:color="auto" w:fill="FFFFFF"/>
            <w:vAlign w:val="center"/>
          </w:tcPr>
          <w:p>
            <w:pPr>
              <w:spacing w:before="20" w:after="20"/>
              <w:jc w:val="left"/>
            </w:pPr>
            <w:r>
              <w:rPr>
                <w:rFonts w:ascii="Calibri" w:hAnsi="Calibri"/>
                <w:b/>
                <w:i w:val="0"/>
                <w:color w:val="EA580C"/>
                <w:sz w:val="19"/>
              </w:rPr>
              <w:t>OPEN</w:t>
            </w:r>
          </w:p>
        </w:tc>
      </w:tr>
      <w:tr>
        <w:tc>
          <w:tcPr>
            <w:tcW w:type="dxa" w:w="2340"/>
            <w:shd w:val="clear" w:color="auto" w:fill="F1F5F9"/>
            <w:vAlign w:val="center"/>
          </w:tcPr>
          <w:p>
            <w:pPr>
              <w:spacing w:before="20" w:after="20"/>
              <w:jc w:val="left"/>
            </w:pPr>
            <w:r>
              <w:rPr>
                <w:rFonts w:ascii="Calibri" w:hAnsi="Calibri"/>
                <w:b w:val="0"/>
                <w:i w:val="0"/>
                <w:sz w:val="19"/>
              </w:rPr>
              <w:t>7</w:t>
            </w:r>
          </w:p>
        </w:tc>
        <w:tc>
          <w:tcPr>
            <w:tcW w:type="dxa" w:w="2340"/>
            <w:shd w:val="clear" w:color="auto" w:fill="F1F5F9"/>
            <w:vAlign w:val="center"/>
          </w:tcPr>
          <w:p>
            <w:pPr>
              <w:spacing w:before="20" w:after="20"/>
              <w:jc w:val="left"/>
            </w:pPr>
            <w:r>
              <w:rPr>
                <w:rFonts w:ascii="Calibri" w:hAnsi="Calibri"/>
                <w:b w:val="0"/>
                <w:i w:val="0"/>
                <w:sz w:val="19"/>
              </w:rPr>
              <w:t>S190: ANX, exclude, or flagged?</w:t>
            </w:r>
          </w:p>
        </w:tc>
        <w:tc>
          <w:tcPr>
            <w:tcW w:type="dxa" w:w="2340"/>
            <w:shd w:val="clear" w:color="auto" w:fill="F1F5F9"/>
            <w:vAlign w:val="center"/>
          </w:tcPr>
          <w:p>
            <w:pPr>
              <w:spacing w:before="20" w:after="20"/>
              <w:jc w:val="left"/>
            </w:pPr>
            <w:r>
              <w:rPr>
                <w:rFonts w:ascii="Calibri" w:hAnsi="Calibri"/>
                <w:b w:val="0"/>
                <w:i w:val="0"/>
                <w:sz w:val="19"/>
              </w:rPr>
              <w:t>(a) Map to ANX; (b) Exclude; (c) Sensitivity flag</w:t>
            </w:r>
          </w:p>
        </w:tc>
        <w:tc>
          <w:tcPr>
            <w:tcW w:type="dxa" w:w="2340"/>
            <w:shd w:val="clear" w:color="auto" w:fill="F1F5F9"/>
            <w:vAlign w:val="center"/>
          </w:tcPr>
          <w:p>
            <w:pPr>
              <w:spacing w:before="20" w:after="20"/>
              <w:jc w:val="left"/>
            </w:pPr>
            <w:r>
              <w:rPr>
                <w:rFonts w:ascii="Calibri" w:hAnsi="Calibri"/>
                <w:b/>
                <w:i w:val="0"/>
                <w:color w:val="EA580C"/>
                <w:sz w:val="19"/>
              </w:rPr>
              <w:t>OPEN</w:t>
            </w:r>
          </w:p>
        </w:tc>
      </w:tr>
      <w:tr>
        <w:tc>
          <w:tcPr>
            <w:tcW w:type="dxa" w:w="2340"/>
            <w:shd w:val="clear" w:color="auto" w:fill="FFFFFF"/>
            <w:vAlign w:val="center"/>
          </w:tcPr>
          <w:p>
            <w:pPr>
              <w:spacing w:before="20" w:after="20"/>
              <w:jc w:val="left"/>
            </w:pPr>
            <w:r>
              <w:rPr>
                <w:rFonts w:ascii="Calibri" w:hAnsi="Calibri"/>
                <w:b w:val="0"/>
                <w:i w:val="0"/>
                <w:sz w:val="19"/>
              </w:rPr>
              <w:t>8</w:t>
            </w:r>
          </w:p>
        </w:tc>
        <w:tc>
          <w:tcPr>
            <w:tcW w:type="dxa" w:w="2340"/>
            <w:shd w:val="clear" w:color="auto" w:fill="FFFFFF"/>
            <w:vAlign w:val="center"/>
          </w:tcPr>
          <w:p>
            <w:pPr>
              <w:spacing w:before="20" w:after="20"/>
              <w:jc w:val="left"/>
            </w:pPr>
            <w:r>
              <w:rPr>
                <w:rFonts w:ascii="Calibri" w:hAnsi="Calibri"/>
                <w:b w:val="0"/>
                <w:i w:val="0"/>
                <w:sz w:val="19"/>
              </w:rPr>
              <w:t>ANX/PR boundary rule in coding manual?</w:t>
            </w:r>
          </w:p>
        </w:tc>
        <w:tc>
          <w:tcPr>
            <w:tcW w:type="dxa" w:w="2340"/>
            <w:shd w:val="clear" w:color="auto" w:fill="FFFFFF"/>
            <w:vAlign w:val="center"/>
          </w:tcPr>
          <w:p>
            <w:pPr>
              <w:spacing w:before="20" w:after="20"/>
              <w:jc w:val="left"/>
            </w:pPr>
            <w:r>
              <w:rPr>
                <w:rFonts w:ascii="Calibri" w:hAnsi="Calibri"/>
                <w:b w:val="0"/>
                <w:i w:val="0"/>
                <w:sz w:val="19"/>
              </w:rPr>
              <w:t>(a) Add formal rule; (b) Case-by-case</w:t>
            </w:r>
          </w:p>
        </w:tc>
        <w:tc>
          <w:tcPr>
            <w:tcW w:type="dxa" w:w="2340"/>
            <w:shd w:val="clear" w:color="auto" w:fill="FFFFFF"/>
            <w:vAlign w:val="center"/>
          </w:tcPr>
          <w:p>
            <w:pPr>
              <w:spacing w:before="20" w:after="20"/>
              <w:jc w:val="left"/>
            </w:pPr>
            <w:r>
              <w:rPr>
                <w:rFonts w:ascii="Calibri" w:hAnsi="Calibri"/>
                <w:b/>
                <w:i w:val="0"/>
                <w:color w:val="EA580C"/>
                <w:sz w:val="19"/>
              </w:rPr>
              <w:t>OPEN</w:t>
            </w:r>
          </w:p>
        </w:tc>
      </w:tr>
    </w:tbl>
    <w:p>
      <w:pPr>
        <w:spacing w:before="0" w:after="200"/>
        <w:jc w:val="left"/>
      </w:pPr>
      <w:r>
        <w:rPr>
          <w:rFonts w:ascii="Calibri" w:hAnsi="Calibri"/>
          <w:b w:val="0"/>
          <w:i/>
          <w:color w:val="6B7280"/>
          <w:sz w:val="18"/>
        </w:rPr>
        <w:t>Table 8. Summary of open questions.</w:t>
      </w:r>
    </w:p>
    <w:p>
      <w:pPr>
        <w:pStyle w:val="Heading1"/>
        <w:spacing w:before="280" w:after="80"/>
      </w:pPr>
      <w:r>
        <w:rPr>
          <w:color w:val="1E3A8A"/>
          <w:sz w:val="28"/>
        </w:rPr>
        <w:t>References</w:t>
      </w:r>
    </w:p>
    <w:p>
      <w:pPr>
        <w:spacing w:after="80"/>
        <w:ind w:left="340" w:hanging="340"/>
      </w:pPr>
      <w:r>
        <w:rPr>
          <w:rFonts w:ascii="Calibri" w:hAnsi="Calibri"/>
          <w:b w:val="0"/>
          <w:i w:val="0"/>
          <w:sz w:val="19"/>
        </w:rPr>
        <w:t>Bauer, R. A. (1960). Consumer behavior as risk taking. In R. S. Hancock (Ed.), Dynamic marketing for a changing world (pp. 389-398). AMA.</w:t>
      </w:r>
    </w:p>
    <w:p>
      <w:pPr>
        <w:spacing w:after="80"/>
        <w:ind w:left="340" w:hanging="340"/>
      </w:pPr>
      <w:r>
        <w:rPr>
          <w:rFonts w:ascii="Calibri" w:hAnsi="Calibri"/>
          <w:b w:val="0"/>
          <w:i w:val="0"/>
          <w:sz w:val="19"/>
        </w:rPr>
        <w:t>Cheung, M. W.-L. (2015). Meta-analysis: A structural equation modeling approach. Wiley.</w:t>
      </w:r>
    </w:p>
    <w:p>
      <w:pPr>
        <w:spacing w:after="80"/>
        <w:ind w:left="340" w:hanging="340"/>
      </w:pPr>
      <w:r>
        <w:rPr>
          <w:rFonts w:ascii="Calibri" w:hAnsi="Calibri"/>
          <w:b w:val="0"/>
          <w:i w:val="0"/>
          <w:sz w:val="19"/>
        </w:rPr>
        <w:t>Davis, F. D., Bagozzi, R. P., &amp; Warshaw, P. R. (1992). Extrinsic and intrinsic motivation to use computers in the workplace. Journal of Applied Social Psychology, 22(14), 1111-1132.</w:t>
      </w:r>
    </w:p>
    <w:p>
      <w:pPr>
        <w:spacing w:after="80"/>
        <w:ind w:left="340" w:hanging="340"/>
      </w:pPr>
      <w:r>
        <w:rPr>
          <w:rFonts w:ascii="Calibri" w:hAnsi="Calibri"/>
          <w:b w:val="0"/>
          <w:i w:val="0"/>
          <w:sz w:val="19"/>
        </w:rPr>
        <w:t>Featherman, M. S., &amp; Pavlou, P. A. (2003). Predicting e-services adoption. International Journal of Human-Computer Studies, 59(4), 451-474.</w:t>
      </w:r>
    </w:p>
    <w:p>
      <w:pPr>
        <w:spacing w:after="80"/>
        <w:ind w:left="340" w:hanging="340"/>
      </w:pPr>
      <w:r>
        <w:rPr>
          <w:rFonts w:ascii="Calibri" w:hAnsi="Calibri"/>
          <w:b w:val="0"/>
          <w:i w:val="0"/>
          <w:sz w:val="19"/>
        </w:rPr>
        <w:t>Fishbein, M., &amp; Ajzen, I. (1975). Belief, attitude, intention, and behavior. Addison-Wesley.</w:t>
      </w:r>
    </w:p>
    <w:p>
      <w:pPr>
        <w:spacing w:after="80"/>
        <w:ind w:left="340" w:hanging="340"/>
      </w:pPr>
      <w:r>
        <w:rPr>
          <w:rFonts w:ascii="Calibri" w:hAnsi="Calibri"/>
          <w:b w:val="0"/>
          <w:i w:val="0"/>
          <w:sz w:val="19"/>
        </w:rPr>
        <w:t>Scherer, R., Siddiq, F., &amp; Tondeur, J. (2019). The technology acceptance model (TAM): A meta-analytic structural equation modeling approach. Computers &amp; Education, 141, 103616.</w:t>
      </w:r>
    </w:p>
    <w:p>
      <w:pPr>
        <w:spacing w:after="80"/>
        <w:ind w:left="340" w:hanging="340"/>
      </w:pPr>
      <w:r>
        <w:rPr>
          <w:rFonts w:ascii="Calibri" w:hAnsi="Calibri"/>
          <w:b w:val="0"/>
          <w:i w:val="0"/>
          <w:sz w:val="19"/>
        </w:rPr>
        <w:t>Venkatesh, V., Morris, M. G., Davis, G. B., &amp; Davis, F. D. (2003). User acceptance of information technology. MIS Quarterly, 27(3), 425-478.</w:t>
      </w:r>
    </w:p>
    <w:p>
      <w:pPr>
        <w:spacing w:after="80"/>
        <w:ind w:left="340" w:hanging="340"/>
      </w:pPr>
      <w:r>
        <w:rPr>
          <w:rFonts w:ascii="Calibri" w:hAnsi="Calibri"/>
          <w:b w:val="0"/>
          <w:i w:val="0"/>
          <w:sz w:val="19"/>
        </w:rPr>
        <w:t>Venkatesh, V., Thong, J. Y. L., &amp; Xu, X. (2012). Consumer acceptance and use of information technology: Extending UTAUT. MIS Quarterly, 36(1), 157-178.</w:t>
      </w:r>
    </w:p>
    <w:p>
      <w:pPr>
        <w:spacing w:after="80"/>
        <w:ind w:left="340" w:hanging="340"/>
      </w:pPr>
      <w:r>
        <w:rPr>
          <w:rFonts w:ascii="Calibri" w:hAnsi="Calibri"/>
          <w:b w:val="0"/>
          <w:i w:val="0"/>
          <w:sz w:val="19"/>
        </w:rPr>
        <w:t>Viswesvaran, C., &amp; Ones, D. S. (1995). Theory testing: Combining psychometric meta-analysis and structural equation modeling. Personnel Psychology, 48(4), 865-885.</w:t>
      </w:r>
    </w:p>
    <w:p>
      <w:pPr>
        <w:spacing w:after="80"/>
        <w:ind w:left="340" w:hanging="340"/>
      </w:pPr>
      <w:r>
        <w:rPr>
          <w:rFonts w:ascii="Calibri" w:hAnsi="Calibri"/>
          <w:b w:val="0"/>
          <w:i w:val="0"/>
          <w:sz w:val="19"/>
        </w:rPr>
        <w:t>Wang, Y.-Y., &amp; Wang, Y.-S. (2022). Development and validation of an artificial intelligence anxiety scale. International Journal of Human-Computer Interaction, 38(7), 617-630.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