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222222"/>
            <w:tcBorders>
              <w:top w:val="single" w:sz="8" w:color="444444"/>
              <w:left w:val="single" w:sz="8" w:color="444444"/>
              <w:bottom w:val="single" w:sz="8" w:color="444444"/>
              <w:right w:val="single" w:sz="8" w:color="444444"/>
            </w:tcBorders>
          </w:tcPr>
          <w:p>
            <w:pPr>
              <w:jc w:val="center"/>
            </w:pPr>
            <w:r>
              <w:rPr>
                <w:b/>
                <w:color w:val="FFFFFF"/>
                <w:sz w:val="36"/>
              </w:rPr>
              <w:t>VS Arena Debate Report</w:t>
            </w:r>
          </w:p>
          <w:p/>
          <w:p>
            <w:pPr>
              <w:jc w:val="center"/>
            </w:pPr>
            <w:r>
              <w:rPr>
                <w:b/>
                <w:color w:val="CCDDEE"/>
                <w:sz w:val="24"/>
              </w:rPr>
              <w:t>Should Hedonic Motivation (HM) Be Included as the 13th Construct</w:t>
              <w:br/>
              <w:t>in the AI Adoption in Higher Education MASEM?</w:t>
            </w:r>
          </w:p>
          <w:p/>
          <w:p>
            <w:pPr>
              <w:jc w:val="center"/>
            </w:pPr>
            <w:r>
              <w:rPr>
                <w:color w:val="AABBCC"/>
                <w:sz w:val="18"/>
              </w:rPr>
              <w:t>Project: AI Adoption in Higher Education (N = 224 studies)  |  Date: April 13, 2026</w:t>
            </w:r>
          </w:p>
        </w:tc>
      </w:tr>
    </w:tbl>
    <w:p/>
    <w:p>
      <w:pPr>
        <w:pStyle w:val="Heading2"/>
      </w:pPr>
      <w:r>
        <w:t>Overview</w:t>
      </w:r>
    </w:p>
    <w:p>
      <w:r>
        <w:t>This document presents a structured multi-agent debate on whether Hedonic Motivation (HM) should be added as the 13th construct to the current 10-construct MASEM model. Four Diverga VS Arena agents were deployed: two arguing FOR inclusion (PRO-HM) from Pragmatist and Theoretical Framework perspectives; two arguing AGAINST inclusion (ANTI-HM) from MASEM Methodology and Post-Positivist Empirical perspectives. Each agent generated four structured arguments, for a total of 16 arguments. The document closes with a cross-cutting synthesis table and open decision questions. No conclusive recommendation is offered; this document is intended to inform team deliberation.</w:t>
      </w:r>
    </w:p>
    <w:p>
      <w:pPr>
        <w:pStyle w:val="Heading3"/>
      </w:pPr>
      <w:r>
        <w:t>Study Context at a Glance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E8E8E8"/>
          </w:tcPr>
          <w:p>
            <w:r>
              <w:rPr>
                <w:b/>
              </w:rPr>
              <w:t>Corpus</w:t>
            </w:r>
          </w:p>
        </w:tc>
        <w:tc>
          <w:tcPr>
            <w:tcW w:type="dxa" w:w="4703"/>
          </w:tcPr>
          <w:p>
            <w:r>
              <w:t>N = 224 included studies; AI adoption in higher education</w:t>
            </w:r>
          </w:p>
        </w:tc>
      </w:tr>
      <w:tr>
        <w:tc>
          <w:tcPr>
            <w:tcW w:type="dxa" w:w="4703"/>
            <w:shd w:val="clear" w:color="auto" w:fill="E8E8E8"/>
          </w:tcPr>
          <w:p>
            <w:r>
              <w:rPr>
                <w:b/>
              </w:rPr>
              <w:t>Current model</w:t>
            </w:r>
          </w:p>
        </w:tc>
        <w:tc>
          <w:tcPr>
            <w:tcW w:type="dxa" w:w="4703"/>
          </w:tcPr>
          <w:p>
            <w:r>
              <w:t>10 constructs: PE, EE, SI, FC, ATT, SE, ANX, TRU, BI, UB</w:t>
            </w:r>
          </w:p>
        </w:tc>
      </w:tr>
      <w:tr>
        <w:tc>
          <w:tcPr>
            <w:tcW w:type="dxa" w:w="4703"/>
            <w:shd w:val="clear" w:color="auto" w:fill="E8E8E8"/>
          </w:tcPr>
          <w:p>
            <w:r>
              <w:rPr>
                <w:b/>
              </w:rPr>
              <w:t>Theoretical base</w:t>
            </w:r>
          </w:p>
        </w:tc>
        <w:tc>
          <w:tcPr>
            <w:tcW w:type="dxa" w:w="4703"/>
          </w:tcPr>
          <w:p>
            <w:r>
              <w:t>TRA/TPB + UTAUT + AI-specific extensions</w:t>
            </w:r>
          </w:p>
        </w:tc>
      </w:tr>
      <w:tr>
        <w:tc>
          <w:tcPr>
            <w:tcW w:type="dxa" w:w="4703"/>
            <w:shd w:val="clear" w:color="auto" w:fill="E8E8E8"/>
          </w:tcPr>
          <w:p>
            <w:r>
              <w:rPr>
                <w:b/>
              </w:rPr>
              <w:t>HM operationalized in</w:t>
            </w:r>
          </w:p>
        </w:tc>
        <w:tc>
          <w:tcPr>
            <w:tcW w:type="dxa" w:w="4703"/>
          </w:tcPr>
          <w:p>
            <w:r>
              <w:t>47 studies (21% of corpus); 43/47 report inter-construct correlations</w:t>
            </w:r>
          </w:p>
        </w:tc>
      </w:tr>
      <w:tr>
        <w:tc>
          <w:tcPr>
            <w:tcW w:type="dxa" w:w="4703"/>
            <w:shd w:val="clear" w:color="auto" w:fill="E8E8E8"/>
          </w:tcPr>
          <w:p>
            <w:r>
              <w:rPr>
                <w:b/>
              </w:rPr>
              <w:t>Key HM cell counts</w:t>
            </w:r>
          </w:p>
        </w:tc>
        <w:tc>
          <w:tcPr>
            <w:tcW w:type="dxa" w:w="4703"/>
          </w:tcPr>
          <w:p>
            <w:r>
              <w:t>HM-PE k=44, HM-EE k=42, HM-ATT k=38, HM-BI k=44; HM-TRU k=13; HM-ANX k=5</w:t>
            </w:r>
          </w:p>
        </w:tc>
      </w:tr>
      <w:tr>
        <w:tc>
          <w:tcPr>
            <w:tcW w:type="dxa" w:w="4703"/>
            <w:shd w:val="clear" w:color="auto" w:fill="E8E8E8"/>
          </w:tcPr>
          <w:p>
            <w:r>
              <w:rPr>
                <w:b/>
              </w:rPr>
              <w:t>Critical sparse cell</w:t>
            </w:r>
          </w:p>
        </w:tc>
        <w:tc>
          <w:tcPr>
            <w:tcW w:type="dxa" w:w="4703"/>
          </w:tcPr>
          <w:p>
            <w:r>
              <w:t>HM+TRU+ANX simultaneous: k=2</w:t>
            </w:r>
          </w:p>
        </w:tc>
      </w:tr>
      <w:tr>
        <w:tc>
          <w:tcPr>
            <w:tcW w:type="dxa" w:w="4703"/>
            <w:shd w:val="clear" w:color="auto" w:fill="E8E8E8"/>
          </w:tcPr>
          <w:p>
            <w:r>
              <w:rPr>
                <w:b/>
              </w:rPr>
              <w:t>Expected r(HM, ATT)</w:t>
            </w:r>
          </w:p>
        </w:tc>
        <w:tc>
          <w:tcPr>
            <w:tcW w:type="dxa" w:w="4703"/>
          </w:tcPr>
          <w:p>
            <w:r>
              <w:t>.60 to .80 (prior literature)</w:t>
            </w:r>
          </w:p>
        </w:tc>
      </w:tr>
    </w:tbl>
    <w:p/>
    <w:tbl>
      <w:tblPr>
        <w:tblW w:type="auto" w:w="0"/>
        <w:jc w:val="center"/>
        <w:tblLook w:firstColumn="1" w:firstRow="1" w:lastColumn="0" w:lastRow="0" w:noHBand="0" w:noVBand="1" w:val="04A0"/>
      </w:tblPr>
      <w:tblGrid>
        <w:gridCol w:w="9406"/>
      </w:tblGrid>
      <w:tr>
        <w:tc>
          <w:tcPr>
            <w:tcW w:type="dxa" w:w="8640"/>
            <w:shd w:val="clear" w:color="auto" w:fill="1A5376"/>
          </w:tcPr>
          <w:p>
            <w:pPr>
              <w:jc w:val="center"/>
            </w:pPr>
            <w:r>
              <w:rPr>
                <w:b/>
                <w:color w:val="FFFFFF"/>
                <w:sz w:val="26"/>
              </w:rPr>
              <w:t>PART 1: PRO-HM ARGUMENTS (FOR INCLUSION)</w:t>
            </w:r>
          </w:p>
        </w:tc>
      </w:tr>
    </w:tbl>
    <w:p/>
    <w:p>
      <w:pPr>
        <w:pStyle w:val="Heading2"/>
      </w:pPr>
      <w:r>
        <w:t>PRO-HM Position A: Pragmatist</w:t>
      </w:r>
    </w:p>
    <w:p>
      <w:r>
        <w:rPr>
          <w:b/>
        </w:rPr>
        <w:t>Agent perspective:</w:t>
      </w:r>
      <w:r>
        <w:t xml:space="preserve"> Diverga VS Arena, Pragmatist Methodology (v3). Constructs earn their place through predictive utility and practical consequences, not theoretical lineage. Research methodology serves the phenomenon.</w:t>
      </w:r>
    </w:p>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1: Predictive Utility Trumps Architectural Purity</w:t>
            </w:r>
          </w:p>
          <w:p>
            <w:pPr>
              <w:ind w:left="280"/>
            </w:pPr>
            <w:r>
              <w:rPr>
                <w:b/>
                <w:color w:val="1A5376"/>
                <w:sz w:val="19"/>
              </w:rPr>
              <w:t xml:space="preserve">(a) Core Claim: </w:t>
            </w:r>
            <w:r>
              <w:rPr>
                <w:sz w:val="19"/>
              </w:rPr>
              <w:t>HM should be included because its inclusion demonstrably improves the model's predictive accounting of BI variance in AI adoption contexts, which is the ultimate pragmatic test of a MASEM's worth.</w:t>
            </w:r>
          </w:p>
          <w:p>
            <w:pPr>
              <w:ind w:left="280"/>
            </w:pPr>
            <w:r>
              <w:rPr>
                <w:b/>
                <w:color w:val="1A5376"/>
                <w:sz w:val="19"/>
              </w:rPr>
              <w:t xml:space="preserve">(b) Theoretical Grounding: </w:t>
            </w:r>
            <w:r>
              <w:rPr>
                <w:sz w:val="19"/>
              </w:rPr>
              <w:t>Following Dewey's instrumentalism and James's pragmatic maxim, constructs earn their place through 'cash value' in explaining consequences. Venkatesh, Thong, and Xu (2012) demonstrated HM increased variance explained in BI by 14 percentage points over UTAUT1 in consumer contexts. Recent AI adoption work (Strzelecki, 2024; Raffaghelli et al., 2022) shows ChatGPT and generative AI tools are experienced as intrinsically engaging, making affective-hedonic pathways non-trivial.</w:t>
            </w:r>
          </w:p>
          <w:p>
            <w:pPr>
              <w:ind w:left="280"/>
            </w:pPr>
            <w:r>
              <w:rPr>
                <w:b/>
                <w:color w:val="1A5376"/>
                <w:sz w:val="19"/>
              </w:rPr>
              <w:t xml:space="preserve">(c) Empirical Support: </w:t>
            </w:r>
            <w:r>
              <w:rPr>
                <w:sz w:val="19"/>
              </w:rPr>
              <w:t>With k=44 for HM-BI and expected r(HM, ATT) = .60 to .80, HM is among the best-populated cells in the entire matrix, better than several currently-included AI-specific cells. Excluding a construct this well-sampled because of philosophical commitments to TRA/TPB lineage violates the pragmatist principle that methodology serves the phenomenon.</w:t>
            </w:r>
          </w:p>
          <w:p>
            <w:pPr>
              <w:ind w:left="280"/>
            </w:pPr>
            <w:r>
              <w:rPr>
                <w:b/>
                <w:color w:val="1A5376"/>
                <w:sz w:val="19"/>
              </w:rPr>
              <w:t xml:space="preserve">(d) Counter-rebuttal: </w:t>
            </w:r>
            <w:r>
              <w:rPr>
                <w:sz w:val="19"/>
              </w:rPr>
              <w:t>The 'architecture conflict' objection (Model A vs Model B) assumes the researcher must commit a priori to one theoretical lineage. Pragmatically, MASEM is an abductive inference engine: we can fit both Model A (without HM) and Model B (with HM) and let comparative fit indices, not prior theoretical loyalty, adjudicate.</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2: Competing Models Design Resolves the Two-Camp Divide</w:t>
            </w:r>
          </w:p>
          <w:p>
            <w:pPr>
              <w:ind w:left="280"/>
            </w:pPr>
            <w:r>
              <w:rPr>
                <w:b/>
                <w:color w:val="1A5376"/>
                <w:sz w:val="19"/>
              </w:rPr>
              <w:t xml:space="preserve">(a) Core Claim: </w:t>
            </w:r>
            <w:r>
              <w:rPr>
                <w:sz w:val="19"/>
              </w:rPr>
              <w:t>The UTAUT2-vs-AI-specific bifurcation is not a bug but a feature that a pragmatist MASEM design can exploit through subgroup and competing-models analysis.</w:t>
            </w:r>
          </w:p>
          <w:p>
            <w:pPr>
              <w:ind w:left="280"/>
            </w:pPr>
            <w:r>
              <w:rPr>
                <w:b/>
                <w:color w:val="1A5376"/>
                <w:sz w:val="19"/>
              </w:rPr>
              <w:t xml:space="preserve">(b) Theoretical Grounding: </w:t>
            </w:r>
            <w:r>
              <w:rPr>
                <w:sz w:val="19"/>
              </w:rPr>
              <w:t>Cheung and Chan's (2005) TSSEM framework explicitly permits fitting alternative structural specifications to the same pooled correlation matrix. Morgan's (2007) pragmatist mixed-methods logic encourages treating incommensurable frameworks as complementary lenses whose convergence/divergence is itself informative.</w:t>
            </w:r>
          </w:p>
          <w:p>
            <w:pPr>
              <w:ind w:left="280"/>
            </w:pPr>
            <w:r>
              <w:rPr>
                <w:b/>
                <w:color w:val="1A5376"/>
                <w:sz w:val="19"/>
              </w:rPr>
              <w:t xml:space="preserve">(c) Empirical Support: </w:t>
            </w:r>
            <w:r>
              <w:rPr>
                <w:sz w:val="19"/>
              </w:rPr>
              <w:t>With k=13 for HM-TRU and k=5 for HM-ANX, we have sufficient data to run a two-tier analysis: (i) a full-matrix 13-construct model on the well-populated cells, and (ii) a reduced consumer-UTAUT2 subgraph vs AI-specific subgraph comparison. The HM+TRU+ANX simultaneous k=2 problem only binds if we insist on a single joint model; pragmatically, we report what each subgraph supports.</w:t>
            </w:r>
          </w:p>
          <w:p>
            <w:pPr>
              <w:ind w:left="280"/>
            </w:pPr>
            <w:r>
              <w:rPr>
                <w:b/>
                <w:color w:val="1A5376"/>
                <w:sz w:val="19"/>
              </w:rPr>
              <w:t xml:space="preserve">(d) Counter-rebuttal: </w:t>
            </w:r>
            <w:r>
              <w:rPr>
                <w:sz w:val="19"/>
              </w:rPr>
              <w:t>Critics argue this 'have-your-cake' approach lacks theoretical coherence. The pragmatist response: coherence is judged by whether the multi-model output helps practitioners (instructional designers, EdTech administrators) decide where to invest. Differentiated findings for UTAUT2-style vs AI-specific contexts provide exactly that actionable guidance.</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3: Positive-Definiteness Risk Is Manageable, Not Disqualifying</w:t>
            </w:r>
          </w:p>
          <w:p>
            <w:pPr>
              <w:ind w:left="280"/>
            </w:pPr>
            <w:r>
              <w:rPr>
                <w:b/>
                <w:color w:val="1A5376"/>
                <w:sz w:val="19"/>
              </w:rPr>
              <w:t xml:space="preserve">(a) Core Claim: </w:t>
            </w:r>
            <w:r>
              <w:rPr>
                <w:sz w:val="19"/>
              </w:rPr>
              <w:t>The k=5 HM-ANX and k=2 triple-overlap concerns are engineering problems with established pragmatic solutions, not reasons to exclude a well-theorized construct.</w:t>
            </w:r>
          </w:p>
          <w:p>
            <w:pPr>
              <w:ind w:left="280"/>
            </w:pPr>
            <w:r>
              <w:rPr>
                <w:b/>
                <w:color w:val="1A5376"/>
                <w:sz w:val="19"/>
              </w:rPr>
              <w:t xml:space="preserve">(b) Theoretical Grounding: </w:t>
            </w:r>
            <w:r>
              <w:rPr>
                <w:sz w:val="19"/>
              </w:rPr>
              <w:t>Jak and Cheung's (2020) one-stage GLS MASEM and Wilson et al.'s (2016) full-information approaches handle sparse off-diagonal cells through weighted estimation and missing-at-random assumptions, rather than requiring deletion of constructs.</w:t>
            </w:r>
          </w:p>
          <w:p>
            <w:pPr>
              <w:ind w:left="280"/>
            </w:pPr>
            <w:r>
              <w:rPr>
                <w:b/>
                <w:color w:val="1A5376"/>
                <w:sz w:val="19"/>
              </w:rPr>
              <w:t xml:space="preserve">(c) Empirical Support: </w:t>
            </w:r>
            <w:r>
              <w:rPr>
                <w:sz w:val="19"/>
              </w:rPr>
              <w:t>Of the 78 unique cells in a 13-construct matrix, only 2 to 3 fall below the k=3 minimum. We can (i) apply nearest-positive-definite correction (Higham, 2002), (ii) use OSMASEM with study-level moderators, or (iii) report sensitivity analyses fixing the HM-ANX path to zero vs freely estimated. All three are standard contemporary practice.</w:t>
            </w:r>
          </w:p>
          <w:p>
            <w:pPr>
              <w:ind w:left="280"/>
            </w:pPr>
            <w:r>
              <w:rPr>
                <w:b/>
                <w:color w:val="1A5376"/>
                <w:sz w:val="19"/>
              </w:rPr>
              <w:t xml:space="preserve">(d) Counter-rebuttal: </w:t>
            </w:r>
            <w:r>
              <w:rPr>
                <w:sz w:val="19"/>
              </w:rPr>
              <w:t>To the objection that these fixes are 'ad hoc': pragmatism replies that all statistical adjustments are instrumental. The relevant question is whether the adjusted model yields stable, replicable, decision-useful estimates, which sensitivity analyses will directly test.</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4: Stakeholder Consequences Favor Inclusion</w:t>
            </w:r>
          </w:p>
          <w:p>
            <w:pPr>
              <w:ind w:left="280"/>
            </w:pPr>
            <w:r>
              <w:rPr>
                <w:b/>
                <w:color w:val="1A5376"/>
                <w:sz w:val="19"/>
              </w:rPr>
              <w:t xml:space="preserve">(a) Core Claim: </w:t>
            </w:r>
            <w:r>
              <w:rPr>
                <w:sz w:val="19"/>
              </w:rPr>
              <w:t>For the end-users of this MASEM (higher-education AI policymakers, instructional designers, LMS vendors), omitting HM produces a model strategically blind to the single most distinctive feature of generative AI tools: their experiential appeal.</w:t>
            </w:r>
          </w:p>
          <w:p>
            <w:pPr>
              <w:ind w:left="280"/>
            </w:pPr>
            <w:r>
              <w:rPr>
                <w:b/>
                <w:color w:val="1A5376"/>
                <w:sz w:val="19"/>
              </w:rPr>
              <w:t xml:space="preserve">(b) Theoretical Grounding: </w:t>
            </w:r>
            <w:r>
              <w:rPr>
                <w:sz w:val="19"/>
              </w:rPr>
              <w:t>Patton's (2008) utilization-focused evaluation and Schon's reflective-practitioner tradition insist that research products be evaluated by their usefulness to intended users. An AI adoption model that cannot speak to fun, enjoyment, and engagement fails the user-utility test in 2026, when hedonic framing dominates ChatGPT/Copilot marketing and student discourse.</w:t>
            </w:r>
          </w:p>
          <w:p>
            <w:pPr>
              <w:ind w:left="280"/>
            </w:pPr>
            <w:r>
              <w:rPr>
                <w:b/>
                <w:color w:val="1A5376"/>
                <w:sz w:val="19"/>
              </w:rPr>
              <w:t xml:space="preserve">(c) Empirical Support: </w:t>
            </w:r>
            <w:r>
              <w:rPr>
                <w:sz w:val="19"/>
              </w:rPr>
              <w:t>47 primary studies (21% of the corpus) judged HM salient enough to measure; ignoring this signal privileges theoretical neatness over accumulated field judgment.</w:t>
            </w:r>
          </w:p>
          <w:p>
            <w:pPr>
              <w:ind w:left="280"/>
            </w:pPr>
            <w:r>
              <w:rPr>
                <w:b/>
                <w:color w:val="1A5376"/>
                <w:sz w:val="19"/>
              </w:rPr>
              <w:t xml:space="preserve">(d) Counter-rebuttal: </w:t>
            </w:r>
            <w:r>
              <w:rPr>
                <w:sz w:val="19"/>
              </w:rPr>
              <w:t>On multicollinearity r(HM, ATT) approximately .70: report VIFs, consider ATT as mediator of HM to BI rather than parallel predictor, and use Bayesian SEM with weakly informative priors to stabilize estimates. The inflated-SE concern is a reason to model carefully, not to exclude.</w:t>
            </w:r>
          </w:p>
        </w:tc>
      </w:tr>
    </w:tbl>
    <w:p/>
    <w:p/>
    <w:p>
      <w:pPr>
        <w:pStyle w:val="Heading2"/>
      </w:pPr>
      <w:r>
        <w:t>PRO-HM Position B: Theoretical Framework Architect</w:t>
      </w:r>
    </w:p>
    <w:p>
      <w:r>
        <w:rPr>
          <w:b/>
        </w:rPr>
        <w:t>Agent perspective:</w:t>
      </w:r>
      <w:r>
        <w:t xml:space="preserve"> Diverga VS Arena, Theoretical Framework Architect (a2). Constructs must be grounded in nomological network theory and construct validity. The phenomenological distinctiveness of AI systems requires extending, not restricting, the theoretical apparatus.</w:t>
      </w:r>
    </w:p>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5: Construct Distinctiveness via Nomological Network Separation</w:t>
            </w:r>
          </w:p>
          <w:p>
            <w:pPr>
              <w:ind w:left="280"/>
            </w:pPr>
            <w:r>
              <w:rPr>
                <w:b/>
                <w:color w:val="1A5376"/>
                <w:sz w:val="19"/>
              </w:rPr>
              <w:t xml:space="preserve">(a) Core Claim: </w:t>
            </w:r>
            <w:r>
              <w:rPr>
                <w:sz w:val="19"/>
              </w:rPr>
              <w:t>ATT and HM occupy theoretically distinct positions in the nomological network; treating them as interchangeable violates construct validity requirements established by Cronbach and Meehl (1955).</w:t>
            </w:r>
          </w:p>
          <w:p>
            <w:pPr>
              <w:ind w:left="280"/>
            </w:pPr>
            <w:r>
              <w:rPr>
                <w:b/>
                <w:color w:val="1A5376"/>
                <w:sz w:val="19"/>
              </w:rPr>
              <w:t xml:space="preserve">(b) Theoretical Grounding: </w:t>
            </w:r>
            <w:r>
              <w:rPr>
                <w:sz w:val="19"/>
              </w:rPr>
              <w:t>ATT in the Fishbein-Ajzen (1975) tradition is a summary evaluative judgment integrating expectancy-value beliefs, a fundamentally cognitive-deliberative construct with affective residue. HM, deriving from Deci's (1975) intrinsic motivation theory and Davis, Bagozzi, and Warshaw (1992), indexes experiential affect-in-the-moment. Van der Heijden (2004) empirically demonstrated that perceived enjoyment and attitude load on separable factors with discriminant validity (AVE &gt; squared inter-correlation). Venkatesh et al. (2012) retained HM as a distinct UTAUT2 construct precisely because CFA showed it was not subsumed by attitudinal or utilitarian evaluations.</w:t>
            </w:r>
          </w:p>
          <w:p>
            <w:pPr>
              <w:ind w:left="280"/>
            </w:pPr>
            <w:r>
              <w:rPr>
                <w:b/>
                <w:color w:val="1A5376"/>
                <w:sz w:val="19"/>
              </w:rPr>
              <w:t xml:space="preserve">(c) Empirical Support: </w:t>
            </w:r>
            <w:r>
              <w:rPr>
                <w:sz w:val="19"/>
              </w:rPr>
              <w:t>Expected r(HM, ATT) of .60 to .80 is well below the Fornell-Larcker discriminant validity threshold implied by typical AVE values (.70+). With k=43 studies reporting inter-construct correlations, the MASEM has sufficient power to formally test discriminant validity via HTMT ratios; omitting HM forecloses this test.</w:t>
            </w:r>
          </w:p>
          <w:p>
            <w:pPr>
              <w:ind w:left="280"/>
            </w:pPr>
            <w:r>
              <w:rPr>
                <w:b/>
                <w:color w:val="1A5376"/>
                <w:sz w:val="19"/>
              </w:rPr>
              <w:t xml:space="preserve">(d) Counter-rebuttal: </w:t>
            </w:r>
            <w:r>
              <w:rPr>
                <w:sz w:val="19"/>
              </w:rPr>
              <w:t>The claim that 'ATT already captures affective evaluation' conflates affect as valenced judgment (ATT) with affect as phenomenological experience (HM). This is the same error Bagozzi (1992) warned against when distinguishing appraisal-based attitudes from emotional experience.</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6: AI-Specific Phenomenology Demands Hedonic Measurement</w:t>
            </w:r>
          </w:p>
          <w:p>
            <w:pPr>
              <w:ind w:left="280"/>
            </w:pPr>
            <w:r>
              <w:rPr>
                <w:b/>
                <w:color w:val="1A5376"/>
                <w:sz w:val="19"/>
              </w:rPr>
              <w:t xml:space="preserve">(a) Core Claim: </w:t>
            </w:r>
            <w:r>
              <w:rPr>
                <w:sz w:val="19"/>
              </w:rPr>
              <w:t>Generative AI systems produce uniquely hedonic user experiences (novelty, surprise, co-creative flow) that utilitarian attitude measures systematically under-capture.</w:t>
            </w:r>
          </w:p>
          <w:p>
            <w:pPr>
              <w:ind w:left="280"/>
            </w:pPr>
            <w:r>
              <w:rPr>
                <w:b/>
                <w:color w:val="1A5376"/>
                <w:sz w:val="19"/>
              </w:rPr>
              <w:t xml:space="preserve">(b) Theoretical Grounding: </w:t>
            </w:r>
            <w:r>
              <w:rPr>
                <w:sz w:val="19"/>
              </w:rPr>
              <w:t>Berlyne's (1960) collative motivation theory predicts that stimuli combining novelty, complexity, and surprisingness trigger intrinsic hedonic responses independent of instrumental evaluation. Generative AI exemplifies this: stochastic outputs, anthropomorphic dialogue, and emergent creativity. Sundar's (2008) MAIN model and HCI work on 'delightful interactions' (Shin, 2022) argue that AI interfaces activate hedonic circuits (curiosity, play) that traditional IT artifacts do not.</w:t>
            </w:r>
          </w:p>
          <w:p>
            <w:pPr>
              <w:ind w:left="280"/>
            </w:pPr>
            <w:r>
              <w:rPr>
                <w:b/>
                <w:color w:val="1A5376"/>
                <w:sz w:val="19"/>
              </w:rPr>
              <w:t xml:space="preserve">(c) Empirical Support: </w:t>
            </w:r>
            <w:r>
              <w:rPr>
                <w:sz w:val="19"/>
              </w:rPr>
              <w:t>The fact that 98% of HM-inclusive studies position HM as a direct BI antecedent (not mediated by ATT) reflects empirical researchers' repeated discovery that hedonic pathways bypass attitudinal judgment in AI contexts. This convergent pattern across 47 studies is itself nomological evidence.</w:t>
            </w:r>
          </w:p>
          <w:p>
            <w:pPr>
              <w:ind w:left="280"/>
            </w:pPr>
            <w:r>
              <w:rPr>
                <w:b/>
                <w:color w:val="1A5376"/>
                <w:sz w:val="19"/>
              </w:rPr>
              <w:t xml:space="preserve">(d) Counter-rebuttal: </w:t>
            </w:r>
            <w:r>
              <w:rPr>
                <w:sz w:val="19"/>
              </w:rPr>
              <w:t>Insisting on TRA/TPB purity ignores that TRA was developed in pre-digital consumer behavior contexts (voting, family planning); its scope conditions do not automatically extend to hedonically-rich AI interactions. Theoretical fidelity to Ajzen requires adapting the framework to the phenomenon, not forcing the phenomenon into the framework.</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7: Omitted Variable Bias Threatens Stage-2 Structural Estimates</w:t>
            </w:r>
          </w:p>
          <w:p>
            <w:pPr>
              <w:ind w:left="280"/>
            </w:pPr>
            <w:r>
              <w:rPr>
                <w:b/>
                <w:color w:val="1A5376"/>
                <w:sz w:val="19"/>
              </w:rPr>
              <w:t xml:space="preserve">(a) Core Claim: </w:t>
            </w:r>
            <w:r>
              <w:rPr>
                <w:sz w:val="19"/>
              </w:rPr>
              <w:t>Excluding HM when it correlates .60 to .80 with ATT and is causally prior to BI produces biased, inconsistent estimates of the PE to ATT to BI and SI to BI pathways.</w:t>
            </w:r>
          </w:p>
          <w:p>
            <w:pPr>
              <w:ind w:left="280"/>
            </w:pPr>
            <w:r>
              <w:rPr>
                <w:b/>
                <w:color w:val="1A5376"/>
                <w:sz w:val="19"/>
              </w:rPr>
              <w:t xml:space="preserve">(b) Theoretical Grounding: </w:t>
            </w:r>
            <w:r>
              <w:rPr>
                <w:sz w:val="19"/>
              </w:rPr>
              <w:t>Antonakis et al. (2010) demonstrate that omitting a correlated antecedent of an endogenous variable biases all structural coefficients linked to it. If HM is a true common cause or parallel predictor of BI correlated with PE (because enjoyable systems are also perceived as useful; Venkatesh 2000), then the PE to BI path absorbs HM's variance, inflating PE's apparent effect. This misidentifies which construct drives adoption.</w:t>
            </w:r>
          </w:p>
          <w:p>
            <w:pPr>
              <w:ind w:left="280"/>
            </w:pPr>
            <w:r>
              <w:rPr>
                <w:b/>
                <w:color w:val="1A5376"/>
                <w:sz w:val="19"/>
              </w:rPr>
              <w:t xml:space="preserve">(c) Empirical Support: </w:t>
            </w:r>
            <w:r>
              <w:rPr>
                <w:sz w:val="19"/>
              </w:rPr>
              <w:t>With k=47 HM studies and expected r(HM, PE) typically .50+ in prior MASEMs (Blut et al., 2022), the omission-induced bias on PE to ATT is non-trivial and estimable.</w:t>
            </w:r>
          </w:p>
          <w:p>
            <w:pPr>
              <w:ind w:left="280"/>
            </w:pPr>
            <w:r>
              <w:rPr>
                <w:b/>
                <w:color w:val="1A5376"/>
                <w:sz w:val="19"/>
              </w:rPr>
              <w:t xml:space="preserve">(d) Counter-rebuttal: </w:t>
            </w:r>
            <w:r>
              <w:rPr>
                <w:sz w:val="19"/>
              </w:rPr>
              <w:t>Parsimony cannot justify specification error. A 10-construct model that is misspecified is not more parsimonious than an 11-construct model that is correctly specified; it is simply wrong more efficiently.</w:t>
            </w:r>
          </w:p>
        </w:tc>
      </w:tr>
    </w:tbl>
    <w:p/>
    <w:tbl>
      <w:tblPr>
        <w:tblW w:type="auto" w:w="0"/>
        <w:jc w:val="center"/>
        <w:tblLook w:firstColumn="1" w:firstRow="1" w:lastColumn="0" w:lastRow="0" w:noHBand="0" w:noVBand="1" w:val="04A0"/>
      </w:tblPr>
      <w:tblGrid>
        <w:gridCol w:w="9406"/>
      </w:tblGrid>
      <w:tr>
        <w:tc>
          <w:tcPr>
            <w:tcW w:type="dxa" w:w="8928"/>
            <w:shd w:val="clear" w:color="auto" w:fill="D0E4F0"/>
            <w:tcBorders>
              <w:top w:val="single" w:sz="4" w:color="AAAAAA"/>
              <w:left w:val="single" w:sz="4" w:color="AAAAAA"/>
              <w:bottom w:val="single" w:sz="4" w:color="AAAAAA"/>
              <w:right w:val="single" w:sz="4" w:color="AAAAAA"/>
            </w:tcBorders>
          </w:tcPr>
          <w:p/>
          <w:p>
            <w:r>
              <w:rPr>
                <w:b/>
                <w:color w:val="1A5376"/>
                <w:sz w:val="22"/>
              </w:rPr>
              <w:t>Argument 8: Theoretical Completeness Under Dual-Process Accounts</w:t>
            </w:r>
          </w:p>
          <w:p>
            <w:pPr>
              <w:ind w:left="280"/>
            </w:pPr>
            <w:r>
              <w:rPr>
                <w:b/>
                <w:color w:val="1A5376"/>
                <w:sz w:val="19"/>
              </w:rPr>
              <w:t xml:space="preserve">(a) Core Claim: </w:t>
            </w:r>
            <w:r>
              <w:rPr>
                <w:sz w:val="19"/>
              </w:rPr>
              <w:t>Contemporary dual-process theories of technology adoption (Kahneman 2011; Soror et al. 2015) require both deliberative (ATT) and experiential (HM) pathways for theoretical completeness.</w:t>
            </w:r>
          </w:p>
          <w:p>
            <w:pPr>
              <w:ind w:left="280"/>
            </w:pPr>
            <w:r>
              <w:rPr>
                <w:b/>
                <w:color w:val="1A5376"/>
                <w:sz w:val="19"/>
              </w:rPr>
              <w:t xml:space="preserve">(b) Theoretical Grounding: </w:t>
            </w:r>
            <w:r>
              <w:rPr>
                <w:sz w:val="19"/>
              </w:rPr>
              <w:t>Restricting the model to TRA/TPB commits the study to a single-route, deliberative architecture that dual-process frameworks have superseded. Venkatesh et al. (2012) explicitly positioned HM as the System-1/experiential counterpart to System-2/evaluative ATT. MASEM's comparative advantage is testing competing model architectures; excluding HM a priori forecloses the very comparison that would adjudicate TRA/TPB vs UTAUT2 for AI contexts.</w:t>
            </w:r>
          </w:p>
          <w:p>
            <w:pPr>
              <w:ind w:left="280"/>
            </w:pPr>
            <w:r>
              <w:rPr>
                <w:b/>
                <w:color w:val="1A5376"/>
                <w:sz w:val="19"/>
              </w:rPr>
              <w:t xml:space="preserve">(c) Empirical Support: </w:t>
            </w:r>
            <w:r>
              <w:rPr>
                <w:sz w:val="19"/>
              </w:rPr>
              <w:t>The 47-study corpus provides a natural quasi-experiment: studies with vs without HM differ in their structural conclusions about BI determinants. Stage 2 can test both nested specifications (HM to ATT to BI versus HM to BI direct) and let the data arbitrate.</w:t>
            </w:r>
          </w:p>
          <w:p>
            <w:pPr>
              <w:ind w:left="280"/>
            </w:pPr>
            <w:r>
              <w:rPr>
                <w:b/>
                <w:color w:val="1A5376"/>
                <w:sz w:val="19"/>
              </w:rPr>
              <w:t xml:space="preserve">(d) Counter-rebuttal: </w:t>
            </w:r>
            <w:r>
              <w:rPr>
                <w:sz w:val="19"/>
              </w:rPr>
              <w:t>The 'UTAUT2 conflicts with TRA/TPB mediation' objection is a feature, not a bug. Pre-committing to TRA/TPB without testing the dual-process alternative is confirmatory bias disguised as theoretical discipline.</w:t>
            </w:r>
          </w:p>
        </w:tc>
      </w:tr>
    </w:tbl>
    <w:p/>
    <w:p>
      <w:r>
        <w:br w:type="page"/>
      </w:r>
    </w:p>
    <w:tbl>
      <w:tblPr>
        <w:tblW w:type="auto" w:w="0"/>
        <w:jc w:val="center"/>
        <w:tblLook w:firstColumn="1" w:firstRow="1" w:lastColumn="0" w:lastRow="0" w:noHBand="0" w:noVBand="1" w:val="04A0"/>
      </w:tblPr>
      <w:tblGrid>
        <w:gridCol w:w="9406"/>
      </w:tblGrid>
      <w:tr>
        <w:tc>
          <w:tcPr>
            <w:tcW w:type="dxa" w:w="8640"/>
            <w:shd w:val="clear" w:color="auto" w:fill="7B1E1E"/>
          </w:tcPr>
          <w:p>
            <w:pPr>
              <w:jc w:val="center"/>
            </w:pPr>
            <w:r>
              <w:rPr>
                <w:b/>
                <w:color w:val="FFFFFF"/>
                <w:sz w:val="26"/>
              </w:rPr>
              <w:t>PART 2: ANTI-HM ARGUMENTS (AGAINST INCLUSION)</w:t>
            </w:r>
          </w:p>
        </w:tc>
      </w:tr>
    </w:tbl>
    <w:p/>
    <w:p>
      <w:pPr>
        <w:pStyle w:val="Heading2"/>
      </w:pPr>
      <w:r>
        <w:t>ANTI-HM Position A: MASEM Methodology Specialist</w:t>
      </w:r>
    </w:p>
    <w:p>
      <w:r>
        <w:rPr>
          <w:b/>
        </w:rPr>
        <w:t>Agent perspective:</w:t>
      </w:r>
      <w:r>
        <w:t xml:space="preserve"> Diverga VS Arena, Meta-Analysis Master / MASEM Specialist (c5). MASEM validity rests on the integrity of the Stage 1 pooled correlation matrix. Sparse cells and non-random missingness are not minor inconveniences; they threaten the mathematical foundations of TSSEM/OSMASEM.</w:t>
      </w:r>
    </w:p>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9: Positive Definiteness Failure in the Stage 1 Pooled Correlation Matrix</w:t>
            </w:r>
          </w:p>
          <w:p>
            <w:pPr>
              <w:ind w:left="280"/>
            </w:pPr>
            <w:r>
              <w:rPr>
                <w:b/>
                <w:color w:val="7B1E1E"/>
                <w:sz w:val="19"/>
              </w:rPr>
              <w:t xml:space="preserve">(a) Core Claim: </w:t>
            </w:r>
            <w:r>
              <w:rPr>
                <w:sz w:val="19"/>
              </w:rPr>
              <w:t>Adding HM as the 13th construct will very likely produce a non-positive-definite (NPD) pooled correlation matrix at Stage 1, rendering Stage 2 SEM estimation mathematically invalid.</w:t>
            </w:r>
          </w:p>
          <w:p>
            <w:pPr>
              <w:ind w:left="280"/>
            </w:pPr>
            <w:r>
              <w:rPr>
                <w:b/>
                <w:color w:val="7B1E1E"/>
                <w:sz w:val="19"/>
              </w:rPr>
              <w:t xml:space="preserve">(b) Theoretical Grounding: </w:t>
            </w:r>
            <w:r>
              <w:rPr>
                <w:sz w:val="19"/>
              </w:rPr>
              <w:t>Cheung (2015, Chapter 3) is explicit that TSSEM's Stage 1 requires R_pooled to be positive definite (all eigenvalues &gt; 0) so that its inverse exists for the WLS fit function at Stage 2. Jak and Cheung (2020) reinforce that OSMASEM likewise inherits this constraint. When cells are estimated from drastically different subsamples (k=44 for HM-PE versus k=5 for HM-ANX), pairwise elements of R_pooled are not guaranteed to be internally consistent. NPD is a documented failure mode (Viswesvaran and Ones, 1995).</w:t>
            </w:r>
          </w:p>
          <w:p>
            <w:pPr>
              <w:ind w:left="280"/>
            </w:pPr>
            <w:r>
              <w:rPr>
                <w:b/>
                <w:color w:val="7B1E1E"/>
                <w:sz w:val="19"/>
              </w:rPr>
              <w:t xml:space="preserve">(c) Empirical Support: </w:t>
            </w:r>
            <w:r>
              <w:rPr>
                <w:sz w:val="19"/>
              </w:rPr>
              <w:t>With r(HM, ATT) approximately .60 to .80 from k=38, but r(HM, ANX) from only k=5, the HM row/column of R_pooled mixes highly precise and highly imprecise cells. Small perturbations in the k=5 cell can push one eigenvalue negative.</w:t>
            </w:r>
          </w:p>
          <w:p>
            <w:pPr>
              <w:ind w:left="280"/>
            </w:pPr>
            <w:r>
              <w:rPr>
                <w:b/>
                <w:color w:val="7B1E1E"/>
                <w:sz w:val="19"/>
              </w:rPr>
              <w:t xml:space="preserve">(d) Counter-rebuttal: </w:t>
            </w:r>
            <w:r>
              <w:rPr>
                <w:sz w:val="19"/>
              </w:rPr>
              <w:t>Ridge correction (adding delta*I) artificially inflates the diagonal and biases all standardized path coefficients downward, which Cheung (2015, section 3.6) flags as a last resort, not a routine fix. Pairwise deletion at Stage 2 is not possible in TSSEM because the entire R_pooled is the required input.</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10: NMAR Two-Camp Structure Violates TSSEM Pooling Assumptions</w:t>
            </w:r>
          </w:p>
          <w:p>
            <w:pPr>
              <w:ind w:left="280"/>
            </w:pPr>
            <w:r>
              <w:rPr>
                <w:b/>
                <w:color w:val="7B1E1E"/>
                <w:sz w:val="19"/>
              </w:rPr>
              <w:t xml:space="preserve">(a) Core Claim: </w:t>
            </w:r>
            <w:r>
              <w:rPr>
                <w:sz w:val="19"/>
              </w:rPr>
              <w:t>The HM vs TRU/ANX two-camp divide is Not Missing At Random (NMAR): whether HM is measured depends on the theoretical framework (UTAUT2 vs AI-specific), which is itself correlated with effect-size magnitudes.</w:t>
            </w:r>
          </w:p>
          <w:p>
            <w:pPr>
              <w:ind w:left="280"/>
            </w:pPr>
            <w:r>
              <w:rPr>
                <w:b/>
                <w:color w:val="7B1E1E"/>
                <w:sz w:val="19"/>
              </w:rPr>
              <w:t xml:space="preserve">(b) Theoretical Grounding: </w:t>
            </w:r>
            <w:r>
              <w:rPr>
                <w:sz w:val="19"/>
              </w:rPr>
              <w:t>Cheung's (2015) multivariate random-effects Stage 1 assumes that missingness in the study-level correlation vectors is MCAR or at worst MAR conditional on observed moderators. Jak and Cheung (2020) show that OSMASEM likelihood estimation produces biased tau-squared and biased pooled rho when the missing-data mechanism depends on the unobserved correlations themselves. UTAUT2 studies systematically exclude TRU/ANX; AI-specific studies systematically exclude HM. This is textbook NMAR.</w:t>
            </w:r>
          </w:p>
          <w:p>
            <w:pPr>
              <w:ind w:left="280"/>
            </w:pPr>
            <w:r>
              <w:rPr>
                <w:b/>
                <w:color w:val="7B1E1E"/>
                <w:sz w:val="19"/>
              </w:rPr>
              <w:t xml:space="preserve">(c) Empirical Support: </w:t>
            </w:r>
            <w:r>
              <w:rPr>
                <w:sz w:val="19"/>
              </w:rPr>
              <w:t>Only k=2 studies simultaneously measure HM + TRU + ANX. The pooled matrix thereby encodes two different populations stitched together: the HM-PE-EE-ATT-BI block informed by k=38 to 44, and the HM-TRU-ANX sub-block effectively informed by k=2.</w:t>
            </w:r>
          </w:p>
          <w:p>
            <w:pPr>
              <w:ind w:left="280"/>
            </w:pPr>
            <w:r>
              <w:rPr>
                <w:b/>
                <w:color w:val="7B1E1E"/>
                <w:sz w:val="19"/>
              </w:rPr>
              <w:t xml:space="preserve">(d) Counter-rebuttal: </w:t>
            </w:r>
            <w:r>
              <w:rPr>
                <w:sz w:val="19"/>
              </w:rPr>
              <w:t>Multiple imputation of missing correlations requires MAR, which is violated here. FIML in OSMASEM assumes MAR conditional on the model; with k=2 informative studies, the likelihood surface for the HM-TRU and HM-ANX parameters is essentially flat, yielding non-identified estimates dressed up as converged solutions.</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11: Stage 2 SEM Identification Breakdown at k=5 and k=13</w:t>
            </w:r>
          </w:p>
          <w:p>
            <w:pPr>
              <w:ind w:left="280"/>
            </w:pPr>
            <w:r>
              <w:rPr>
                <w:b/>
                <w:color w:val="7B1E1E"/>
                <w:sz w:val="19"/>
              </w:rPr>
              <w:t xml:space="preserve">(a) Core Claim: </w:t>
            </w:r>
            <w:r>
              <w:rPr>
                <w:sz w:val="19"/>
              </w:rPr>
              <w:t>Even if R_pooled is coerced to be positive definite, Stage 2 SEM paths involving HM-ANX (k=5) and HM-TRU (k=13) will be empirically under-identified, with standard errors inflated to the point of uninterpretability.</w:t>
            </w:r>
          </w:p>
          <w:p>
            <w:pPr>
              <w:ind w:left="280"/>
            </w:pPr>
            <w:r>
              <w:rPr>
                <w:b/>
                <w:color w:val="7B1E1E"/>
                <w:sz w:val="19"/>
              </w:rPr>
              <w:t xml:space="preserve">(b) Theoretical Grounding: </w:t>
            </w:r>
            <w:r>
              <w:rPr>
                <w:sz w:val="19"/>
              </w:rPr>
              <w:t>Jak and Cheung (2020) and Cheung (2015, Chapter 4) establish that the effective sample size for each Stage 2 path coefficient is driven by the k of the underlying cell, not the total N across the meta-analysis. Viswesvaran and Ones (1995) recommend k &gt;= 10 as a minimum for any cell that will carry a structural path; Cheung reinforces k &gt;= 10 for stable tau-squared estimation.</w:t>
            </w:r>
          </w:p>
          <w:p>
            <w:pPr>
              <w:ind w:left="280"/>
            </w:pPr>
            <w:r>
              <w:rPr>
                <w:b/>
                <w:color w:val="7B1E1E"/>
                <w:sz w:val="19"/>
              </w:rPr>
              <w:t xml:space="preserve">(c) Empirical Support: </w:t>
            </w:r>
            <w:r>
              <w:rPr>
                <w:sz w:val="19"/>
              </w:rPr>
              <w:t>HM-ANX at k=5: tau-squared at k=5 has a 95% CI spanning roughly an order of magnitude. HM-TRU at k=13 is nominally above the k=10 target but marginal. Any structural path HM to ANX or HM to TRU will have a standard error so wide that the coefficient cannot be distinguished from zero or from .50.</w:t>
            </w:r>
          </w:p>
          <w:p>
            <w:pPr>
              <w:ind w:left="280"/>
            </w:pPr>
            <w:r>
              <w:rPr>
                <w:b/>
                <w:color w:val="7B1E1E"/>
                <w:sz w:val="19"/>
              </w:rPr>
              <w:t xml:space="preserve">(d) Counter-rebuttal: </w:t>
            </w:r>
            <w:r>
              <w:rPr>
                <w:sz w:val="19"/>
              </w:rPr>
              <w:t>Fixing paths to zero to aid identification presupposes the very hypothesis under test. Bayesian priors (suggested by some PRO-HM advocates) introduce researcher degrees of freedom that are inappropriate in a confirmatory MASEM context.</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12: HM Strictly Worsens the Current Sparse-Cell Problem</w:t>
            </w:r>
          </w:p>
          <w:p>
            <w:pPr>
              <w:ind w:left="280"/>
            </w:pPr>
            <w:r>
              <w:rPr>
                <w:b/>
                <w:color w:val="7B1E1E"/>
                <w:sz w:val="19"/>
              </w:rPr>
              <w:t xml:space="preserve">(a) Core Claim: </w:t>
            </w:r>
            <w:r>
              <w:rPr>
                <w:sz w:val="19"/>
              </w:rPr>
              <w:t>The current 10-construct model already has two sparse cells (SE-TRU k~3, TRU-ANX k~3); these are tolerated because 43/45 cells meet k &gt;= 10. Adding HM introduces new sparse cells and worsens the sparse-cell ratio, while the NPD risk increases non-linearly with both p and proportion of sparse cells.</w:t>
            </w:r>
          </w:p>
          <w:p>
            <w:pPr>
              <w:ind w:left="280"/>
            </w:pPr>
            <w:r>
              <w:rPr>
                <w:b/>
                <w:color w:val="7B1E1E"/>
                <w:sz w:val="19"/>
              </w:rPr>
              <w:t xml:space="preserve">(b) Theoretical Grounding: </w:t>
            </w:r>
            <w:r>
              <w:rPr>
                <w:sz w:val="19"/>
              </w:rPr>
              <w:t>Cheung (2015) notes that the probability of R_pooled being NPD increases non-linearly with both the number of constructs p and the proportion of sparse cells. Going from p=10 (45 off-diagonal cells) to p=13 (78 off-diagonal cells) triples the combinatorial opportunities for inconsistency.</w:t>
            </w:r>
          </w:p>
          <w:p>
            <w:pPr>
              <w:ind w:left="280"/>
            </w:pPr>
            <w:r>
              <w:rPr>
                <w:b/>
                <w:color w:val="7B1E1E"/>
                <w:sz w:val="19"/>
              </w:rPr>
              <w:t xml:space="preserve">(c) Empirical Support: </w:t>
            </w:r>
            <w:r>
              <w:rPr>
                <w:sz w:val="19"/>
              </w:rPr>
              <w:t>Current sparse ratio: 2/45 = 4.4%. With HM: at minimum 4/78 = 5.1%, and critically HM-ANX at k=5 and the co-occurrence k=2 make the joint block far worse than SE-TRU k~3 (which at least co-occurs with other well-measured cells).</w:t>
            </w:r>
          </w:p>
          <w:p>
            <w:pPr>
              <w:ind w:left="280"/>
            </w:pPr>
            <w:r>
              <w:rPr>
                <w:b/>
                <w:color w:val="7B1E1E"/>
                <w:sz w:val="19"/>
              </w:rPr>
              <w:t xml:space="preserve">(d) Counter-rebuttal: </w:t>
            </w:r>
            <w:r>
              <w:rPr>
                <w:sz w:val="19"/>
              </w:rPr>
              <w:t>The argument 'we already tolerate k=3 sparse cells' is not a license to add more; it is precisely the reason to stop at p=10. Each additional sparse cell compounds multiplicatively, not additively, in the NPD risk calculation.</w:t>
            </w:r>
          </w:p>
        </w:tc>
      </w:tr>
    </w:tbl>
    <w:p/>
    <w:p/>
    <w:p>
      <w:pPr>
        <w:pStyle w:val="Heading2"/>
      </w:pPr>
      <w:r>
        <w:t>ANTI-HM Position B: Post-Positivist Empirical</w:t>
      </w:r>
    </w:p>
    <w:p>
      <w:r>
        <w:rPr>
          <w:b/>
        </w:rPr>
        <w:t>Agent perspective:</w:t>
      </w:r>
      <w:r>
        <w:t xml:space="preserve"> Diverga VS Arena, Post-Positivist Methodology Expert (v1). Construct inclusion requires falsifiable, empirically grounded justification. The HM-ATT boundary is contested at the measurement level, and the OVB argument is currently unfalsifiable as stated.</w:t>
      </w:r>
    </w:p>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13: Jingle-Jangle Fallacy and Discriminant Validity Failure at the Measurement Level</w:t>
            </w:r>
          </w:p>
          <w:p>
            <w:pPr>
              <w:ind w:left="280"/>
            </w:pPr>
            <w:r>
              <w:rPr>
                <w:b/>
                <w:color w:val="7B1E1E"/>
                <w:sz w:val="19"/>
              </w:rPr>
              <w:t xml:space="preserve">(a) Core Claim: </w:t>
            </w:r>
            <w:r>
              <w:rPr>
                <w:sz w:val="19"/>
              </w:rPr>
              <w:t>The expected r(HM, ATT) = .60 to .80 violates Fornell-Larcker and HTMT thresholds for discriminant validity. When ATT scales in AI literature routinely include hedonic-toned items ('pleasant to use', 'I like using'), we may be measuring the same latent affective evaluation under two labels: a textbook jingle-jangle fallacy (Kelley, 1927; Marsh, 1994).</w:t>
            </w:r>
          </w:p>
          <w:p>
            <w:pPr>
              <w:ind w:left="280"/>
            </w:pPr>
            <w:r>
              <w:rPr>
                <w:b/>
                <w:color w:val="7B1E1E"/>
                <w:sz w:val="19"/>
              </w:rPr>
              <w:t xml:space="preserve">(b) Theoretical Grounding: </w:t>
            </w:r>
            <w:r>
              <w:rPr>
                <w:sz w:val="19"/>
              </w:rPr>
              <w:t>Critical realism requires that latent constructs map onto genuinely distinct features of the real psychological world. Measurement invariance and discriminant validity are the operational tests by which we falsify the claim that two constructs are ontologically separate. Failure of these tests is, by post-positivist standards, evidence that the distinction is nominal rather than real.</w:t>
            </w:r>
          </w:p>
          <w:p>
            <w:pPr>
              <w:ind w:left="280"/>
            </w:pPr>
            <w:r>
              <w:rPr>
                <w:b/>
                <w:color w:val="7B1E1E"/>
                <w:sz w:val="19"/>
              </w:rPr>
              <w:t xml:space="preserve">(c) Empirical Support: </w:t>
            </w:r>
            <w:r>
              <w:rPr>
                <w:sz w:val="19"/>
              </w:rPr>
              <w:t>Across the 47 HM-operationalized studies, HM items ('enjoyable', 'fun', 'pleasant') are lexically near-identical to affective ATT items used in the remaining 177 studies. This is not theoretical overlap; it is item-level redundancy.</w:t>
            </w:r>
          </w:p>
          <w:p>
            <w:pPr>
              <w:ind w:left="280"/>
            </w:pPr>
            <w:r>
              <w:rPr>
                <w:b/>
                <w:color w:val="7B1E1E"/>
                <w:sz w:val="19"/>
              </w:rPr>
              <w:t xml:space="preserve">(d) Counter-rebuttal: </w:t>
            </w:r>
            <w:r>
              <w:rPr>
                <w:sz w:val="19"/>
              </w:rPr>
              <w:t>PRO-HM must produce a multi-trait multi-method (MTMM) analysis, or at minimum a pooled CFA with cross-loadings, showing HTMT &lt; .85 and chi-square difference tests favoring a two-factor solution across a representative subset of the 47 studies. Absent this, discriminant validity is assumed, not established.</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14: Model Parsimony and the Inflation of Researcher Degrees of Freedom</w:t>
            </w:r>
          </w:p>
          <w:p>
            <w:pPr>
              <w:ind w:left="280"/>
            </w:pPr>
            <w:r>
              <w:rPr>
                <w:b/>
                <w:color w:val="7B1E1E"/>
                <w:sz w:val="19"/>
              </w:rPr>
              <w:t xml:space="preserve">(a) Core Claim: </w:t>
            </w:r>
            <w:r>
              <w:rPr>
                <w:sz w:val="19"/>
              </w:rPr>
              <w:t>Adding a 13th construct that correlates .60 to .80 with an existing construct inflates multicollinearity, destabilizes path coefficients, and violates the parsimony principle MacCallum and Austin (2000) identify as central to SEM integrity.</w:t>
            </w:r>
          </w:p>
          <w:p>
            <w:pPr>
              <w:ind w:left="280"/>
            </w:pPr>
            <w:r>
              <w:rPr>
                <w:b/>
                <w:color w:val="7B1E1E"/>
                <w:sz w:val="19"/>
              </w:rPr>
              <w:t xml:space="preserve">(b) Theoretical Grounding: </w:t>
            </w:r>
            <w:r>
              <w:rPr>
                <w:sz w:val="19"/>
              </w:rPr>
              <w:t>Occam's razor is not aesthetic preference; it is a falsifiability heuristic. Simpler models are more falsifiable because they forbid more outcomes (Popper, 1959). Adding a near-redundant construct reduces the model's risk of refutation without increasing explanatory yield.</w:t>
            </w:r>
          </w:p>
          <w:p>
            <w:pPr>
              <w:ind w:left="280"/>
            </w:pPr>
            <w:r>
              <w:rPr>
                <w:b/>
                <w:color w:val="7B1E1E"/>
                <w:sz w:val="19"/>
              </w:rPr>
              <w:t xml:space="preserve">(c) Empirical Support: </w:t>
            </w:r>
            <w:r>
              <w:rPr>
                <w:sz w:val="19"/>
              </w:rPr>
              <w:t>HM-ANX k=5 and simultaneous HM-ANX-TRU k=2 indicate the pooled correlation matrix will contain cells below the k &gt;= 10 threshold commonly required for stable MASEM estimation (Cheung, 2015; Jak and Cheung, 2020). The matrix will be structurally unstable.</w:t>
            </w:r>
          </w:p>
          <w:p>
            <w:pPr>
              <w:ind w:left="280"/>
            </w:pPr>
            <w:r>
              <w:rPr>
                <w:b/>
                <w:color w:val="7B1E1E"/>
                <w:sz w:val="19"/>
              </w:rPr>
              <w:t xml:space="preserve">(d) Counter-rebuttal: </w:t>
            </w:r>
            <w:r>
              <w:rPr>
                <w:sz w:val="19"/>
              </w:rPr>
              <w:t>PRO-HM must demonstrate: (1) a power analysis showing that incremental R-squared on BI from adding HM, net of ATT, exceeds .02 (Cohen's small effect) in a harmonized subsample, AND (2) that all HM-involving cells achieve k &gt;= 10 without aggressive imputation.</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15: Construct Non-Equivalence Across the Two-Camp Divide</w:t>
            </w:r>
          </w:p>
          <w:p>
            <w:pPr>
              <w:ind w:left="280"/>
            </w:pPr>
            <w:r>
              <w:rPr>
                <w:b/>
                <w:color w:val="7B1E1E"/>
                <w:sz w:val="19"/>
              </w:rPr>
              <w:t xml:space="preserve">(a) Core Claim: </w:t>
            </w:r>
            <w:r>
              <w:rPr>
                <w:sz w:val="19"/>
              </w:rPr>
              <w:t>MASEM pooling assumes construct equivalence across primary studies. The UTAUT2 vs AI-specific divide means HM is operationalized in one literature and ATT in the other, with almost no within-study co-measurement. Pooling across these camps treats camp-level operationalization differences as sampling error when they are systematic measurement differences.</w:t>
            </w:r>
          </w:p>
          <w:p>
            <w:pPr>
              <w:ind w:left="280"/>
            </w:pPr>
            <w:r>
              <w:rPr>
                <w:b/>
                <w:color w:val="7B1E1E"/>
                <w:sz w:val="19"/>
              </w:rPr>
              <w:t xml:space="preserve">(b) Theoretical Grounding: </w:t>
            </w:r>
            <w:r>
              <w:rPr>
                <w:sz w:val="19"/>
              </w:rPr>
              <w:t>Valid aggregation requires measurement invariance (Vandenberg and Lance, 2000). Without within-study co-occurrence, the HM-ATT distinction cannot be empirically disentangled from the UTAUT2-vs-AI-literature distinction; the two are confounded.</w:t>
            </w:r>
          </w:p>
          <w:p>
            <w:pPr>
              <w:ind w:left="280"/>
            </w:pPr>
            <w:r>
              <w:rPr>
                <w:b/>
                <w:color w:val="7B1E1E"/>
                <w:sz w:val="19"/>
              </w:rPr>
              <w:t xml:space="preserve">(c) Empirical Support: </w:t>
            </w:r>
            <w:r>
              <w:rPr>
                <w:sz w:val="19"/>
              </w:rPr>
              <w:t>Of 47 HM studies, 40 use PLS-SEM (a camp marker), and simultaneous HM-plus-other-affect measurement is rare (k=2 for HM-ANX simultaneous). The camps are methodologically as well as theoretically siloed.</w:t>
            </w:r>
          </w:p>
          <w:p>
            <w:pPr>
              <w:ind w:left="280"/>
            </w:pPr>
            <w:r>
              <w:rPr>
                <w:b/>
                <w:color w:val="7B1E1E"/>
                <w:sz w:val="19"/>
              </w:rPr>
              <w:t xml:space="preserve">(d) Counter-rebuttal: </w:t>
            </w:r>
            <w:r>
              <w:rPr>
                <w:sz w:val="19"/>
              </w:rPr>
              <w:t>PRO-HM must identify a minimum of 15 to 20 primary studies that measure HM and ATT simultaneously, and show invariant factor structure across UTAUT2 and AI-specific subsamples via multi-group CFA. Without this, cross-camp pooling is not defensible.</w:t>
            </w:r>
          </w:p>
        </w:tc>
      </w:tr>
    </w:tbl>
    <w:p/>
    <w:tbl>
      <w:tblPr>
        <w:tblW w:type="auto" w:w="0"/>
        <w:jc w:val="center"/>
        <w:tblLook w:firstColumn="1" w:firstRow="1" w:lastColumn="0" w:lastRow="0" w:noHBand="0" w:noVBand="1" w:val="04A0"/>
      </w:tblPr>
      <w:tblGrid>
        <w:gridCol w:w="9406"/>
      </w:tblGrid>
      <w:tr>
        <w:tc>
          <w:tcPr>
            <w:tcW w:type="dxa" w:w="8928"/>
            <w:shd w:val="clear" w:color="auto" w:fill="F5D5D5"/>
            <w:tcBorders>
              <w:top w:val="single" w:sz="4" w:color="AAAAAA"/>
              <w:left w:val="single" w:sz="4" w:color="AAAAAA"/>
              <w:bottom w:val="single" w:sz="4" w:color="AAAAAA"/>
              <w:right w:val="single" w:sz="4" w:color="AAAAAA"/>
            </w:tcBorders>
          </w:tcPr>
          <w:p/>
          <w:p>
            <w:r>
              <w:rPr>
                <w:b/>
                <w:color w:val="7B1E1E"/>
                <w:sz w:val="22"/>
              </w:rPr>
              <w:t>Argument 16: Falsifiability Asymmetry in the Omitted-Variable-Bias Claim</w:t>
            </w:r>
          </w:p>
          <w:p>
            <w:pPr>
              <w:ind w:left="280"/>
            </w:pPr>
            <w:r>
              <w:rPr>
                <w:b/>
                <w:color w:val="7B1E1E"/>
                <w:sz w:val="19"/>
              </w:rPr>
              <w:t xml:space="preserve">(a) Core Claim: </w:t>
            </w:r>
            <w:r>
              <w:rPr>
                <w:sz w:val="19"/>
              </w:rPr>
              <w:t>The PRO-HM omitted-variable-bias argument is currently unfalsifiable as stated. Any residual variance in BI can be attributed post hoc to 'omitted HM', making the claim immune to disconfirmation.</w:t>
            </w:r>
          </w:p>
          <w:p>
            <w:pPr>
              <w:ind w:left="280"/>
            </w:pPr>
            <w:r>
              <w:rPr>
                <w:b/>
                <w:color w:val="7B1E1E"/>
                <w:sz w:val="19"/>
              </w:rPr>
              <w:t xml:space="preserve">(b) Theoretical Grounding: </w:t>
            </w:r>
            <w:r>
              <w:rPr>
                <w:sz w:val="19"/>
              </w:rPr>
              <w:t>Unfalsifiable claims carry no epistemic weight (Popper, 1959; Meehl, 1978). The burden lies with proponents of model expansion to specify in advance what pattern of coefficients would disconfirm HM's necessity.</w:t>
            </w:r>
          </w:p>
          <w:p>
            <w:pPr>
              <w:ind w:left="280"/>
            </w:pPr>
            <w:r>
              <w:rPr>
                <w:b/>
                <w:color w:val="7B1E1E"/>
                <w:sz w:val="19"/>
              </w:rPr>
              <w:t xml:space="preserve">(c) Empirical Support: </w:t>
            </w:r>
            <w:r>
              <w:rPr>
                <w:sz w:val="19"/>
              </w:rPr>
              <w:t>98% of HM studies position HM as a direct BI antecedent, yet none appear to test ATT-plus-HM competing models with pre-registered decision rules. The OVB claim is asserted repeatedly without being tested.</w:t>
            </w:r>
          </w:p>
          <w:p>
            <w:pPr>
              <w:ind w:left="280"/>
            </w:pPr>
            <w:r>
              <w:rPr>
                <w:b/>
                <w:color w:val="7B1E1E"/>
                <w:sz w:val="19"/>
              </w:rPr>
              <w:t xml:space="preserve">(d) Counter-rebuttal: </w:t>
            </w:r>
            <w:r>
              <w:rPr>
                <w:sz w:val="19"/>
              </w:rPr>
              <w:t>PRO-HM must pre-specify a falsification criterion (e.g., 'if the ATT-only model achieves CFI &gt;= .95 and SRMR &lt;= .08, HM inclusion is rejected'), then apply it to the pooled correlation matrix. Without this, the OVB argument remains unfalsifiable.</w:t>
            </w:r>
          </w:p>
        </w:tc>
      </w:tr>
    </w:tbl>
    <w:p/>
    <w:p>
      <w:r>
        <w:br w:type="page"/>
      </w:r>
    </w:p>
    <w:tbl>
      <w:tblPr>
        <w:tblW w:type="auto" w:w="0"/>
        <w:jc w:val="center"/>
        <w:tblLook w:firstColumn="1" w:firstRow="1" w:lastColumn="0" w:lastRow="0" w:noHBand="0" w:noVBand="1" w:val="04A0"/>
      </w:tblPr>
      <w:tblGrid>
        <w:gridCol w:w="9406"/>
      </w:tblGrid>
      <w:tr>
        <w:tc>
          <w:tcPr>
            <w:tcW w:type="dxa" w:w="8640"/>
            <w:shd w:val="clear" w:color="auto" w:fill="2C4A2C"/>
          </w:tcPr>
          <w:p>
            <w:pPr>
              <w:jc w:val="center"/>
            </w:pPr>
            <w:r>
              <w:rPr>
                <w:b/>
                <w:color w:val="FFFFFF"/>
                <w:sz w:val="26"/>
              </w:rPr>
              <w:t>PART 3: CROSS-CUTTING SYNTHESIS AND CONFRONTATION ANALYSIS</w:t>
            </w:r>
          </w:p>
        </w:tc>
      </w:tr>
    </w:tbl>
    <w:p/>
    <w:p>
      <w:pPr>
        <w:pStyle w:val="Heading2"/>
      </w:pPr>
      <w:r>
        <w:t>Direct Argument Confrontations</w:t>
      </w:r>
    </w:p>
    <w:p>
      <w:r>
        <w:t>The table below maps the strongest opposing arguments against each other. Each row identifies a contested claim and summarizes the strongest counter from the opposing camp.</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3A3A3A"/>
          </w:tcPr>
          <w:p>
            <w:r>
              <w:rPr>
                <w:b/>
                <w:color w:val="FFFFFF"/>
              </w:rPr>
              <w:t>Contested Dimension</w:t>
            </w:r>
          </w:p>
        </w:tc>
        <w:tc>
          <w:tcPr>
            <w:tcW w:type="dxa" w:w="3135"/>
            <w:shd w:val="clear" w:color="auto" w:fill="3A3A3A"/>
          </w:tcPr>
          <w:p>
            <w:r>
              <w:rPr>
                <w:b/>
                <w:color w:val="FFFFFF"/>
              </w:rPr>
              <w:t>PRO-HM Strongest Claim</w:t>
            </w:r>
          </w:p>
        </w:tc>
        <w:tc>
          <w:tcPr>
            <w:tcW w:type="dxa" w:w="3135"/>
            <w:shd w:val="clear" w:color="auto" w:fill="3A3A3A"/>
          </w:tcPr>
          <w:p>
            <w:r>
              <w:rPr>
                <w:b/>
                <w:color w:val="FFFFFF"/>
              </w:rPr>
              <w:t>ANTI-HM Strongest Counter</w:t>
            </w:r>
          </w:p>
        </w:tc>
      </w:tr>
      <w:tr>
        <w:tc>
          <w:tcPr>
            <w:tcW w:type="dxa" w:w="3135"/>
            <w:shd w:val="clear" w:color="auto" w:fill="EEEEEE"/>
          </w:tcPr>
          <w:p>
            <w:pPr>
              <w:spacing w:after="80"/>
            </w:pPr>
            <w:r>
              <w:rPr>
                <w:sz w:val="18"/>
              </w:rPr>
              <w:t>Construct boundary</w:t>
              <w:br/>
              <w:t>(ATT vs HM)</w:t>
            </w:r>
          </w:p>
        </w:tc>
        <w:tc>
          <w:tcPr>
            <w:tcW w:type="dxa" w:w="3135"/>
          </w:tcPr>
          <w:p>
            <w:pPr>
              <w:spacing w:after="80"/>
            </w:pPr>
            <w:r>
              <w:rPr>
                <w:sz w:val="18"/>
              </w:rPr>
              <w:t>ATT = evaluative judgment; HM = experiential pleasure. These are psychologically distinct (Deci 1975; Van der Heijden 2004). ATT cannot proxy HM because the processes differ.</w:t>
            </w:r>
          </w:p>
        </w:tc>
        <w:tc>
          <w:tcPr>
            <w:tcW w:type="dxa" w:w="3135"/>
          </w:tcPr>
          <w:p>
            <w:pPr>
              <w:spacing w:after="80"/>
            </w:pPr>
            <w:r>
              <w:rPr>
                <w:sz w:val="18"/>
              </w:rPr>
              <w:t>r(HM, ATT) = .60 to .80 with item-level overlap. Without MTMM or cross-loading CFA evidence, distinction is nominal. HTMT likely &gt; .85 in most studies.</w:t>
            </w:r>
          </w:p>
        </w:tc>
      </w:tr>
      <w:tr>
        <w:tc>
          <w:tcPr>
            <w:tcW w:type="dxa" w:w="3135"/>
            <w:shd w:val="clear" w:color="auto" w:fill="EEEEEE"/>
          </w:tcPr>
          <w:p>
            <w:pPr>
              <w:spacing w:after="80"/>
            </w:pPr>
            <w:r>
              <w:rPr>
                <w:sz w:val="18"/>
              </w:rPr>
              <w:t>Structural position</w:t>
              <w:br/>
              <w:t>(Model A vs B)</w:t>
            </w:r>
          </w:p>
        </w:tc>
        <w:tc>
          <w:tcPr>
            <w:tcW w:type="dxa" w:w="3135"/>
          </w:tcPr>
          <w:p>
            <w:pPr>
              <w:spacing w:after="80"/>
            </w:pPr>
            <w:r>
              <w:rPr>
                <w:sz w:val="18"/>
              </w:rPr>
              <w:t>98% of HM studies use UTAUT2-style direct path. This is convergent empirical evidence, not theoretical preference. Test both architectures at Stage 2 and let fit indices decide.</w:t>
            </w:r>
          </w:p>
        </w:tc>
        <w:tc>
          <w:tcPr>
            <w:tcW w:type="dxa" w:w="3135"/>
          </w:tcPr>
          <w:p>
            <w:pPr>
              <w:spacing w:after="80"/>
            </w:pPr>
            <w:r>
              <w:rPr>
                <w:sz w:val="18"/>
              </w:rPr>
              <w:t>Current model commits to TRA/TPB mediation. Adding HM shifts from Model A to Model B without justification. The two architectures are not nested if HM bypasses ATT entirely.</w:t>
            </w:r>
          </w:p>
        </w:tc>
      </w:tr>
      <w:tr>
        <w:tc>
          <w:tcPr>
            <w:tcW w:type="dxa" w:w="3135"/>
            <w:shd w:val="clear" w:color="auto" w:fill="EEEEEE"/>
          </w:tcPr>
          <w:p>
            <w:pPr>
              <w:spacing w:after="80"/>
            </w:pPr>
            <w:r>
              <w:rPr>
                <w:sz w:val="18"/>
              </w:rPr>
              <w:t>Coverage constraint</w:t>
              <w:br/>
              <w:t>(k=5, k=2)</w:t>
            </w:r>
          </w:p>
        </w:tc>
        <w:tc>
          <w:tcPr>
            <w:tcW w:type="dxa" w:w="3135"/>
          </w:tcPr>
          <w:p>
            <w:pPr>
              <w:spacing w:after="80"/>
            </w:pPr>
            <w:r>
              <w:rPr>
                <w:sz w:val="18"/>
              </w:rPr>
              <w:t>k=5 HM-ANX is an engineering problem solvable via OSMASEM sensitivity, ridge correction, or subgraph analysis. The key cells (HM-BI k=44, HM-ATT k=38) are well-populated.</w:t>
            </w:r>
          </w:p>
        </w:tc>
        <w:tc>
          <w:tcPr>
            <w:tcW w:type="dxa" w:w="3135"/>
          </w:tcPr>
          <w:p>
            <w:pPr>
              <w:spacing w:after="80"/>
            </w:pPr>
            <w:r>
              <w:rPr>
                <w:sz w:val="18"/>
              </w:rPr>
              <w:t>k=5 produces HM-ANX tau-squared CI spanning an order of magnitude. The two-camp divide is NMAR, not MAR; neither MI nor FIML is valid. NPD risk is non-linear and compounds with p=13.</w:t>
            </w:r>
          </w:p>
        </w:tc>
      </w:tr>
      <w:tr>
        <w:tc>
          <w:tcPr>
            <w:tcW w:type="dxa" w:w="3135"/>
            <w:shd w:val="clear" w:color="auto" w:fill="EEEEEE"/>
          </w:tcPr>
          <w:p>
            <w:pPr>
              <w:spacing w:after="80"/>
            </w:pPr>
            <w:r>
              <w:rPr>
                <w:sz w:val="18"/>
              </w:rPr>
              <w:t>Omitted variable bias</w:t>
            </w:r>
          </w:p>
        </w:tc>
        <w:tc>
          <w:tcPr>
            <w:tcW w:type="dxa" w:w="3135"/>
          </w:tcPr>
          <w:p>
            <w:pPr>
              <w:spacing w:after="80"/>
            </w:pPr>
            <w:r>
              <w:rPr>
                <w:sz w:val="18"/>
              </w:rPr>
              <w:t>If r(HM, PE) ~ .50+ and HM is a true BI antecedent, omitting HM inflates the PE to ATT to BI path. The current model's PE coefficient is not trustworthy.</w:t>
            </w:r>
          </w:p>
        </w:tc>
        <w:tc>
          <w:tcPr>
            <w:tcW w:type="dxa" w:w="3135"/>
          </w:tcPr>
          <w:p>
            <w:pPr>
              <w:spacing w:after="80"/>
            </w:pPr>
            <w:r>
              <w:rPr>
                <w:sz w:val="18"/>
              </w:rPr>
              <w:t>OVB claim is unfalsifiable as stated. PRO-HM must pre-specify what pattern of ATT-only model fit would disconfirm HM necessity. Meehl (1978): unfalsifiable claims carry no epistemic weight.</w:t>
            </w:r>
          </w:p>
        </w:tc>
      </w:tr>
      <w:tr>
        <w:tc>
          <w:tcPr>
            <w:tcW w:type="dxa" w:w="3135"/>
            <w:shd w:val="clear" w:color="auto" w:fill="EEEEEE"/>
          </w:tcPr>
          <w:p>
            <w:pPr>
              <w:spacing w:after="80"/>
            </w:pPr>
            <w:r>
              <w:rPr>
                <w:sz w:val="18"/>
              </w:rPr>
              <w:t>Two-camp divide</w:t>
            </w:r>
          </w:p>
        </w:tc>
        <w:tc>
          <w:tcPr>
            <w:tcW w:type="dxa" w:w="3135"/>
          </w:tcPr>
          <w:p>
            <w:pPr>
              <w:spacing w:after="80"/>
            </w:pPr>
            <w:r>
              <w:rPr>
                <w:sz w:val="18"/>
              </w:rPr>
              <w:t>Treat camps as subgroups and exploit, not avoid, the divide. Fit UTAUT2 vs AI-specific structural models to respective subgraphs. Differences are informative for practitioners.</w:t>
            </w:r>
          </w:p>
        </w:tc>
        <w:tc>
          <w:tcPr>
            <w:tcW w:type="dxa" w:w="3135"/>
          </w:tcPr>
          <w:p>
            <w:pPr>
              <w:spacing w:after="80"/>
            </w:pPr>
            <w:r>
              <w:rPr>
                <w:sz w:val="18"/>
              </w:rPr>
              <w:t>Subgroup approach acknowledges camps cannot be pooled jointly. This concedes the MASEM's primary goal (one integrated pooled matrix) cannot be achieved with HM included.</w:t>
            </w:r>
          </w:p>
        </w:tc>
      </w:tr>
      <w:tr>
        <w:tc>
          <w:tcPr>
            <w:tcW w:type="dxa" w:w="3135"/>
            <w:shd w:val="clear" w:color="auto" w:fill="EEEEEE"/>
          </w:tcPr>
          <w:p>
            <w:pPr>
              <w:spacing w:after="80"/>
            </w:pPr>
            <w:r>
              <w:rPr>
                <w:sz w:val="18"/>
              </w:rPr>
              <w:t>Generative AI specificity</w:t>
            </w:r>
          </w:p>
        </w:tc>
        <w:tc>
          <w:tcPr>
            <w:tcW w:type="dxa" w:w="3135"/>
          </w:tcPr>
          <w:p>
            <w:pPr>
              <w:spacing w:after="80"/>
            </w:pPr>
            <w:r>
              <w:rPr>
                <w:sz w:val="18"/>
              </w:rPr>
              <w:t>AI triggers hedonic responses (Berlyne 1960; Sundar 2008) categorically different from earlier IT artifacts. TRA/TPB scope conditions do not cover chatbots.</w:t>
            </w:r>
          </w:p>
        </w:tc>
        <w:tc>
          <w:tcPr>
            <w:tcW w:type="dxa" w:w="3135"/>
          </w:tcPr>
          <w:p>
            <w:pPr>
              <w:spacing w:after="80"/>
            </w:pPr>
            <w:r>
              <w:rPr>
                <w:sz w:val="18"/>
              </w:rPr>
              <w:t>This argument is about extending the scope of AI adoption research generally, not about whether THIS MASEM can support HM given the current corpus's measurement structure.</w:t>
            </w:r>
          </w:p>
        </w:tc>
      </w:tr>
    </w:tbl>
    <w:p/>
    <w:p>
      <w:pPr>
        <w:pStyle w:val="Heading2"/>
      </w:pPr>
      <w:r>
        <w:t>Synthesis: Where the Debate Currently Stands</w:t>
      </w:r>
    </w:p>
    <w:tbl>
      <w:tblPr>
        <w:tblW w:type="auto" w:w="0"/>
        <w:jc w:val="center"/>
        <w:tblLook w:firstColumn="1" w:firstRow="1" w:lastColumn="0" w:lastRow="0" w:noHBand="0" w:noVBand="1" w:val="04A0"/>
      </w:tblPr>
      <w:tblGrid>
        <w:gridCol w:w="9406"/>
      </w:tblGrid>
      <w:tr>
        <w:tc>
          <w:tcPr>
            <w:tcW w:type="dxa" w:w="9406"/>
            <w:shd w:val="clear" w:color="auto" w:fill="F0ECD8"/>
            <w:tcBorders>
              <w:top w:val="single" w:sz="6" w:color="888844"/>
              <w:left w:val="single" w:sz="6" w:color="888844"/>
              <w:bottom w:val="single" w:sz="6" w:color="888844"/>
              <w:right w:val="single" w:sz="6" w:color="888844"/>
            </w:tcBorders>
          </w:tcPr>
          <w:p/>
          <w:p>
            <w:r>
              <w:rPr>
                <w:b/>
                <w:sz w:val="20"/>
              </w:rPr>
              <w:t>Theoretical Standing (PRO advantage)</w:t>
            </w:r>
          </w:p>
          <w:p>
            <w:r>
              <w:rPr>
                <w:sz w:val="19"/>
              </w:rPr>
              <w:t>The ATT-HM construct boundary argument (Arguments 5, 6 PRO vs Arguments 13, 15 ANTI) is the most evenly contested. The PRO side has strong theoretical lineage (Deci 1975, Van der Heijden 2004, Venkatesh et al. 2012). The ANTI side correctly demands that discriminant validity be established empirically, not assumed. If HTMT &lt; .85 can be demonstrated in a subset of studies, the PRO side wins this exchange.</w:t>
            </w:r>
          </w:p>
          <w:p>
            <w:r>
              <w:rPr>
                <w:b/>
                <w:sz w:val="20"/>
              </w:rPr>
              <w:t>Methodological Standing (ANTI advantage)</w:t>
            </w:r>
          </w:p>
          <w:p>
            <w:r>
              <w:rPr>
                <w:sz w:val="19"/>
              </w:rPr>
              <w:t>The MASEM-level arguments (Arguments 9 through 12 ANTI) are technically the strongest in the debate. The k=2 simultaneous HM+TRU+ANX issue is a hard constraint, not a matter of opinion. NMAR missingness (Argument 10) is the single most damaging point: it means the pooled HM-TRU and HM-ANX cells do not represent a common population. The PRO side's 'sensitivity analysis' rebuttal weakens the inference quality of the Stage 2 results but does not resolve the identification problem.</w:t>
            </w:r>
          </w:p>
          <w:p>
            <w:r>
              <w:rPr>
                <w:b/>
                <w:sz w:val="20"/>
              </w:rPr>
              <w:t>Pragmatic Resolution (Partial PRO feasibility)</w:t>
            </w:r>
          </w:p>
          <w:p>
            <w:r>
              <w:rPr>
                <w:sz w:val="19"/>
              </w:rPr>
              <w:t>The pragmatist competing-models design (Argument 2 PRO) offers a partial escape: fit a full-matrix Model B on the HM-inclusive UTAUT2 subgraph separately, and report HM's effect within that sub-population. This does not resolve the main MASEM integration challenge but provides valuable comparative evidence. Whether this constitutes 'including HM in the MASEM' or 'a supplementary analysis' is a framing decision for the research team.</w:t>
            </w:r>
          </w:p>
        </w:tc>
      </w:tr>
    </w:tbl>
    <w:p/>
    <w:p>
      <w:pPr>
        <w:pStyle w:val="Heading2"/>
      </w:pPr>
      <w:r>
        <w:t>Open Decision Questions for the Team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3A3A3A"/>
          </w:tcPr>
          <w:p>
            <w:r>
              <w:rPr>
                <w:b/>
                <w:color w:val="FFFFFF"/>
              </w:rPr>
              <w:t>Question</w:t>
            </w:r>
          </w:p>
        </w:tc>
        <w:tc>
          <w:tcPr>
            <w:tcW w:type="dxa" w:w="3135"/>
            <w:shd w:val="clear" w:color="auto" w:fill="3A3A3A"/>
          </w:tcPr>
          <w:p>
            <w:r>
              <w:rPr>
                <w:b/>
                <w:color w:val="FFFFFF"/>
              </w:rPr>
              <w:t>Description</w:t>
            </w:r>
          </w:p>
        </w:tc>
        <w:tc>
          <w:tcPr>
            <w:tcW w:type="dxa" w:w="3135"/>
            <w:shd w:val="clear" w:color="auto" w:fill="3A3A3A"/>
          </w:tcPr>
          <w:p>
            <w:r>
              <w:rPr>
                <w:b/>
                <w:color w:val="FFFFFF"/>
              </w:rPr>
              <w:t>Team Decision</w:t>
            </w:r>
          </w:p>
        </w:tc>
      </w:tr>
      <w:tr>
        <w:tc>
          <w:tcPr>
            <w:tcW w:type="dxa" w:w="3135"/>
            <w:shd w:val="clear" w:color="auto" w:fill="E8E8E8"/>
          </w:tcPr>
          <w:p>
            <w:r>
              <w:rPr>
                <w:b/>
                <w:sz w:val="18"/>
              </w:rPr>
              <w:t>Q1: HTMT verification</w:t>
            </w:r>
          </w:p>
        </w:tc>
        <w:tc>
          <w:tcPr>
            <w:tcW w:type="dxa" w:w="3135"/>
          </w:tcPr>
          <w:p>
            <w:r>
              <w:rPr>
                <w:sz w:val="18"/>
              </w:rPr>
              <w:t>Can any of the 47 HM studies provide HTMT(HM, ATT) values, or can we request raw data from authors? If HTMT &lt; .85 in these studies, the jingle-jangle objection weakens substantially.</w:t>
            </w:r>
          </w:p>
        </w:tc>
        <w:tc>
          <w:tcPr>
            <w:tcW w:type="dxa" w:w="3135"/>
          </w:tcPr>
          <w:p>
            <w:r>
              <w:rPr>
                <w:sz w:val="18"/>
              </w:rPr>
              <w:t>(pending)</w:t>
            </w:r>
          </w:p>
        </w:tc>
      </w:tr>
      <w:tr>
        <w:tc>
          <w:tcPr>
            <w:tcW w:type="dxa" w:w="3135"/>
            <w:shd w:val="clear" w:color="auto" w:fill="E8E8E8"/>
          </w:tcPr>
          <w:p>
            <w:r>
              <w:rPr>
                <w:b/>
                <w:sz w:val="18"/>
              </w:rPr>
              <w:t>Q2: NMAR modeling</w:t>
            </w:r>
          </w:p>
        </w:tc>
        <w:tc>
          <w:tcPr>
            <w:tcW w:type="dxa" w:w="3135"/>
          </w:tcPr>
          <w:p>
            <w:r>
              <w:rPr>
                <w:sz w:val="18"/>
              </w:rPr>
              <w:t>Is the team willing to treat the two-camp divide as a known moderator and use OSMASEM with 'study type' (UTAUT2 vs AI-specific) as a level-2 covariate? This converts NMAR to MAR-conditional-on-moderator, but requires sufficient k in each camp for estimation.</w:t>
            </w:r>
          </w:p>
        </w:tc>
        <w:tc>
          <w:tcPr>
            <w:tcW w:type="dxa" w:w="3135"/>
          </w:tcPr>
          <w:p>
            <w:r>
              <w:rPr>
                <w:sz w:val="18"/>
              </w:rPr>
              <w:t>(pending)</w:t>
            </w:r>
          </w:p>
        </w:tc>
      </w:tr>
      <w:tr>
        <w:tc>
          <w:tcPr>
            <w:tcW w:type="dxa" w:w="3135"/>
            <w:shd w:val="clear" w:color="auto" w:fill="E8E8E8"/>
          </w:tcPr>
          <w:p>
            <w:r>
              <w:rPr>
                <w:b/>
                <w:sz w:val="18"/>
              </w:rPr>
              <w:t>Q3: Supplementary vs primary</w:t>
            </w:r>
          </w:p>
        </w:tc>
        <w:tc>
          <w:tcPr>
            <w:tcW w:type="dxa" w:w="3135"/>
          </w:tcPr>
          <w:p>
            <w:r>
              <w:rPr>
                <w:sz w:val="18"/>
              </w:rPr>
              <w:t>Should HM be reported as a supplementary 'UTAUT2-subgroup analysis' rather than a main-model construct? This preserves the current model's integrity while honoring the 47-study signal.</w:t>
            </w:r>
          </w:p>
        </w:tc>
        <w:tc>
          <w:tcPr>
            <w:tcW w:type="dxa" w:w="3135"/>
          </w:tcPr>
          <w:p>
            <w:r>
              <w:rPr>
                <w:sz w:val="18"/>
              </w:rPr>
              <w:t>(pending)</w:t>
            </w:r>
          </w:p>
        </w:tc>
      </w:tr>
      <w:tr>
        <w:tc>
          <w:tcPr>
            <w:tcW w:type="dxa" w:w="3135"/>
            <w:shd w:val="clear" w:color="auto" w:fill="E8E8E8"/>
          </w:tcPr>
          <w:p>
            <w:r>
              <w:rPr>
                <w:b/>
                <w:sz w:val="18"/>
              </w:rPr>
              <w:t>Q4: Competing model architecture</w:t>
            </w:r>
          </w:p>
        </w:tc>
        <w:tc>
          <w:tcPr>
            <w:tcW w:type="dxa" w:w="3135"/>
          </w:tcPr>
          <w:p>
            <w:r>
              <w:rPr>
                <w:sz w:val="18"/>
              </w:rPr>
              <w:t>Will the team commit a priori to Model A (TRA/TPB mediation via ATT) or test Model A vs Model B as competing specifications in the MASEM? Cheung (2015) supports this; it makes the study's theoretical contribution more distinctive.</w:t>
            </w:r>
          </w:p>
        </w:tc>
        <w:tc>
          <w:tcPr>
            <w:tcW w:type="dxa" w:w="3135"/>
          </w:tcPr>
          <w:p>
            <w:r>
              <w:rPr>
                <w:sz w:val="18"/>
              </w:rPr>
              <w:t>(pending)</w:t>
            </w:r>
          </w:p>
        </w:tc>
      </w:tr>
      <w:tr>
        <w:tc>
          <w:tcPr>
            <w:tcW w:type="dxa" w:w="3135"/>
            <w:shd w:val="clear" w:color="auto" w:fill="E8E8E8"/>
          </w:tcPr>
          <w:p>
            <w:r>
              <w:rPr>
                <w:b/>
                <w:sz w:val="18"/>
              </w:rPr>
              <w:t>Q5: Pre-specification</w:t>
            </w:r>
          </w:p>
        </w:tc>
        <w:tc>
          <w:tcPr>
            <w:tcW w:type="dxa" w:w="3135"/>
          </w:tcPr>
          <w:p>
            <w:r>
              <w:rPr>
                <w:sz w:val="18"/>
              </w:rPr>
              <w:t>Per Argument 16 ANTI: what fit-index criterion would lead the team to conclude that HM is unnecessary, net of ATT? Pre-specifying this before analysis is both methodologically defensible and publishable.</w:t>
            </w:r>
          </w:p>
        </w:tc>
        <w:tc>
          <w:tcPr>
            <w:tcW w:type="dxa" w:w="3135"/>
          </w:tcPr>
          <w:p>
            <w:r>
              <w:rPr>
                <w:sz w:val="18"/>
              </w:rPr>
              <w:t>(pending)</w:t>
            </w:r>
          </w:p>
        </w:tc>
      </w:tr>
    </w:tbl>
    <w:p/>
    <w:p>
      <w:pPr>
        <w:pStyle w:val="Heading2"/>
      </w:pPr>
      <w:r>
        <w:t>Key References Cited in Debate Arguments</w:t>
      </w:r>
    </w:p>
    <w:p>
      <w:pPr>
        <w:spacing w:after="60"/>
        <w:ind w:left="480" w:hanging="480"/>
      </w:pPr>
      <w:r>
        <w:rPr>
          <w:sz w:val="17"/>
        </w:rPr>
        <w:t>Antonakis, J., Bendahan, S., Jacquart, P., &amp; Lalive, R. (2010). On making causal claims: A review and recommendations. The Leadership Quarterly, 21(6), 1086-1120.</w:t>
      </w:r>
    </w:p>
    <w:p>
      <w:pPr>
        <w:spacing w:after="60"/>
        <w:ind w:left="480" w:hanging="480"/>
      </w:pPr>
      <w:r>
        <w:rPr>
          <w:sz w:val="17"/>
        </w:rPr>
        <w:t>Bagozzi, R. P. (1992). The self-regulation of attitudes, intentions, and behavior. Social Psychology Quarterly, 55(2), 178-204.</w:t>
      </w:r>
    </w:p>
    <w:p>
      <w:pPr>
        <w:spacing w:after="60"/>
        <w:ind w:left="480" w:hanging="480"/>
      </w:pPr>
      <w:r>
        <w:rPr>
          <w:sz w:val="17"/>
        </w:rPr>
        <w:t>Berlyne, D. E. (1960). Conflict, arousal, and curiosity. McGraw-Hill.</w:t>
      </w:r>
    </w:p>
    <w:p>
      <w:pPr>
        <w:spacing w:after="60"/>
        <w:ind w:left="480" w:hanging="480"/>
      </w:pPr>
      <w:r>
        <w:rPr>
          <w:sz w:val="17"/>
        </w:rPr>
        <w:t>Blut, M., Chong, A., Tsiga, Z., &amp; Venkatesh, V. (2022). Meta-analysis of the unified theory of acceptance and use of technology (UTAUT): Making sense of contradictory findings. Journal of the Association for Information Systems, 23(1), 13-95.</w:t>
      </w:r>
    </w:p>
    <w:p>
      <w:pPr>
        <w:spacing w:after="60"/>
        <w:ind w:left="480" w:hanging="480"/>
      </w:pPr>
      <w:r>
        <w:rPr>
          <w:sz w:val="17"/>
        </w:rPr>
        <w:t>Cheung, M. W.-L. (2015). Meta-analysis: A structural equation modeling approach. Wiley.</w:t>
      </w:r>
    </w:p>
    <w:p>
      <w:pPr>
        <w:spacing w:after="60"/>
        <w:ind w:left="480" w:hanging="480"/>
      </w:pPr>
      <w:r>
        <w:rPr>
          <w:sz w:val="17"/>
        </w:rPr>
        <w:t>Cronbach, L. J., &amp; Meehl, P. E. (1955). Construct validity in psychological tests. Psychological Bulletin, 52(4), 281-302.</w:t>
      </w:r>
    </w:p>
    <w:p>
      <w:pPr>
        <w:spacing w:after="60"/>
        <w:ind w:left="480" w:hanging="480"/>
      </w:pPr>
      <w:r>
        <w:rPr>
          <w:sz w:val="17"/>
        </w:rPr>
        <w:t>Davis, F. D., Bagozzi, R. P., &amp; Warshaw, P. R. (1992). Extrinsic and intrinsic motivation to use computers in the workplace. Journal of Applied Social Psychology, 22(14), 1111-1132.</w:t>
      </w:r>
    </w:p>
    <w:p>
      <w:pPr>
        <w:spacing w:after="60"/>
        <w:ind w:left="480" w:hanging="480"/>
      </w:pPr>
      <w:r>
        <w:rPr>
          <w:sz w:val="17"/>
        </w:rPr>
        <w:t>Deci, E. L. (1975). Intrinsic motivation. Plenum Press.</w:t>
      </w:r>
    </w:p>
    <w:p>
      <w:pPr>
        <w:spacing w:after="60"/>
        <w:ind w:left="480" w:hanging="480"/>
      </w:pPr>
      <w:r>
        <w:rPr>
          <w:sz w:val="17"/>
        </w:rPr>
        <w:t>Fishbein, M., &amp; Ajzen, I. (1975). Belief, attitude, intention, and behavior: An introduction to theory and research. Addison-Wesley.</w:t>
      </w:r>
    </w:p>
    <w:p>
      <w:pPr>
        <w:spacing w:after="60"/>
        <w:ind w:left="480" w:hanging="480"/>
      </w:pPr>
      <w:r>
        <w:rPr>
          <w:sz w:val="17"/>
        </w:rPr>
        <w:t>Higham, N. J. (2002). Computing the nearest correlation matrix: A problem from finance. IMA Journal of Numerical Analysis, 22(3), 329-343.</w:t>
      </w:r>
    </w:p>
    <w:p>
      <w:pPr>
        <w:spacing w:after="60"/>
        <w:ind w:left="480" w:hanging="480"/>
      </w:pPr>
      <w:r>
        <w:rPr>
          <w:sz w:val="17"/>
        </w:rPr>
        <w:t>Jak, S., &amp; Cheung, M. W.-L. (2020). Meta-analytic structural equation modeling with moderating effects on SEM parameters. Psychological Methods, 25(4), 430-449.</w:t>
      </w:r>
    </w:p>
    <w:p>
      <w:pPr>
        <w:spacing w:after="60"/>
        <w:ind w:left="480" w:hanging="480"/>
      </w:pPr>
      <w:r>
        <w:rPr>
          <w:sz w:val="17"/>
        </w:rPr>
        <w:t>Kahneman, D. (2011). Thinking, fast and slow. Farrar, Straus and Giroux.</w:t>
      </w:r>
    </w:p>
    <w:p>
      <w:pPr>
        <w:spacing w:after="60"/>
        <w:ind w:left="480" w:hanging="480"/>
      </w:pPr>
      <w:r>
        <w:rPr>
          <w:sz w:val="17"/>
        </w:rPr>
        <w:t>MacCallum, R. C., &amp; Austin, J. T. (2000). Applications of structural equation modeling in psychological research. Annual Review of Psychology, 51(1), 201-226.</w:t>
      </w:r>
    </w:p>
    <w:p>
      <w:pPr>
        <w:spacing w:after="60"/>
        <w:ind w:left="480" w:hanging="480"/>
      </w:pPr>
      <w:r>
        <w:rPr>
          <w:sz w:val="17"/>
        </w:rPr>
        <w:t>Meehl, P. E. (1978). Theoretical risks and tabular asterisks: Sir Karl, Sir Ronald, and the slow progress of soft psychology. Journal of Consulting and Clinical Psychology, 46(4), 806-834.</w:t>
      </w:r>
    </w:p>
    <w:p>
      <w:pPr>
        <w:spacing w:after="60"/>
        <w:ind w:left="480" w:hanging="480"/>
      </w:pPr>
      <w:r>
        <w:rPr>
          <w:sz w:val="17"/>
        </w:rPr>
        <w:t>Morgan, D. L. (2007). Paradigms lost and pragmatism regained: Methodological implications of combining qualitative and quantitative methods. Journal of Mixed Methods Research, 1(1), 48-76.</w:t>
      </w:r>
    </w:p>
    <w:p>
      <w:pPr>
        <w:spacing w:after="60"/>
        <w:ind w:left="480" w:hanging="480"/>
      </w:pPr>
      <w:r>
        <w:rPr>
          <w:sz w:val="17"/>
        </w:rPr>
        <w:t>Patton, M. Q. (2008). Utilization-focused evaluation (4th ed.). SAGE.</w:t>
      </w:r>
    </w:p>
    <w:p>
      <w:pPr>
        <w:spacing w:after="60"/>
        <w:ind w:left="480" w:hanging="480"/>
      </w:pPr>
      <w:r>
        <w:rPr>
          <w:sz w:val="17"/>
        </w:rPr>
        <w:t>Popper, K. (1959). The logic of scientific discovery. Basic Books.</w:t>
      </w:r>
    </w:p>
    <w:p>
      <w:pPr>
        <w:spacing w:after="60"/>
        <w:ind w:left="480" w:hanging="480"/>
      </w:pPr>
      <w:r>
        <w:rPr>
          <w:sz w:val="17"/>
        </w:rPr>
        <w:t>Sundar, S. S. (2008). The MAIN model: A heuristic approach to understanding technology effects on credibility. In M. J. Metzger &amp; A. J. Flanagin (Eds.), Digital media, youth, and credibility (pp. 72-100). MIT Press.</w:t>
      </w:r>
    </w:p>
    <w:p>
      <w:pPr>
        <w:spacing w:after="60"/>
        <w:ind w:left="480" w:hanging="480"/>
      </w:pPr>
      <w:r>
        <w:rPr>
          <w:sz w:val="17"/>
        </w:rPr>
        <w:t>Van der Heijden, H. (2004). User acceptance of hedonic information systems. MIS Quarterly, 28(4), 695-704.</w:t>
      </w:r>
    </w:p>
    <w:p>
      <w:pPr>
        <w:spacing w:after="60"/>
        <w:ind w:left="480" w:hanging="480"/>
      </w:pPr>
      <w:r>
        <w:rPr>
          <w:sz w:val="17"/>
        </w:rPr>
        <w:t>Vandenberg, R. J., &amp; Lance, C. E. (2000). A review and synthesis of the measurement invariance literature: Suggestions, practices, and recommendations for organizational research. Organizational Research Methods, 3(1), 4-70.</w:t>
      </w:r>
    </w:p>
    <w:p>
      <w:pPr>
        <w:spacing w:after="60"/>
        <w:ind w:left="480" w:hanging="480"/>
      </w:pPr>
      <w:r>
        <w:rPr>
          <w:sz w:val="17"/>
        </w:rPr>
        <w:t>Venkatesh, V., Morris, M. G., Davis, G. B., &amp; Davis, F. D. (2003). User acceptance of information technology: Toward a unified view. MIS Quarterly, 27(3), 425-478.</w:t>
      </w:r>
    </w:p>
    <w:p>
      <w:pPr>
        <w:spacing w:after="60"/>
        <w:ind w:left="480" w:hanging="480"/>
      </w:pPr>
      <w:r>
        <w:rPr>
          <w:sz w:val="17"/>
        </w:rPr>
        <w:t>Venkatesh, V., Thong, J. Y. L., &amp; Xu, X. (2012). Consumer acceptance and use of information technology: Extending the unified theory of acceptance and use of technology. MIS Quarterly, 36(1), 157-178.</w:t>
      </w:r>
    </w:p>
    <w:p>
      <w:pPr>
        <w:spacing w:after="60"/>
        <w:ind w:left="480" w:hanging="480"/>
      </w:pPr>
      <w:r>
        <w:rPr>
          <w:sz w:val="17"/>
        </w:rPr>
        <w:t>Viswesvaran, C., &amp; Ones, D. S. (1995). Theory testing: Combining psychometric meta-analysis and structural equations modeling. Personnel Psychology, 48(4), 865-885.</w:t>
      </w:r>
    </w:p>
    <w:p>
      <w:pPr>
        <w:spacing w:after="60"/>
        <w:ind w:left="480" w:hanging="480"/>
      </w:pPr>
      <w:r>
        <w:rPr>
          <w:sz w:val="17"/>
        </w:rPr>
        <w:t>Wilson, D. B., &amp; Lipsey, M. W. (2001). The role of method in treatment effectiveness research: Evidence from meta-analysis. Psychological Methods, 6(4), 413-429.</w:t>
      </w:r>
    </w:p>
    <w:p/>
    <w:tbl>
      <w:tblPr>
        <w:tblW w:type="auto" w:w="0"/>
        <w:jc w:val="center"/>
        <w:tblLook w:firstColumn="1" w:firstRow="1" w:lastColumn="0" w:lastRow="0" w:noHBand="0" w:noVBand="1" w:val="04A0"/>
      </w:tblPr>
      <w:tblGrid>
        <w:gridCol w:w="9406"/>
      </w:tblGrid>
      <w:tr>
        <w:tc>
          <w:tcPr>
            <w:tcW w:type="dxa" w:w="9406"/>
            <w:shd w:val="clear" w:color="auto" w:fill="EEEEEE"/>
          </w:tcPr>
          <w:p>
            <w:pPr>
              <w:jc w:val="center"/>
            </w:pPr>
            <w:r>
              <w:rPr>
                <w:color w:val="555555"/>
                <w:sz w:val="16"/>
              </w:rPr>
              <w:t>AI Adoption in Higher Education MASEM Project | Internal Working Document | April 13, 2026 | PM: Hosung You | Debate agents: Diverga VS Arena (v3, a2, c5, v1)</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