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123456"/>
            <w:tcBorders>
              <w:top w:val="single" w:sz="10" w:color="000033"/>
              <w:left w:val="single" w:sz="10" w:color="000033"/>
              <w:bottom w:val="single" w:sz="10" w:color="000033"/>
              <w:right w:val="single" w:sz="10" w:color="000033"/>
            </w:tcBorders>
          </w:tcPr>
          <w:p>
            <w:pPr>
              <w:spacing w:before="160"/>
              <w:jc w:val="center"/>
            </w:pPr>
            <w:r>
              <w:rPr>
                <w:b/>
                <w:i w:val="0"/>
                <w:color w:val="FFFFFF"/>
                <w:sz w:val="36"/>
                <w:u w:val="none"/>
              </w:rPr>
              <w:t>Theoretical Lineage of Model A</w:t>
            </w:r>
          </w:p>
          <w:p>
            <w:pPr>
              <w:jc w:val="center"/>
            </w:pPr>
            <w:r>
              <w:rPr>
                <w:b w:val="0"/>
                <w:i/>
                <w:color w:val="BBCCEE"/>
                <w:sz w:val="22"/>
                <w:u w:val="none"/>
              </w:rPr>
              <w:t>From Theory of Reasoned Action to the Current AI Adoption MASEM Structural Model</w:t>
            </w:r>
          </w:p>
          <w:p>
            <w:pPr>
              <w:spacing w:after="160"/>
              <w:jc w:val="center"/>
            </w:pPr>
            <w:r>
              <w:rPr>
                <w:b w:val="0"/>
                <w:i w:val="0"/>
                <w:color w:val="8899AA"/>
                <w:sz w:val="17"/>
                <w:u w:val="none"/>
              </w:rPr>
              <w:t>AI Adoption in Higher Education MASEM Project  |  Internal Working Document  |  April 14, 2026</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1. Overview</w:t>
            </w:r>
          </w:p>
        </w:tc>
      </w:tr>
    </w:tbl>
    <w:p/>
    <w:p>
      <w:pPr>
        <w:spacing w:before="0" w:after="120"/>
      </w:pPr>
      <w:r>
        <w:rPr>
          <w:b w:val="0"/>
          <w:i w:val="0"/>
          <w:sz w:val="20"/>
          <w:u w:val="none"/>
        </w:rPr>
        <w:t>Model A is the primary structural equation model used in the present meta-analytic structural equation modeling (MASEM) study of artificial intelligence (AI) adoption in higher education (N = 224 studies). Its 10-construct architecture is not derived from any single theoretical tradition but represents a deliberate synthesis of five frameworks developed over five decades: the Theory of Reasoned Action (TRA; Fishbein &amp; Ajzen, 1975), the Technology Acceptance Model (TAM; Davis, 1989), the Theory of Planned Behavior (TPB; Ajzen, 1991), the Combined Technology Acceptance Model and Theory of Planned Behavior (C-TAM-TPB; Taylor &amp; Todd, 1995), and the Unified Theory of Acceptance and Use of Technology (UTAUT; Venkatesh et al., 2003). The Unified Theory of Acceptance and Use of Technology 2 (UTAUT2; Venkatesh et al., 2012) is the immediate predecessor framework but is intentionally not adopted as the primary scaffolding, as elaborated below.</w:t>
      </w:r>
    </w:p>
    <w:p>
      <w:pPr>
        <w:spacing w:before="0" w:after="120"/>
      </w:pPr>
      <w:r>
        <w:rPr>
          <w:b w:val="0"/>
          <w:i w:val="0"/>
          <w:sz w:val="20"/>
          <w:u w:val="none"/>
        </w:rPr>
        <w:t>The document traces the development path of each contributing theory, identifies the specific structural elements and construct operationalizations inherited by Model A, and explains the key theoretical decision points at which Model A departs from its predecessors, particularly the reinstatement of Attitude (ATT) as a mediating construct after its removal in UTAUT (2003).</w:t>
      </w:r>
    </w:p>
    <w:p/>
    <w:p>
      <w:pPr>
        <w:jc w:val="center"/>
      </w:pPr>
      <w:r>
        <w:rPr>
          <w:b/>
          <w:i w:val="0"/>
          <w:color w:val="1A3A5C"/>
          <w:sz w:val="20"/>
          <w:u w:val="none"/>
        </w:rPr>
        <w:t>Theory Development Pathway</w:t>
      </w:r>
    </w:p>
    <w:tbl>
      <w:tblPr>
        <w:tblW w:type="auto" w:w="0"/>
        <w:jc w:val="center"/>
        <w:tblLook w:firstColumn="1" w:firstRow="1" w:lastColumn="0" w:lastRow="0" w:noHBand="0" w:noVBand="1" w:val="04A0"/>
      </w:tblPr>
      <w:tblGrid>
        <w:gridCol w:w="824"/>
        <w:gridCol w:w="824"/>
        <w:gridCol w:w="824"/>
        <w:gridCol w:w="824"/>
        <w:gridCol w:w="824"/>
        <w:gridCol w:w="824"/>
        <w:gridCol w:w="824"/>
        <w:gridCol w:w="824"/>
        <w:gridCol w:w="824"/>
        <w:gridCol w:w="824"/>
        <w:gridCol w:w="824"/>
      </w:tblGrid>
      <w:tr>
        <w:tc>
          <w:tcPr>
            <w:tcW w:type="dxa" w:w="824"/>
            <w:shd w:val="clear" w:color="auto" w:fill="1A3A5C"/>
            <w:tcBorders>
              <w:top w:val="single" w:sz="4" w:color="336699"/>
              <w:left w:val="single" w:sz="4" w:color="336699"/>
              <w:bottom w:val="single" w:sz="4" w:color="336699"/>
              <w:right w:val="single" w:sz="4" w:color="336699"/>
            </w:tcBorders>
          </w:tcPr>
          <w:p>
            <w:pPr>
              <w:spacing w:before="60"/>
              <w:jc w:val="center"/>
            </w:pPr>
            <w:r>
              <w:rPr>
                <w:b/>
                <w:i w:val="0"/>
                <w:color w:val="FFFFFF"/>
                <w:sz w:val="18"/>
                <w:u w:val="none"/>
              </w:rPr>
              <w:t>TRA</w:t>
              <w:br/>
            </w:r>
            <w:r>
              <w:rPr>
                <w:b w:val="0"/>
                <w:i w:val="0"/>
                <w:color w:val="BBCCDD"/>
                <w:sz w:val="15"/>
                <w:u w:val="none"/>
              </w:rPr>
              <w:t>1975</w:t>
            </w:r>
          </w:p>
        </w:tc>
        <w:tc>
          <w:tcPr>
            <w:tcW w:type="dxa" w:w="824"/>
          </w:tcPr>
          <w:p>
            <w:pPr>
              <w:jc w:val="center"/>
            </w:pPr>
            <w:r>
              <w:rPr>
                <w:b/>
                <w:i w:val="0"/>
                <w:color w:val="444444"/>
                <w:sz w:val="28"/>
                <w:u w:val="none"/>
              </w:rPr>
              <w:t>→</w:t>
            </w:r>
          </w:p>
        </w:tc>
        <w:tc>
          <w:tcPr>
            <w:tcW w:type="dxa" w:w="824"/>
            <w:shd w:val="clear" w:color="auto" w:fill="1A3A5C"/>
            <w:tcBorders>
              <w:top w:val="single" w:sz="4" w:color="336699"/>
              <w:left w:val="single" w:sz="4" w:color="336699"/>
              <w:bottom w:val="single" w:sz="4" w:color="336699"/>
              <w:right w:val="single" w:sz="4" w:color="336699"/>
            </w:tcBorders>
          </w:tcPr>
          <w:p>
            <w:pPr>
              <w:spacing w:before="60"/>
              <w:jc w:val="center"/>
            </w:pPr>
            <w:r>
              <w:rPr>
                <w:b/>
                <w:i w:val="0"/>
                <w:color w:val="FFFFFF"/>
                <w:sz w:val="18"/>
                <w:u w:val="none"/>
              </w:rPr>
              <w:t>TAM</w:t>
              <w:br/>
            </w:r>
            <w:r>
              <w:rPr>
                <w:b w:val="0"/>
                <w:i w:val="0"/>
                <w:color w:val="BBCCDD"/>
                <w:sz w:val="15"/>
                <w:u w:val="none"/>
              </w:rPr>
              <w:t>1989</w:t>
            </w:r>
          </w:p>
        </w:tc>
        <w:tc>
          <w:tcPr>
            <w:tcW w:type="dxa" w:w="824"/>
          </w:tcPr>
          <w:p>
            <w:pPr>
              <w:jc w:val="center"/>
            </w:pPr>
            <w:r>
              <w:rPr>
                <w:b/>
                <w:i w:val="0"/>
                <w:color w:val="444444"/>
                <w:sz w:val="28"/>
                <w:u w:val="none"/>
              </w:rPr>
              <w:t>→</w:t>
            </w:r>
          </w:p>
        </w:tc>
        <w:tc>
          <w:tcPr>
            <w:tcW w:type="dxa" w:w="824"/>
            <w:shd w:val="clear" w:color="auto" w:fill="1A3A5C"/>
            <w:tcBorders>
              <w:top w:val="single" w:sz="4" w:color="336699"/>
              <w:left w:val="single" w:sz="4" w:color="336699"/>
              <w:bottom w:val="single" w:sz="4" w:color="336699"/>
              <w:right w:val="single" w:sz="4" w:color="336699"/>
            </w:tcBorders>
          </w:tcPr>
          <w:p>
            <w:pPr>
              <w:spacing w:before="60"/>
              <w:jc w:val="center"/>
            </w:pPr>
            <w:r>
              <w:rPr>
                <w:b/>
                <w:i w:val="0"/>
                <w:color w:val="FFFFFF"/>
                <w:sz w:val="18"/>
                <w:u w:val="none"/>
              </w:rPr>
              <w:t>TPB</w:t>
              <w:br/>
            </w:r>
            <w:r>
              <w:rPr>
                <w:b w:val="0"/>
                <w:i w:val="0"/>
                <w:color w:val="BBCCDD"/>
                <w:sz w:val="15"/>
                <w:u w:val="none"/>
              </w:rPr>
              <w:t>1991</w:t>
            </w:r>
          </w:p>
        </w:tc>
        <w:tc>
          <w:tcPr>
            <w:tcW w:type="dxa" w:w="824"/>
          </w:tcPr>
          <w:p>
            <w:pPr>
              <w:jc w:val="center"/>
            </w:pPr>
            <w:r>
              <w:rPr>
                <w:b/>
                <w:i w:val="0"/>
                <w:color w:val="444444"/>
                <w:sz w:val="28"/>
                <w:u w:val="none"/>
              </w:rPr>
              <w:t>→</w:t>
            </w:r>
          </w:p>
        </w:tc>
        <w:tc>
          <w:tcPr>
            <w:tcW w:type="dxa" w:w="824"/>
            <w:shd w:val="clear" w:color="auto" w:fill="1A3A5C"/>
            <w:tcBorders>
              <w:top w:val="single" w:sz="4" w:color="336699"/>
              <w:left w:val="single" w:sz="4" w:color="336699"/>
              <w:bottom w:val="single" w:sz="4" w:color="336699"/>
              <w:right w:val="single" w:sz="4" w:color="336699"/>
            </w:tcBorders>
          </w:tcPr>
          <w:p>
            <w:pPr>
              <w:spacing w:before="60"/>
              <w:jc w:val="center"/>
            </w:pPr>
            <w:r>
              <w:rPr>
                <w:b/>
                <w:i w:val="0"/>
                <w:color w:val="FFFFFF"/>
                <w:sz w:val="18"/>
                <w:u w:val="none"/>
              </w:rPr>
              <w:t>C-TAM-</w:t>
              <w:br/>
              <w:t>TPB</w:t>
              <w:br/>
            </w:r>
            <w:r>
              <w:rPr>
                <w:b w:val="0"/>
                <w:i w:val="0"/>
                <w:color w:val="BBCCDD"/>
                <w:sz w:val="15"/>
                <w:u w:val="none"/>
              </w:rPr>
              <w:t>1995</w:t>
            </w:r>
          </w:p>
        </w:tc>
        <w:tc>
          <w:tcPr>
            <w:tcW w:type="dxa" w:w="824"/>
          </w:tcPr>
          <w:p>
            <w:pPr>
              <w:jc w:val="center"/>
            </w:pPr>
            <w:r>
              <w:rPr>
                <w:b/>
                <w:i w:val="0"/>
                <w:color w:val="444444"/>
                <w:sz w:val="28"/>
                <w:u w:val="none"/>
              </w:rPr>
              <w:t>→</w:t>
            </w:r>
          </w:p>
        </w:tc>
        <w:tc>
          <w:tcPr>
            <w:tcW w:type="dxa" w:w="824"/>
            <w:shd w:val="clear" w:color="auto" w:fill="1A3A5C"/>
            <w:tcBorders>
              <w:top w:val="single" w:sz="4" w:color="336699"/>
              <w:left w:val="single" w:sz="4" w:color="336699"/>
              <w:bottom w:val="single" w:sz="4" w:color="336699"/>
              <w:right w:val="single" w:sz="4" w:color="336699"/>
            </w:tcBorders>
          </w:tcPr>
          <w:p>
            <w:pPr>
              <w:spacing w:before="60"/>
              <w:jc w:val="center"/>
            </w:pPr>
            <w:r>
              <w:rPr>
                <w:b/>
                <w:i w:val="0"/>
                <w:color w:val="FFFFFF"/>
                <w:sz w:val="18"/>
                <w:u w:val="none"/>
              </w:rPr>
              <w:t>UTAUT</w:t>
              <w:br/>
            </w:r>
            <w:r>
              <w:rPr>
                <w:b w:val="0"/>
                <w:i w:val="0"/>
                <w:color w:val="BBCCDD"/>
                <w:sz w:val="15"/>
                <w:u w:val="none"/>
              </w:rPr>
              <w:t>2003</w:t>
            </w:r>
          </w:p>
        </w:tc>
        <w:tc>
          <w:tcPr>
            <w:tcW w:type="dxa" w:w="824"/>
          </w:tcPr>
          <w:p>
            <w:pPr>
              <w:jc w:val="center"/>
            </w:pPr>
            <w:r>
              <w:rPr>
                <w:b/>
                <w:i w:val="0"/>
                <w:color w:val="444444"/>
                <w:sz w:val="28"/>
                <w:u w:val="none"/>
              </w:rPr>
              <w:t>→</w:t>
            </w:r>
          </w:p>
        </w:tc>
        <w:tc>
          <w:tcPr>
            <w:tcW w:type="dxa" w:w="824"/>
            <w:shd w:val="clear" w:color="auto" w:fill="8B1A1A"/>
            <w:tcBorders>
              <w:top w:val="single" w:sz="4" w:color="336699"/>
              <w:left w:val="single" w:sz="4" w:color="336699"/>
              <w:bottom w:val="single" w:sz="4" w:color="336699"/>
              <w:right w:val="single" w:sz="4" w:color="336699"/>
            </w:tcBorders>
          </w:tcPr>
          <w:p>
            <w:pPr>
              <w:spacing w:before="60"/>
              <w:jc w:val="center"/>
            </w:pPr>
            <w:r>
              <w:rPr>
                <w:b/>
                <w:i w:val="0"/>
                <w:color w:val="FFFFFF"/>
                <w:sz w:val="18"/>
                <w:u w:val="none"/>
              </w:rPr>
              <w:t>Model A</w:t>
              <w:br/>
              <w:t>(current)</w:t>
              <w:br/>
            </w:r>
            <w:r>
              <w:rPr>
                <w:b w:val="0"/>
                <w:i w:val="0"/>
                <w:color w:val="BBCCDD"/>
                <w:sz w:val="15"/>
                <w:u w:val="none"/>
              </w:rPr>
              <w:t>2026</w:t>
            </w:r>
          </w:p>
        </w:tc>
      </w:tr>
    </w:tbl>
    <w:p/>
    <w:tbl>
      <w:tblPr>
        <w:tblW w:type="auto" w:w="0"/>
        <w:tblLook w:firstColumn="1" w:firstRow="1" w:lastColumn="0" w:lastRow="0" w:noHBand="0" w:noVBand="1" w:val="04A0"/>
      </w:tblPr>
      <w:tblGrid>
        <w:gridCol w:w="9066"/>
      </w:tblGrid>
      <w:tr>
        <w:tc>
          <w:tcPr>
            <w:tcW w:type="dxa" w:w="9066"/>
            <w:shd w:val="clear" w:color="auto" w:fill="FFF3CD"/>
            <w:tcBorders>
              <w:top w:val="single" w:sz="4" w:color="CC9900"/>
              <w:left w:val="single" w:sz="4" w:color="CC9900"/>
              <w:bottom w:val="single" w:sz="4" w:color="CC9900"/>
              <w:right w:val="single" w:sz="4" w:color="CC9900"/>
            </w:tcBorders>
          </w:tcPr>
          <w:p>
            <w:pPr>
              <w:spacing w:before="60" w:after="60"/>
            </w:pPr>
            <w:r>
              <w:rPr>
                <w:b/>
                <w:i w:val="0"/>
                <w:sz w:val="18"/>
                <w:u w:val="none"/>
              </w:rPr>
              <w:t xml:space="preserve">Note on UTAUT2 (Venkatesh et al., 2012):  </w:t>
            </w:r>
            <w:r>
              <w:rPr>
                <w:b w:val="0"/>
                <w:i w:val="0"/>
                <w:sz w:val="18"/>
                <w:u w:val="none"/>
              </w:rPr>
              <w:t>UTAUT2 is the chronologically nearest predecessor but is not the theoretical home of Model A. UTAUT2 added Hedonic Motivation (HM), Price Value (PV), and Habit (HAB) for consumer technology contexts; none of these appear in Model A. The absence of HM is a deliberate construct selection decision documented in the coding manual and is the subject of the parallel VS Arena debate (see 2026-04-13_HM_Debate_VS_Arena.docx).</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2. Theory-by-Theory Development and Contributions to Model A</w:t>
            </w:r>
          </w:p>
        </w:tc>
      </w:tr>
    </w:tbl>
    <w:p/>
    <w:tbl>
      <w:tblPr>
        <w:tblW w:type="auto" w:w="0"/>
        <w:jc w:val="left"/>
        <w:tblLook w:firstColumn="1" w:firstRow="1" w:lastColumn="0" w:lastRow="0" w:noHBand="0" w:noVBand="1" w:val="04A0"/>
      </w:tblPr>
      <w:tblGrid>
        <w:gridCol w:w="2160"/>
        <w:gridCol w:w="7200"/>
      </w:tblGrid>
      <w:tr>
        <w:tc>
          <w:tcPr>
            <w:tcW w:type="dxa" w:w="4533"/>
            <w:shd w:val="clear" w:color="auto" w:fill="1A3A5C"/>
            <w:tcBorders>
              <w:top w:val="single" w:sz="6" w:color="336699"/>
              <w:left w:val="single" w:sz="6" w:color="336699"/>
              <w:bottom w:val="single" w:sz="6" w:color="336699"/>
              <w:right w:val="single" w:sz="6" w:color="336699"/>
            </w:tcBorders>
          </w:tcPr>
          <w:p>
            <w:pPr>
              <w:spacing w:before="120"/>
              <w:jc w:val="center"/>
            </w:pPr>
            <w:r>
              <w:rPr>
                <w:b/>
                <w:color w:val="FFFFFF"/>
                <w:sz w:val="32"/>
              </w:rPr>
              <w:t>TRA</w:t>
              <w:br/>
            </w:r>
            <w:r>
              <w:rPr>
                <w:color w:val="BBCCDD"/>
                <w:sz w:val="18"/>
              </w:rPr>
              <w:t>(1975)</w:t>
            </w:r>
          </w:p>
          <w:p>
            <w:pPr>
              <w:jc w:val="center"/>
            </w:pPr>
            <w:r>
              <w:rPr>
                <w:i/>
                <w:color w:val="AABBCC"/>
                <w:sz w:val="15"/>
              </w:rPr>
              <w:t>Fishbein &amp; Ajzen</w:t>
            </w:r>
          </w:p>
        </w:tc>
        <w:tc>
          <w:tcPr>
            <w:tcW w:type="dxa" w:w="4533"/>
            <w:shd w:val="clear" w:color="auto" w:fill="E8F0F8"/>
            <w:tcBorders>
              <w:top w:val="single" w:sz="6" w:color="336699"/>
              <w:left w:val="single" w:sz="6" w:color="336699"/>
              <w:bottom w:val="single" w:sz="6" w:color="336699"/>
              <w:right w:val="single" w:sz="6" w:color="336699"/>
            </w:tcBorders>
          </w:tcPr>
          <w:p>
            <w:pPr>
              <w:spacing w:before="80"/>
            </w:pPr>
            <w:r>
              <w:rPr>
                <w:b/>
                <w:i w:val="0"/>
                <w:color w:val="1A3A5C"/>
                <w:sz w:val="21"/>
                <w:u w:val="none"/>
              </w:rPr>
              <w:t>Theory of Reasoned Action</w:t>
            </w:r>
          </w:p>
          <w:p>
            <w:r>
              <w:rPr>
                <w:b/>
                <w:i w:val="0"/>
                <w:color w:val="555555"/>
                <w:sz w:val="18"/>
                <w:u w:val="none"/>
              </w:rPr>
              <w:t xml:space="preserve">Core equation:  </w:t>
            </w:r>
            <w:r>
              <w:rPr>
                <w:b w:val="0"/>
                <w:i/>
                <w:color w:val="000000"/>
                <w:sz w:val="18"/>
                <w:u w:val="none"/>
              </w:rPr>
              <w:t>Beliefs → ATT + SN → BI → Behavior</w:t>
            </w:r>
          </w:p>
          <w:p>
            <w:r>
              <w:rPr>
                <w:b/>
                <w:i w:val="0"/>
                <w:color w:val="555555"/>
                <w:sz w:val="18"/>
                <w:u w:val="none"/>
              </w:rPr>
              <w:t xml:space="preserve">Key constructs:  </w:t>
            </w:r>
            <w:r>
              <w:rPr>
                <w:b w:val="0"/>
                <w:i w:val="0"/>
                <w:sz w:val="18"/>
                <w:u w:val="none"/>
              </w:rPr>
              <w:t>Attitude toward the behavior (ATT); Subjective Norm (SN); Behavioral Intention (BI); Behavior (B)</w:t>
            </w:r>
          </w:p>
          <w:p>
            <w:pPr>
              <w:spacing w:after="80"/>
            </w:pPr>
            <w:r>
              <w:rPr>
                <w:b/>
                <w:i w:val="0"/>
                <w:color w:val="1A5C2A"/>
                <w:sz w:val="18"/>
                <w:u w:val="none"/>
              </w:rPr>
              <w:t xml:space="preserve">Contribution to Model A:  </w:t>
            </w:r>
            <w:r>
              <w:rPr>
                <w:b w:val="0"/>
                <w:i w:val="0"/>
                <w:sz w:val="18"/>
                <w:u w:val="none"/>
              </w:rPr>
              <w:t>Establishes the foundational causal chain adopted in Model A: ATT → BI and SN (later renamed Social Influence, SI) → BI. The mediation logic -- that behavioral beliefs shape attitude, which in turn shapes intention -- is the theoretical spine of Model A's PE/EE → ATT → BI structure.</w:t>
            </w:r>
          </w:p>
        </w:tc>
      </w:tr>
    </w:tbl>
    <w:p/>
    <w:tbl>
      <w:tblPr>
        <w:tblW w:type="auto" w:w="0"/>
        <w:jc w:val="left"/>
        <w:tblLook w:firstColumn="1" w:firstRow="1" w:lastColumn="0" w:lastRow="0" w:noHBand="0" w:noVBand="1" w:val="04A0"/>
      </w:tblPr>
      <w:tblGrid>
        <w:gridCol w:w="2160"/>
        <w:gridCol w:w="7200"/>
      </w:tblGrid>
      <w:tr>
        <w:tc>
          <w:tcPr>
            <w:tcW w:type="dxa" w:w="4533"/>
            <w:shd w:val="clear" w:color="auto" w:fill="1A3A5C"/>
            <w:tcBorders>
              <w:top w:val="single" w:sz="6" w:color="336699"/>
              <w:left w:val="single" w:sz="6" w:color="336699"/>
              <w:bottom w:val="single" w:sz="6" w:color="336699"/>
              <w:right w:val="single" w:sz="6" w:color="336699"/>
            </w:tcBorders>
          </w:tcPr>
          <w:p>
            <w:pPr>
              <w:spacing w:before="120"/>
              <w:jc w:val="center"/>
            </w:pPr>
            <w:r>
              <w:rPr>
                <w:b/>
                <w:color w:val="FFFFFF"/>
                <w:sz w:val="32"/>
              </w:rPr>
              <w:t>TAM</w:t>
              <w:br/>
            </w:r>
            <w:r>
              <w:rPr>
                <w:color w:val="BBCCDD"/>
                <w:sz w:val="18"/>
              </w:rPr>
              <w:t>(1989)</w:t>
            </w:r>
          </w:p>
          <w:p>
            <w:pPr>
              <w:jc w:val="center"/>
            </w:pPr>
            <w:r>
              <w:rPr>
                <w:i/>
                <w:color w:val="AABBCC"/>
                <w:sz w:val="15"/>
              </w:rPr>
              <w:t>Davis</w:t>
            </w:r>
          </w:p>
        </w:tc>
        <w:tc>
          <w:tcPr>
            <w:tcW w:type="dxa" w:w="4533"/>
            <w:shd w:val="clear" w:color="auto" w:fill="F5F5F5"/>
            <w:tcBorders>
              <w:top w:val="single" w:sz="6" w:color="336699"/>
              <w:left w:val="single" w:sz="6" w:color="336699"/>
              <w:bottom w:val="single" w:sz="6" w:color="336699"/>
              <w:right w:val="single" w:sz="6" w:color="336699"/>
            </w:tcBorders>
          </w:tcPr>
          <w:p>
            <w:pPr>
              <w:spacing w:before="80"/>
            </w:pPr>
            <w:r>
              <w:rPr>
                <w:b/>
                <w:i w:val="0"/>
                <w:color w:val="1A3A5C"/>
                <w:sz w:val="21"/>
                <w:u w:val="none"/>
              </w:rPr>
              <w:t>Technology Acceptance Model</w:t>
            </w:r>
          </w:p>
          <w:p>
            <w:r>
              <w:rPr>
                <w:b/>
                <w:i w:val="0"/>
                <w:color w:val="555555"/>
                <w:sz w:val="18"/>
                <w:u w:val="none"/>
              </w:rPr>
              <w:t xml:space="preserve">Core equation:  </w:t>
            </w:r>
            <w:r>
              <w:rPr>
                <w:b w:val="0"/>
                <w:i/>
                <w:color w:val="000000"/>
                <w:sz w:val="18"/>
                <w:u w:val="none"/>
              </w:rPr>
              <w:t>PE + EE → ATT → BI → Use;  EE → PE</w:t>
            </w:r>
          </w:p>
          <w:p>
            <w:r>
              <w:rPr>
                <w:b/>
                <w:i w:val="0"/>
                <w:color w:val="555555"/>
                <w:sz w:val="18"/>
                <w:u w:val="none"/>
              </w:rPr>
              <w:t xml:space="preserve">Key constructs:  </w:t>
            </w:r>
            <w:r>
              <w:rPr>
                <w:b w:val="0"/>
                <w:i w:val="0"/>
                <w:sz w:val="18"/>
                <w:u w:val="none"/>
              </w:rPr>
              <w:t>Perceived Usefulness (PE, also PU); Perceived Ease of Use (EE, also PEOU); Attitude toward Use (ATT); Behavioral Intention to Use (BI); Actual System Use (UB)</w:t>
            </w:r>
          </w:p>
          <w:p>
            <w:pPr>
              <w:spacing w:after="80"/>
            </w:pPr>
            <w:r>
              <w:rPr>
                <w:b/>
                <w:i w:val="0"/>
                <w:color w:val="1A5C2A"/>
                <w:sz w:val="18"/>
                <w:u w:val="none"/>
              </w:rPr>
              <w:t xml:space="preserve">Contribution to Model A:  </w:t>
            </w:r>
            <w:r>
              <w:rPr>
                <w:b w:val="0"/>
                <w:i w:val="0"/>
                <w:sz w:val="18"/>
                <w:u w:val="none"/>
              </w:rPr>
              <w:t>Operationalizes TRA's 'behavioral beliefs' as two domain-specific constructs: PE (outcome expectation) and EE (effort expectation). The TAM structural chain PE/EE → ATT → BI → UB is the direct antecedent of Model A's primary mediation pathway. TAM also introduces EE → PE, acknowledging that ease of use contributes to perceived utility.</w:t>
            </w:r>
          </w:p>
        </w:tc>
      </w:tr>
    </w:tbl>
    <w:p/>
    <w:tbl>
      <w:tblPr>
        <w:tblW w:type="auto" w:w="0"/>
        <w:jc w:val="left"/>
        <w:tblLook w:firstColumn="1" w:firstRow="1" w:lastColumn="0" w:lastRow="0" w:noHBand="0" w:noVBand="1" w:val="04A0"/>
      </w:tblPr>
      <w:tblGrid>
        <w:gridCol w:w="2160"/>
        <w:gridCol w:w="7200"/>
      </w:tblGrid>
      <w:tr>
        <w:tc>
          <w:tcPr>
            <w:tcW w:type="dxa" w:w="4533"/>
            <w:shd w:val="clear" w:color="auto" w:fill="1A3A5C"/>
            <w:tcBorders>
              <w:top w:val="single" w:sz="6" w:color="336699"/>
              <w:left w:val="single" w:sz="6" w:color="336699"/>
              <w:bottom w:val="single" w:sz="6" w:color="336699"/>
              <w:right w:val="single" w:sz="6" w:color="336699"/>
            </w:tcBorders>
          </w:tcPr>
          <w:p>
            <w:pPr>
              <w:spacing w:before="120"/>
              <w:jc w:val="center"/>
            </w:pPr>
            <w:r>
              <w:rPr>
                <w:b/>
                <w:color w:val="FFFFFF"/>
                <w:sz w:val="32"/>
              </w:rPr>
              <w:t>TPB</w:t>
              <w:br/>
            </w:r>
            <w:r>
              <w:rPr>
                <w:color w:val="BBCCDD"/>
                <w:sz w:val="18"/>
              </w:rPr>
              <w:t>(1991)</w:t>
            </w:r>
          </w:p>
          <w:p>
            <w:pPr>
              <w:jc w:val="center"/>
            </w:pPr>
            <w:r>
              <w:rPr>
                <w:i/>
                <w:color w:val="AABBCC"/>
                <w:sz w:val="15"/>
              </w:rPr>
              <w:t>Ajzen</w:t>
            </w:r>
          </w:p>
        </w:tc>
        <w:tc>
          <w:tcPr>
            <w:tcW w:type="dxa" w:w="4533"/>
            <w:shd w:val="clear" w:color="auto" w:fill="E8F0F8"/>
            <w:tcBorders>
              <w:top w:val="single" w:sz="6" w:color="336699"/>
              <w:left w:val="single" w:sz="6" w:color="336699"/>
              <w:bottom w:val="single" w:sz="6" w:color="336699"/>
              <w:right w:val="single" w:sz="6" w:color="336699"/>
            </w:tcBorders>
          </w:tcPr>
          <w:p>
            <w:pPr>
              <w:spacing w:before="80"/>
            </w:pPr>
            <w:r>
              <w:rPr>
                <w:b/>
                <w:i w:val="0"/>
                <w:color w:val="1A3A5C"/>
                <w:sz w:val="21"/>
                <w:u w:val="none"/>
              </w:rPr>
              <w:t>Theory of Planned Behavior</w:t>
            </w:r>
          </w:p>
          <w:p>
            <w:r>
              <w:rPr>
                <w:b/>
                <w:i w:val="0"/>
                <w:color w:val="555555"/>
                <w:sz w:val="18"/>
                <w:u w:val="none"/>
              </w:rPr>
              <w:t xml:space="preserve">Core equation:  </w:t>
            </w:r>
            <w:r>
              <w:rPr>
                <w:b w:val="0"/>
                <w:i/>
                <w:color w:val="000000"/>
                <w:sz w:val="18"/>
                <w:u w:val="none"/>
              </w:rPr>
              <w:t>ATT + SN + PBC → BI → Behavior</w:t>
            </w:r>
          </w:p>
          <w:p>
            <w:r>
              <w:rPr>
                <w:b/>
                <w:i w:val="0"/>
                <w:color w:val="555555"/>
                <w:sz w:val="18"/>
                <w:u w:val="none"/>
              </w:rPr>
              <w:t xml:space="preserve">Key constructs:  </w:t>
            </w:r>
            <w:r>
              <w:rPr>
                <w:b w:val="0"/>
                <w:i w:val="0"/>
                <w:sz w:val="18"/>
                <w:u w:val="none"/>
              </w:rPr>
              <w:t>Attitude toward the behavior (ATT); Subjective Norm (SN); Perceived Behavioral Control (PBC); Behavioral Intention (BI); Behavior (B)</w:t>
            </w:r>
          </w:p>
          <w:p>
            <w:pPr>
              <w:spacing w:after="80"/>
            </w:pPr>
            <w:r>
              <w:rPr>
                <w:b/>
                <w:i w:val="0"/>
                <w:color w:val="1A5C2A"/>
                <w:sz w:val="18"/>
                <w:u w:val="none"/>
              </w:rPr>
              <w:t xml:space="preserve">Contribution to Model A:  </w:t>
            </w:r>
            <w:r>
              <w:rPr>
                <w:b w:val="0"/>
                <w:i w:val="0"/>
                <w:sz w:val="18"/>
                <w:u w:val="none"/>
              </w:rPr>
              <w:t>Extends TRA by introducing Perceived Behavioral Control (PBC), which encompasses both internal capability beliefs (later operationalized as Self-Efficacy, SE) and external resource availability (later operationalized as Facilitating Conditions, FC). PBC is the theoretical origin of two constructs in Model A: SE and FC.</w:t>
            </w:r>
          </w:p>
        </w:tc>
      </w:tr>
    </w:tbl>
    <w:p/>
    <w:tbl>
      <w:tblPr>
        <w:tblW w:type="auto" w:w="0"/>
        <w:jc w:val="left"/>
        <w:tblLook w:firstColumn="1" w:firstRow="1" w:lastColumn="0" w:lastRow="0" w:noHBand="0" w:noVBand="1" w:val="04A0"/>
      </w:tblPr>
      <w:tblGrid>
        <w:gridCol w:w="2160"/>
        <w:gridCol w:w="7200"/>
      </w:tblGrid>
      <w:tr>
        <w:tc>
          <w:tcPr>
            <w:tcW w:type="dxa" w:w="4533"/>
            <w:shd w:val="clear" w:color="auto" w:fill="1A3A5C"/>
            <w:tcBorders>
              <w:top w:val="single" w:sz="6" w:color="336699"/>
              <w:left w:val="single" w:sz="6" w:color="336699"/>
              <w:bottom w:val="single" w:sz="6" w:color="336699"/>
              <w:right w:val="single" w:sz="6" w:color="336699"/>
            </w:tcBorders>
          </w:tcPr>
          <w:p>
            <w:pPr>
              <w:spacing w:before="120"/>
              <w:jc w:val="center"/>
            </w:pPr>
            <w:r>
              <w:rPr>
                <w:b/>
                <w:color w:val="FFFFFF"/>
                <w:sz w:val="32"/>
              </w:rPr>
              <w:t>C-TAM-TPB</w:t>
              <w:br/>
            </w:r>
            <w:r>
              <w:rPr>
                <w:color w:val="BBCCDD"/>
                <w:sz w:val="18"/>
              </w:rPr>
              <w:t>(1995)</w:t>
            </w:r>
          </w:p>
          <w:p>
            <w:pPr>
              <w:jc w:val="center"/>
            </w:pPr>
            <w:r>
              <w:rPr>
                <w:i/>
                <w:color w:val="AABBCC"/>
                <w:sz w:val="15"/>
              </w:rPr>
              <w:t>Taylor &amp; Todd</w:t>
            </w:r>
          </w:p>
        </w:tc>
        <w:tc>
          <w:tcPr>
            <w:tcW w:type="dxa" w:w="4533"/>
            <w:shd w:val="clear" w:color="auto" w:fill="F5F5F5"/>
            <w:tcBorders>
              <w:top w:val="single" w:sz="6" w:color="336699"/>
              <w:left w:val="single" w:sz="6" w:color="336699"/>
              <w:bottom w:val="single" w:sz="6" w:color="336699"/>
              <w:right w:val="single" w:sz="6" w:color="336699"/>
            </w:tcBorders>
          </w:tcPr>
          <w:p>
            <w:pPr>
              <w:spacing w:before="80"/>
            </w:pPr>
            <w:r>
              <w:rPr>
                <w:b/>
                <w:i w:val="0"/>
                <w:color w:val="1A3A5C"/>
                <w:sz w:val="21"/>
                <w:u w:val="none"/>
              </w:rPr>
              <w:t>Combined Technology Acceptance Model and Theory of Planned Behavior</w:t>
            </w:r>
          </w:p>
          <w:p>
            <w:r>
              <w:rPr>
                <w:b/>
                <w:i w:val="0"/>
                <w:color w:val="555555"/>
                <w:sz w:val="18"/>
                <w:u w:val="none"/>
              </w:rPr>
              <w:t xml:space="preserve">Core equation:  </w:t>
            </w:r>
            <w:r>
              <w:rPr>
                <w:b w:val="0"/>
                <w:i/>
                <w:color w:val="000000"/>
                <w:sz w:val="18"/>
                <w:u w:val="none"/>
              </w:rPr>
              <w:t>PE + EE → ATT;  SN + PBC(SE + FC + ANX) → BI</w:t>
            </w:r>
          </w:p>
          <w:p>
            <w:r>
              <w:rPr>
                <w:b/>
                <w:i w:val="0"/>
                <w:color w:val="555555"/>
                <w:sz w:val="18"/>
                <w:u w:val="none"/>
              </w:rPr>
              <w:t xml:space="preserve">Key constructs:  </w:t>
            </w:r>
            <w:r>
              <w:rPr>
                <w:b w:val="0"/>
                <w:i w:val="0"/>
                <w:sz w:val="18"/>
                <w:u w:val="none"/>
              </w:rPr>
              <w:t>Performance Expectancy (PE); Effort Expectancy (EE); Attitude (ATT); Subjective Norm (SN); Self-Efficacy (SE); Facilitating Conditions (FC); Computer Anxiety (ANX); Behavioral Intention (BI)</w:t>
            </w:r>
          </w:p>
          <w:p>
            <w:pPr>
              <w:spacing w:after="80"/>
            </w:pPr>
            <w:r>
              <w:rPr>
                <w:b/>
                <w:i w:val="0"/>
                <w:color w:val="1A5C2A"/>
                <w:sz w:val="18"/>
                <w:u w:val="none"/>
              </w:rPr>
              <w:t xml:space="preserve">Contribution to Model A:  </w:t>
            </w:r>
            <w:r>
              <w:rPr>
                <w:b w:val="0"/>
                <w:i w:val="0"/>
                <w:sz w:val="18"/>
                <w:u w:val="none"/>
              </w:rPr>
              <w:t>Decomposes TPB's PBC into three distinct sub-components -- Self-Efficacy (SE), Facilitating Conditions (FC), and Computer Anxiety (ANX) -- thereby providing the direct theoretical precursors to three constructs in Model A. Specifically: (1) SE as an internal capability belief predicting BI; (2) FC as external resource availability; (3) ANX (extended in Model A to AI Anxiety) as an inhibitory pathway to BI and ATT. This decomposition is the critical step that allows Model A to include SE and ANX as structurally distinct constructs.</w:t>
            </w:r>
          </w:p>
        </w:tc>
      </w:tr>
    </w:tbl>
    <w:p/>
    <w:tbl>
      <w:tblPr>
        <w:tblW w:type="auto" w:w="0"/>
        <w:jc w:val="left"/>
        <w:tblLook w:firstColumn="1" w:firstRow="1" w:lastColumn="0" w:lastRow="0" w:noHBand="0" w:noVBand="1" w:val="04A0"/>
      </w:tblPr>
      <w:tblGrid>
        <w:gridCol w:w="2160"/>
        <w:gridCol w:w="7200"/>
      </w:tblGrid>
      <w:tr>
        <w:tc>
          <w:tcPr>
            <w:tcW w:type="dxa" w:w="4533"/>
            <w:shd w:val="clear" w:color="auto" w:fill="1A3A5C"/>
            <w:tcBorders>
              <w:top w:val="single" w:sz="6" w:color="336699"/>
              <w:left w:val="single" w:sz="6" w:color="336699"/>
              <w:bottom w:val="single" w:sz="6" w:color="336699"/>
              <w:right w:val="single" w:sz="6" w:color="336699"/>
            </w:tcBorders>
          </w:tcPr>
          <w:p>
            <w:pPr>
              <w:spacing w:before="120"/>
              <w:jc w:val="center"/>
            </w:pPr>
            <w:r>
              <w:rPr>
                <w:b/>
                <w:color w:val="FFFFFF"/>
                <w:sz w:val="32"/>
              </w:rPr>
              <w:t>UTAUT</w:t>
              <w:br/>
            </w:r>
            <w:r>
              <w:rPr>
                <w:color w:val="BBCCDD"/>
                <w:sz w:val="18"/>
              </w:rPr>
              <w:t>(2003)</w:t>
            </w:r>
          </w:p>
          <w:p>
            <w:pPr>
              <w:jc w:val="center"/>
            </w:pPr>
            <w:r>
              <w:rPr>
                <w:i/>
                <w:color w:val="AABBCC"/>
                <w:sz w:val="15"/>
              </w:rPr>
              <w:t>Venkatesh, Morris, Davis &amp; Davis</w:t>
            </w:r>
          </w:p>
        </w:tc>
        <w:tc>
          <w:tcPr>
            <w:tcW w:type="dxa" w:w="4533"/>
            <w:shd w:val="clear" w:color="auto" w:fill="E8F0F8"/>
            <w:tcBorders>
              <w:top w:val="single" w:sz="6" w:color="336699"/>
              <w:left w:val="single" w:sz="6" w:color="336699"/>
              <w:bottom w:val="single" w:sz="6" w:color="336699"/>
              <w:right w:val="single" w:sz="6" w:color="336699"/>
            </w:tcBorders>
          </w:tcPr>
          <w:p>
            <w:pPr>
              <w:spacing w:before="80"/>
            </w:pPr>
            <w:r>
              <w:rPr>
                <w:b/>
                <w:i w:val="0"/>
                <w:color w:val="1A3A5C"/>
                <w:sz w:val="21"/>
                <w:u w:val="none"/>
              </w:rPr>
              <w:t>Unified Theory of Acceptance and Use of Technology</w:t>
            </w:r>
          </w:p>
          <w:p>
            <w:r>
              <w:rPr>
                <w:b/>
                <w:i w:val="0"/>
                <w:color w:val="555555"/>
                <w:sz w:val="18"/>
                <w:u w:val="none"/>
              </w:rPr>
              <w:t xml:space="preserve">Core equation:  </w:t>
            </w:r>
            <w:r>
              <w:rPr>
                <w:b w:val="0"/>
                <w:i/>
                <w:color w:val="000000"/>
                <w:sz w:val="18"/>
                <w:u w:val="none"/>
              </w:rPr>
              <w:t>PE + EE + SI + FC → BI;  BI + FC → UB</w:t>
            </w:r>
          </w:p>
          <w:p>
            <w:r>
              <w:rPr>
                <w:b/>
                <w:i w:val="0"/>
                <w:color w:val="555555"/>
                <w:sz w:val="18"/>
                <w:u w:val="none"/>
              </w:rPr>
              <w:t xml:space="preserve">Key constructs:  </w:t>
            </w:r>
            <w:r>
              <w:rPr>
                <w:b w:val="0"/>
                <w:i w:val="0"/>
                <w:sz w:val="18"/>
                <w:u w:val="none"/>
              </w:rPr>
              <w:t>Performance Expectancy (PE); Effort Expectancy (EE); Social Influence (SI); Facilitating Conditions (FC); Behavioral Intention (BI); Use Behavior (UB). Moderators: Gender, Age, Experience, Voluntariness of Use</w:t>
            </w:r>
          </w:p>
          <w:p>
            <w:pPr>
              <w:spacing w:after="80"/>
            </w:pPr>
            <w:r>
              <w:rPr>
                <w:b/>
                <w:i w:val="0"/>
                <w:color w:val="1A5C2A"/>
                <w:sz w:val="18"/>
                <w:u w:val="none"/>
              </w:rPr>
              <w:t xml:space="preserve">Contribution to Model A:  </w:t>
            </w:r>
            <w:r>
              <w:rPr>
                <w:b w:val="0"/>
                <w:i w:val="0"/>
                <w:sz w:val="18"/>
                <w:u w:val="none"/>
              </w:rPr>
              <w:t>Provides the standardized construct labels and operationalizations for PE, EE, SI, and FC that are used in Model A. Critically, UTAUT also introduces the direct FC → UB path (bypassing BI), which is retained in Model A. UTAUT drops Attitude (ATT) from the structural model on parsimony grounds, concluding that ATT does not add incremental variance in BI beyond PE and EE. Model A reverses this decision for AI adoption contexts (see Section 3).</w:t>
            </w:r>
          </w:p>
        </w:tc>
      </w:tr>
    </w:tbl>
    <w:p/>
    <w:tbl>
      <w:tblPr>
        <w:tblW w:type="auto" w:w="0"/>
        <w:jc w:val="left"/>
        <w:tblLook w:firstColumn="1" w:firstRow="1" w:lastColumn="0" w:lastRow="0" w:noHBand="0" w:noVBand="1" w:val="04A0"/>
      </w:tblPr>
      <w:tblGrid>
        <w:gridCol w:w="2160"/>
        <w:gridCol w:w="7200"/>
      </w:tblGrid>
      <w:tr>
        <w:tc>
          <w:tcPr>
            <w:tcW w:type="dxa" w:w="4533"/>
            <w:shd w:val="clear" w:color="auto" w:fill="1A3A5C"/>
            <w:tcBorders>
              <w:top w:val="single" w:sz="6" w:color="336699"/>
              <w:left w:val="single" w:sz="6" w:color="336699"/>
              <w:bottom w:val="single" w:sz="6" w:color="336699"/>
              <w:right w:val="single" w:sz="6" w:color="336699"/>
            </w:tcBorders>
          </w:tcPr>
          <w:p>
            <w:pPr>
              <w:spacing w:before="120"/>
              <w:jc w:val="center"/>
            </w:pPr>
            <w:r>
              <w:rPr>
                <w:b/>
                <w:color w:val="FFFFFF"/>
                <w:sz w:val="32"/>
              </w:rPr>
              <w:t>UTAUT2</w:t>
              <w:br/>
            </w:r>
            <w:r>
              <w:rPr>
                <w:color w:val="BBCCDD"/>
                <w:sz w:val="18"/>
              </w:rPr>
              <w:t>(2012)</w:t>
            </w:r>
          </w:p>
          <w:p>
            <w:pPr>
              <w:jc w:val="center"/>
            </w:pPr>
            <w:r>
              <w:rPr>
                <w:i/>
                <w:color w:val="AABBCC"/>
                <w:sz w:val="15"/>
              </w:rPr>
              <w:t>Venkatesh, Thong &amp; Xu</w:t>
            </w:r>
          </w:p>
        </w:tc>
        <w:tc>
          <w:tcPr>
            <w:tcW w:type="dxa" w:w="4533"/>
            <w:shd w:val="clear" w:color="auto" w:fill="FFF3CD"/>
            <w:tcBorders>
              <w:top w:val="single" w:sz="6" w:color="336699"/>
              <w:left w:val="single" w:sz="6" w:color="336699"/>
              <w:bottom w:val="single" w:sz="6" w:color="336699"/>
              <w:right w:val="single" w:sz="6" w:color="336699"/>
            </w:tcBorders>
          </w:tcPr>
          <w:p>
            <w:pPr>
              <w:spacing w:before="80"/>
            </w:pPr>
            <w:r>
              <w:rPr>
                <w:b/>
                <w:i w:val="0"/>
                <w:color w:val="1A3A5C"/>
                <w:sz w:val="21"/>
                <w:u w:val="none"/>
              </w:rPr>
              <w:t>Unified Theory of Acceptance and Use of Technology 2</w:t>
            </w:r>
          </w:p>
          <w:p>
            <w:r>
              <w:rPr>
                <w:b/>
                <w:i w:val="0"/>
                <w:color w:val="555555"/>
                <w:sz w:val="18"/>
                <w:u w:val="none"/>
              </w:rPr>
              <w:t xml:space="preserve">Core equation:  </w:t>
            </w:r>
            <w:r>
              <w:rPr>
                <w:b w:val="0"/>
                <w:i/>
                <w:color w:val="000000"/>
                <w:sz w:val="18"/>
                <w:u w:val="none"/>
              </w:rPr>
              <w:t>PE + EE + SI + FC + HM + PV + HAB → BI;  BI + FC + HAB → UB</w:t>
            </w:r>
          </w:p>
          <w:p>
            <w:r>
              <w:rPr>
                <w:b/>
                <w:i w:val="0"/>
                <w:color w:val="555555"/>
                <w:sz w:val="18"/>
                <w:u w:val="none"/>
              </w:rPr>
              <w:t xml:space="preserve">Key constructs:  </w:t>
            </w:r>
            <w:r>
              <w:rPr>
                <w:b w:val="0"/>
                <w:i w:val="0"/>
                <w:sz w:val="18"/>
                <w:u w:val="none"/>
              </w:rPr>
              <w:t>Performance Expectancy (PE); Effort Expectancy (EE); Social Influence (SI); Facilitating Conditions (FC); Hedonic Motivation (HM); Price Value (PV); Habit (HAB); Behavioral Intention (BI); Use Behavior (UB)</w:t>
            </w:r>
          </w:p>
          <w:p>
            <w:pPr>
              <w:spacing w:after="80"/>
            </w:pPr>
            <w:r>
              <w:rPr>
                <w:b/>
                <w:i w:val="0"/>
                <w:color w:val="1A5C2A"/>
                <w:sz w:val="18"/>
                <w:u w:val="none"/>
              </w:rPr>
              <w:t xml:space="preserve">Contribution to Model A:  </w:t>
            </w:r>
            <w:r>
              <w:rPr>
                <w:b w:val="0"/>
                <w:i w:val="0"/>
                <w:sz w:val="18"/>
                <w:u w:val="none"/>
              </w:rPr>
              <w:t>UTAUT2 is listed for completeness as the framework immediately preceding the AI adoption literature. However, Model A does not adopt UTAUT2 as its structural template. None of UTAUT2's three new constructs (HM, PV, HAB) appear in Model A: HM is excluded due to construct co-occurrence constraints (k[HM-ANX] = 5; k[HM+TRU+ANX] = 2); PV exhibits near-zero variance in no-cost AI tool contexts; HAB has structural inconsistency across primary studies. ATT also remains absent from UTAUT2, yet Model A reinstates it -- a decision UTAUT2 does not support.</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3. AI-Specific Extensions: Constructs Outside the Classic Frameworks</w:t>
            </w:r>
          </w:p>
        </w:tc>
      </w:tr>
    </w:tbl>
    <w:p/>
    <w:p>
      <w:pPr>
        <w:spacing w:before="0" w:after="80"/>
      </w:pPr>
      <w:r>
        <w:rPr>
          <w:b w:val="0"/>
          <w:i w:val="0"/>
          <w:sz w:val="20"/>
          <w:u w:val="none"/>
        </w:rPr>
        <w:t>Two constructs in Model A (Tier 2) have no direct antecedent in TRA, TAM, TPB, C-TAM-TPB, UTAUT, or UTAUT2. They were added inductively from the AI adoption corpus and represent qualitatively transformed psychological phenomena unique to AI-mediated interactions.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3A5C"/>
          </w:tcPr>
          <w:p>
            <w:r>
              <w:rPr>
                <w:b/>
                <w:color w:val="FFFFFF"/>
                <w:sz w:val="19"/>
              </w:rPr>
              <w:t>Construct</w:t>
            </w:r>
          </w:p>
        </w:tc>
        <w:tc>
          <w:tcPr>
            <w:tcW w:type="dxa" w:w="3022"/>
            <w:shd w:val="clear" w:color="auto" w:fill="1A3A5C"/>
          </w:tcPr>
          <w:p>
            <w:r>
              <w:rPr>
                <w:b/>
                <w:color w:val="FFFFFF"/>
                <w:sz w:val="19"/>
              </w:rPr>
              <w:t>Theoretical Origin</w:t>
            </w:r>
          </w:p>
        </w:tc>
        <w:tc>
          <w:tcPr>
            <w:tcW w:type="dxa" w:w="3022"/>
            <w:shd w:val="clear" w:color="auto" w:fill="1A3A5C"/>
          </w:tcPr>
          <w:p>
            <w:r>
              <w:rPr>
                <w:b/>
                <w:color w:val="FFFFFF"/>
                <w:sz w:val="19"/>
              </w:rPr>
              <w:t>AI-Specific Transformation</w:t>
            </w:r>
          </w:p>
        </w:tc>
      </w:tr>
      <w:tr>
        <w:tc>
          <w:tcPr>
            <w:tcW w:type="dxa" w:w="3022"/>
          </w:tcPr>
          <w:p/>
        </w:tc>
        <w:tc>
          <w:tcPr>
            <w:tcW w:type="dxa" w:w="3022"/>
          </w:tcPr>
          <w:p/>
        </w:tc>
        <w:tc>
          <w:tcPr>
            <w:tcW w:type="dxa" w:w="3022"/>
          </w:tcPr>
          <w:p/>
        </w:tc>
      </w:tr>
      <w:tr>
        <w:tc>
          <w:tcPr>
            <w:tcW w:type="dxa" w:w="3022"/>
            <w:shd w:val="clear" w:color="auto" w:fill="E8F0F8"/>
          </w:tcPr>
          <w:p>
            <w:r>
              <w:rPr>
                <w:b/>
                <w:sz w:val="18"/>
              </w:rPr>
              <w:t>AI Anxiety (ANX)</w:t>
            </w:r>
          </w:p>
        </w:tc>
        <w:tc>
          <w:tcPr>
            <w:tcW w:type="dxa" w:w="3022"/>
          </w:tcPr>
          <w:p>
            <w:r>
              <w:rPr>
                <w:sz w:val="18"/>
              </w:rPr>
              <w:t>Computer Anxiety (Compeau &amp; Higgins, 1995); Computer Anxiety sub-component of PBC in C-TAM-TPB (Taylor &amp; Todd, 1995)</w:t>
            </w:r>
          </w:p>
        </w:tc>
        <w:tc>
          <w:tcPr>
            <w:tcW w:type="dxa" w:w="3022"/>
          </w:tcPr>
          <w:p>
            <w:r>
              <w:rPr>
                <w:sz w:val="18"/>
              </w:rPr>
              <w:t>In AI contexts, anxiety extends beyond task performance concerns to include existential fears: job displacement, loss of human agency, and unpredictable AI behavior (Wang &amp; Wang, 2022). Qualitatively distinct from computer anxiety (Compeau &amp; Higgins, 1995) in its autonomy-related threat appraisal (Glikson &amp; Woolley, 2020).</w:t>
            </w:r>
          </w:p>
        </w:tc>
      </w:tr>
      <w:tr>
        <w:tc>
          <w:tcPr>
            <w:tcW w:type="dxa" w:w="3022"/>
            <w:shd w:val="clear" w:color="auto" w:fill="E8F0F8"/>
          </w:tcPr>
          <w:p>
            <w:r>
              <w:rPr>
                <w:b/>
                <w:sz w:val="18"/>
              </w:rPr>
              <w:t>Trust in AI (TRU)</w:t>
            </w:r>
          </w:p>
        </w:tc>
        <w:tc>
          <w:tcPr>
            <w:tcW w:type="dxa" w:w="3022"/>
          </w:tcPr>
          <w:p>
            <w:r>
              <w:rPr>
                <w:sz w:val="18"/>
              </w:rPr>
              <w:t>E-commerce trust (Gefen et al., 2003; McKnight et al., 2002); Interpersonal trust theories (Mayer et al., 1995)</w:t>
            </w:r>
          </w:p>
        </w:tc>
        <w:tc>
          <w:tcPr>
            <w:tcW w:type="dxa" w:w="3022"/>
          </w:tcPr>
          <w:p>
            <w:r>
              <w:rPr>
                <w:sz w:val="18"/>
              </w:rPr>
              <w:t>Trust in AI involves delegation of cognitive tasks to an autonomous agent, not merely confidence in a vendor or system (Glikson &amp; Woolley, 2020; Siau &amp; Wang, 2018). This includes competence-based trust (AI accuracy), benevolence-based trust (AI intent), and integrity-based trust (AI transparency).</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4. Model A: Synthesis of Structural Elements</w:t>
            </w:r>
          </w:p>
        </w:tc>
      </w:tr>
    </w:tbl>
    <w:p/>
    <w:p>
      <w:pPr>
        <w:spacing w:before="0" w:after="80"/>
      </w:pPr>
      <w:r>
        <w:rPr>
          <w:b w:val="0"/>
          <w:i w:val="0"/>
          <w:sz w:val="20"/>
          <w:u w:val="none"/>
        </w:rPr>
        <w:t>Table 1 maps each structural element of Model A to its theoretical source. The table demonstrates that Model A is a principled hybrid rather than a direct application of any single framework.</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3A5C"/>
          </w:tcPr>
          <w:p>
            <w:r>
              <w:rPr>
                <w:b/>
                <w:color w:val="FFFFFF"/>
                <w:sz w:val="19"/>
              </w:rPr>
              <w:t>Structural Path / Element</w:t>
            </w:r>
          </w:p>
        </w:tc>
        <w:tc>
          <w:tcPr>
            <w:tcW w:type="dxa" w:w="2266"/>
            <w:shd w:val="clear" w:color="auto" w:fill="1A3A5C"/>
          </w:tcPr>
          <w:p>
            <w:r>
              <w:rPr>
                <w:b/>
                <w:color w:val="FFFFFF"/>
                <w:sz w:val="19"/>
              </w:rPr>
              <w:t>Construct Full Names</w:t>
            </w:r>
          </w:p>
        </w:tc>
        <w:tc>
          <w:tcPr>
            <w:tcW w:type="dxa" w:w="2266"/>
            <w:shd w:val="clear" w:color="auto" w:fill="1A3A5C"/>
          </w:tcPr>
          <w:p>
            <w:r>
              <w:rPr>
                <w:b/>
                <w:color w:val="FFFFFF"/>
                <w:sz w:val="19"/>
              </w:rPr>
              <w:t>Primary Theory Source</w:t>
            </w:r>
          </w:p>
        </w:tc>
        <w:tc>
          <w:tcPr>
            <w:tcW w:type="dxa" w:w="2266"/>
            <w:shd w:val="clear" w:color="auto" w:fill="1A3A5C"/>
          </w:tcPr>
          <w:p>
            <w:r>
              <w:rPr>
                <w:b/>
                <w:color w:val="FFFFFF"/>
                <w:sz w:val="19"/>
              </w:rPr>
              <w:t>Theoretical Function</w:t>
            </w:r>
          </w:p>
        </w:tc>
      </w:tr>
      <w:tr>
        <w:tc>
          <w:tcPr>
            <w:tcW w:type="dxa" w:w="2266"/>
            <w:shd w:val="clear" w:color="auto" w:fill="E8F0F8"/>
          </w:tcPr>
          <w:p>
            <w:r>
              <w:rPr>
                <w:sz w:val="18"/>
              </w:rPr>
              <w:t>PE/EE → ATT</w:t>
            </w:r>
          </w:p>
        </w:tc>
        <w:tc>
          <w:tcPr>
            <w:tcW w:type="dxa" w:w="2266"/>
          </w:tcPr>
          <w:p>
            <w:r>
              <w:rPr>
                <w:sz w:val="18"/>
              </w:rPr>
              <w:t>Performance Expectancy (PE); Effort Expectancy (EE); Attitude (ATT)</w:t>
            </w:r>
          </w:p>
        </w:tc>
        <w:tc>
          <w:tcPr>
            <w:tcW w:type="dxa" w:w="2266"/>
          </w:tcPr>
          <w:p>
            <w:r>
              <w:rPr>
                <w:sz w:val="18"/>
              </w:rPr>
              <w:t>TAM (Davis, 1989); TRA (Fishbein &amp; Ajzen, 1975)</w:t>
            </w:r>
          </w:p>
        </w:tc>
        <w:tc>
          <w:tcPr>
            <w:tcW w:type="dxa" w:w="2266"/>
          </w:tcPr>
          <w:p>
            <w:r>
              <w:rPr>
                <w:sz w:val="18"/>
              </w:rPr>
              <w:t>Exogenous beliefs form evaluative attitude; cognitive-affective mediation</w:t>
            </w:r>
          </w:p>
        </w:tc>
      </w:tr>
      <w:tr>
        <w:tc>
          <w:tcPr>
            <w:tcW w:type="dxa" w:w="2266"/>
            <w:shd w:val="clear" w:color="auto" w:fill="F5F5F5"/>
          </w:tcPr>
          <w:p>
            <w:r>
              <w:rPr>
                <w:sz w:val="18"/>
              </w:rPr>
              <w:t>ATT → BI</w:t>
            </w:r>
          </w:p>
        </w:tc>
        <w:tc>
          <w:tcPr>
            <w:tcW w:type="dxa" w:w="2266"/>
          </w:tcPr>
          <w:p>
            <w:r>
              <w:rPr>
                <w:sz w:val="18"/>
              </w:rPr>
              <w:t>Attitude (ATT); Behavioral Intention (BI)</w:t>
            </w:r>
          </w:p>
        </w:tc>
        <w:tc>
          <w:tcPr>
            <w:tcW w:type="dxa" w:w="2266"/>
          </w:tcPr>
          <w:p>
            <w:r>
              <w:rPr>
                <w:sz w:val="18"/>
              </w:rPr>
              <w:t>TRA (Fishbein &amp; Ajzen, 1975); TAM (Davis, 1989)</w:t>
            </w:r>
          </w:p>
        </w:tc>
        <w:tc>
          <w:tcPr>
            <w:tcW w:type="dxa" w:w="2266"/>
          </w:tcPr>
          <w:p>
            <w:r>
              <w:rPr>
                <w:sz w:val="18"/>
              </w:rPr>
              <w:t>Evaluative attitude translates into adoption intention</w:t>
            </w:r>
          </w:p>
        </w:tc>
      </w:tr>
      <w:tr>
        <w:tc>
          <w:tcPr>
            <w:tcW w:type="dxa" w:w="2266"/>
            <w:shd w:val="clear" w:color="auto" w:fill="E8F0F8"/>
          </w:tcPr>
          <w:p>
            <w:r>
              <w:rPr>
                <w:sz w:val="18"/>
              </w:rPr>
              <w:t>SI → BI</w:t>
            </w:r>
          </w:p>
        </w:tc>
        <w:tc>
          <w:tcPr>
            <w:tcW w:type="dxa" w:w="2266"/>
          </w:tcPr>
          <w:p>
            <w:r>
              <w:rPr>
                <w:sz w:val="18"/>
              </w:rPr>
              <w:t>Social Influence (SI); Behavioral Intention (BI)</w:t>
            </w:r>
          </w:p>
        </w:tc>
        <w:tc>
          <w:tcPr>
            <w:tcW w:type="dxa" w:w="2266"/>
          </w:tcPr>
          <w:p>
            <w:r>
              <w:rPr>
                <w:sz w:val="18"/>
              </w:rPr>
              <w:t>TRA (Fishbein &amp; Ajzen, 1975) as Subjective Norm; UTAUT (Venkatesh et al., 2003)</w:t>
            </w:r>
          </w:p>
        </w:tc>
        <w:tc>
          <w:tcPr>
            <w:tcW w:type="dxa" w:w="2266"/>
          </w:tcPr>
          <w:p>
            <w:r>
              <w:rPr>
                <w:sz w:val="18"/>
              </w:rPr>
              <w:t>Normative social pressure predicts intention directly</w:t>
            </w:r>
          </w:p>
        </w:tc>
      </w:tr>
      <w:tr>
        <w:tc>
          <w:tcPr>
            <w:tcW w:type="dxa" w:w="2266"/>
            <w:shd w:val="clear" w:color="auto" w:fill="F5F5F5"/>
          </w:tcPr>
          <w:p>
            <w:r>
              <w:rPr>
                <w:sz w:val="18"/>
              </w:rPr>
              <w:t>SE → BI</w:t>
            </w:r>
          </w:p>
        </w:tc>
        <w:tc>
          <w:tcPr>
            <w:tcW w:type="dxa" w:w="2266"/>
          </w:tcPr>
          <w:p>
            <w:r>
              <w:rPr>
                <w:sz w:val="18"/>
              </w:rPr>
              <w:t>Self-Efficacy (SE); Behavioral Intention (BI)</w:t>
            </w:r>
          </w:p>
        </w:tc>
        <w:tc>
          <w:tcPr>
            <w:tcW w:type="dxa" w:w="2266"/>
          </w:tcPr>
          <w:p>
            <w:r>
              <w:rPr>
                <w:sz w:val="18"/>
              </w:rPr>
              <w:t>Social Cognitive Theory (Bandura, 1977); C-TAM-TPB (Taylor &amp; Todd, 1995)</w:t>
            </w:r>
          </w:p>
        </w:tc>
        <w:tc>
          <w:tcPr>
            <w:tcW w:type="dxa" w:w="2266"/>
          </w:tcPr>
          <w:p>
            <w:r>
              <w:rPr>
                <w:sz w:val="18"/>
              </w:rPr>
              <w:t>Internal capability belief as motivational enabler</w:t>
            </w:r>
          </w:p>
        </w:tc>
      </w:tr>
      <w:tr>
        <w:tc>
          <w:tcPr>
            <w:tcW w:type="dxa" w:w="2266"/>
            <w:shd w:val="clear" w:color="auto" w:fill="E8F0F8"/>
          </w:tcPr>
          <w:p>
            <w:r>
              <w:rPr>
                <w:sz w:val="18"/>
              </w:rPr>
              <w:t>ANX → ATT / BI</w:t>
            </w:r>
          </w:p>
        </w:tc>
        <w:tc>
          <w:tcPr>
            <w:tcW w:type="dxa" w:w="2266"/>
          </w:tcPr>
          <w:p>
            <w:r>
              <w:rPr>
                <w:sz w:val="18"/>
              </w:rPr>
              <w:t>AI Anxiety (ANX); Attitude (ATT); Behavioral Intention (BI)</w:t>
            </w:r>
          </w:p>
        </w:tc>
        <w:tc>
          <w:tcPr>
            <w:tcW w:type="dxa" w:w="2266"/>
          </w:tcPr>
          <w:p>
            <w:r>
              <w:rPr>
                <w:sz w:val="18"/>
              </w:rPr>
              <w:t>C-TAM-TPB (Taylor &amp; Todd, 1995); Compeau &amp; Higgins (1995); AI-specific extension</w:t>
            </w:r>
          </w:p>
        </w:tc>
        <w:tc>
          <w:tcPr>
            <w:tcW w:type="dxa" w:w="2266"/>
          </w:tcPr>
          <w:p>
            <w:r>
              <w:rPr>
                <w:sz w:val="18"/>
              </w:rPr>
              <w:t>Affective inhibitor -- reduces favorable ATT and lowers BI</w:t>
            </w:r>
          </w:p>
        </w:tc>
      </w:tr>
      <w:tr>
        <w:tc>
          <w:tcPr>
            <w:tcW w:type="dxa" w:w="2266"/>
            <w:shd w:val="clear" w:color="auto" w:fill="F5F5F5"/>
          </w:tcPr>
          <w:p>
            <w:r>
              <w:rPr>
                <w:sz w:val="18"/>
              </w:rPr>
              <w:t>TRU → BI</w:t>
            </w:r>
          </w:p>
        </w:tc>
        <w:tc>
          <w:tcPr>
            <w:tcW w:type="dxa" w:w="2266"/>
          </w:tcPr>
          <w:p>
            <w:r>
              <w:rPr>
                <w:sz w:val="18"/>
              </w:rPr>
              <w:t>Trust in AI (TRU); Behavioral Intention (BI)</w:t>
            </w:r>
          </w:p>
        </w:tc>
        <w:tc>
          <w:tcPr>
            <w:tcW w:type="dxa" w:w="2266"/>
          </w:tcPr>
          <w:p>
            <w:r>
              <w:rPr>
                <w:sz w:val="18"/>
              </w:rPr>
              <w:t>AI-specific (Glikson &amp; Woolley, 2020; Siau &amp; Wang, 2018)</w:t>
            </w:r>
          </w:p>
        </w:tc>
        <w:tc>
          <w:tcPr>
            <w:tcW w:type="dxa" w:w="2266"/>
          </w:tcPr>
          <w:p>
            <w:r>
              <w:rPr>
                <w:sz w:val="18"/>
              </w:rPr>
              <w:t>Relational trust in autonomous agent predicts adoption intention</w:t>
            </w:r>
          </w:p>
        </w:tc>
      </w:tr>
      <w:tr>
        <w:tc>
          <w:tcPr>
            <w:tcW w:type="dxa" w:w="2266"/>
            <w:shd w:val="clear" w:color="auto" w:fill="E8F0F8"/>
          </w:tcPr>
          <w:p>
            <w:r>
              <w:rPr>
                <w:sz w:val="18"/>
              </w:rPr>
              <w:t>FC → UB</w:t>
            </w:r>
          </w:p>
        </w:tc>
        <w:tc>
          <w:tcPr>
            <w:tcW w:type="dxa" w:w="2266"/>
          </w:tcPr>
          <w:p>
            <w:r>
              <w:rPr>
                <w:sz w:val="18"/>
              </w:rPr>
              <w:t>Facilitating Conditions (FC); Use Behavior (UB)</w:t>
            </w:r>
          </w:p>
        </w:tc>
        <w:tc>
          <w:tcPr>
            <w:tcW w:type="dxa" w:w="2266"/>
          </w:tcPr>
          <w:p>
            <w:r>
              <w:rPr>
                <w:sz w:val="18"/>
              </w:rPr>
              <w:t>TPB (Ajzen, 1991) as PBC; UTAUT (Venkatesh et al., 2003)</w:t>
            </w:r>
          </w:p>
        </w:tc>
        <w:tc>
          <w:tcPr>
            <w:tcW w:type="dxa" w:w="2266"/>
          </w:tcPr>
          <w:p>
            <w:r>
              <w:rPr>
                <w:sz w:val="18"/>
              </w:rPr>
              <w:t>External resource availability enables actual use, bypassing intention</w:t>
            </w:r>
          </w:p>
        </w:tc>
      </w:tr>
      <w:tr>
        <w:tc>
          <w:tcPr>
            <w:tcW w:type="dxa" w:w="2266"/>
            <w:shd w:val="clear" w:color="auto" w:fill="F5F5F5"/>
          </w:tcPr>
          <w:p>
            <w:r>
              <w:rPr>
                <w:sz w:val="18"/>
              </w:rPr>
              <w:t>BI → UB</w:t>
            </w:r>
          </w:p>
        </w:tc>
        <w:tc>
          <w:tcPr>
            <w:tcW w:type="dxa" w:w="2266"/>
          </w:tcPr>
          <w:p>
            <w:r>
              <w:rPr>
                <w:sz w:val="18"/>
              </w:rPr>
              <w:t>Behavioral Intention (BI); Use Behavior (UB)</w:t>
            </w:r>
          </w:p>
        </w:tc>
        <w:tc>
          <w:tcPr>
            <w:tcW w:type="dxa" w:w="2266"/>
          </w:tcPr>
          <w:p>
            <w:r>
              <w:rPr>
                <w:sz w:val="18"/>
              </w:rPr>
              <w:t>TRA (Fishbein &amp; Ajzen, 1975); TAM (Davis, 1989); UTAUT (Venkatesh et al., 2003)</w:t>
            </w:r>
          </w:p>
        </w:tc>
        <w:tc>
          <w:tcPr>
            <w:tcW w:type="dxa" w:w="2266"/>
          </w:tcPr>
          <w:p>
            <w:r>
              <w:rPr>
                <w:sz w:val="18"/>
              </w:rPr>
              <w:t>Proximal predictor of actual technology use</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5. The ATT Reinstatement Decision: Key Theoretical Departure from UTAUT</w:t>
            </w:r>
          </w:p>
        </w:tc>
      </w:tr>
    </w:tbl>
    <w:p/>
    <w:p>
      <w:pPr>
        <w:spacing w:before="0" w:after="80"/>
      </w:pPr>
      <w:r>
        <w:rPr>
          <w:b w:val="0"/>
          <w:i w:val="0"/>
          <w:sz w:val="20"/>
          <w:u w:val="none"/>
        </w:rPr>
        <w:t>The most consequential theoretical decision in Model A is the reinstatement of Attitude toward AI Use (ATT) as a mediating construct. This decision reverses Venkatesh et al.'s (2003) parsimony argument and has direct implications for the HM inclusion debate.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E8F0F8"/>
          </w:tcPr>
          <w:p>
            <w:pPr>
              <w:spacing w:before="80"/>
            </w:pPr>
            <w:r>
              <w:rPr>
                <w:b/>
                <w:i w:val="0"/>
                <w:color w:val="1A3A5C"/>
                <w:sz w:val="20"/>
                <w:u w:val="none"/>
              </w:rPr>
              <w:t>UTAUT (2003): Remove ATT</w:t>
            </w:r>
          </w:p>
          <w:p/>
          <w:p>
            <w:pPr>
              <w:spacing w:after="120"/>
            </w:pPr>
            <w:r>
              <w:rPr>
                <w:b w:val="0"/>
                <w:i w:val="0"/>
                <w:sz w:val="18"/>
                <w:u w:val="none"/>
              </w:rPr>
              <w:t>Venkatesh et al. (2003) conducted a meta-analysis of eight technology acceptance models and found that ATT did not account for significant incremental variance in Behavioral Intention (BI) beyond Performance Expectancy (PE) and Effort Expectancy (EE). ATT was therefore excluded from UTAUT on parsimony grounds. The UTAUT structural model proceeds directly from PE, EE, Social Influence (SI), and Facilitating Conditions (FC) to BI, without an attitudinal mediator.</w:t>
            </w:r>
          </w:p>
        </w:tc>
        <w:tc>
          <w:tcPr>
            <w:tcW w:type="dxa" w:w="4533"/>
            <w:shd w:val="clear" w:color="auto" w:fill="F5E8E8"/>
          </w:tcPr>
          <w:p>
            <w:pPr>
              <w:spacing w:before="80"/>
            </w:pPr>
            <w:r>
              <w:rPr>
                <w:b/>
                <w:i w:val="0"/>
                <w:color w:val="8B1A1A"/>
                <w:sz w:val="20"/>
                <w:u w:val="none"/>
              </w:rPr>
              <w:t>Model A (2026): Reinstate ATT</w:t>
            </w:r>
          </w:p>
          <w:p/>
          <w:p>
            <w:pPr>
              <w:spacing w:after="120"/>
            </w:pPr>
            <w:r>
              <w:rPr>
                <w:b w:val="0"/>
                <w:i w:val="0"/>
                <w:sz w:val="18"/>
                <w:u w:val="none"/>
              </w:rPr>
              <w:t>In the AI adoption corpus (N = 224), ATT appears in k = 81 studies (36.2%), substantially above the 20% Tier 1 threshold. This empirical prevalence suggests that AI adoption researchers consistently judge evaluative attitude to be a relevant mediating construct. Theoretically, Scherer et al. (2019) demonstrate that ATT plays a more prominent mediating role when the technology is perceived as an autonomous agent rather than a passive tool -- a characterization that fits AI systems. Reinstating ATT also preserves the TRA/TPB theoretical architecture in which cognitive beliefs (PE, EE) influence behavior through evaluative appraisal (ATT), a sequence that reflects deliberative adoption decisions.</w:t>
            </w:r>
          </w:p>
        </w:tc>
      </w:tr>
    </w:tbl>
    <w:p/>
    <w:tbl>
      <w:tblPr>
        <w:tblW w:type="auto" w:w="0"/>
        <w:tblLook w:firstColumn="1" w:firstRow="1" w:lastColumn="0" w:lastRow="0" w:noHBand="0" w:noVBand="1" w:val="04A0"/>
      </w:tblPr>
      <w:tblGrid>
        <w:gridCol w:w="9066"/>
      </w:tblGrid>
      <w:tr>
        <w:tc>
          <w:tcPr>
            <w:tcW w:type="dxa" w:w="9066"/>
            <w:shd w:val="clear" w:color="auto" w:fill="E8F5E9"/>
            <w:tcBorders>
              <w:top w:val="single" w:sz="4" w:color="2E7D32"/>
              <w:left w:val="single" w:sz="4" w:color="2E7D32"/>
              <w:bottom w:val="single" w:sz="4" w:color="2E7D32"/>
              <w:right w:val="single" w:sz="4" w:color="2E7D32"/>
            </w:tcBorders>
          </w:tcPr>
          <w:p>
            <w:pPr>
              <w:spacing w:before="80" w:after="80"/>
            </w:pPr>
            <w:r>
              <w:rPr>
                <w:b/>
                <w:i w:val="0"/>
                <w:color w:val="1A5C2A"/>
                <w:sz w:val="19"/>
                <w:u w:val="none"/>
              </w:rPr>
              <w:t xml:space="preserve">Consequence for HM debate:  </w:t>
            </w:r>
            <w:r>
              <w:rPr>
                <w:b w:val="0"/>
                <w:i w:val="0"/>
                <w:sz w:val="19"/>
                <w:u w:val="none"/>
              </w:rPr>
              <w:t>Because Model A reinstates ATT as a mediator of PE/EE → BI, the model commits to a TAM/TRA-style single-route deliberative architecture (System 2, in dual-process terms). Adding HM as a 13th construct would introduce a second, parallel route (HM → BI direct, UTAUT2-style), shifting from Model A to Model B. This is not merely a construct addition; it is an architectural change with implications for Stage 2 structural specification and model comparison.</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6. Comparative Summary: What Each Theory Contributed and What Was Left Behind</w:t>
            </w:r>
          </w:p>
        </w:tc>
      </w:tr>
    </w:tbl>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3A5C"/>
          </w:tcPr>
          <w:p>
            <w:r>
              <w:rPr>
                <w:b/>
                <w:color w:val="FFFFFF"/>
                <w:sz w:val="18"/>
              </w:rPr>
              <w:t>Theory</w:t>
            </w:r>
          </w:p>
        </w:tc>
        <w:tc>
          <w:tcPr>
            <w:tcW w:type="dxa" w:w="1813"/>
            <w:shd w:val="clear" w:color="auto" w:fill="1A3A5C"/>
          </w:tcPr>
          <w:p>
            <w:r>
              <w:rPr>
                <w:b/>
                <w:color w:val="FFFFFF"/>
                <w:sz w:val="18"/>
              </w:rPr>
              <w:t>Adopted in Model A</w:t>
            </w:r>
          </w:p>
        </w:tc>
        <w:tc>
          <w:tcPr>
            <w:tcW w:type="dxa" w:w="1813"/>
            <w:shd w:val="clear" w:color="auto" w:fill="1A3A5C"/>
          </w:tcPr>
          <w:p>
            <w:r>
              <w:rPr>
                <w:b/>
                <w:color w:val="FFFFFF"/>
                <w:sz w:val="18"/>
              </w:rPr>
              <w:t>Modified in Model A</w:t>
            </w:r>
          </w:p>
        </w:tc>
        <w:tc>
          <w:tcPr>
            <w:tcW w:type="dxa" w:w="1813"/>
            <w:shd w:val="clear" w:color="auto" w:fill="1A3A5C"/>
          </w:tcPr>
          <w:p>
            <w:r>
              <w:rPr>
                <w:b/>
                <w:color w:val="FFFFFF"/>
                <w:sz w:val="18"/>
              </w:rPr>
              <w:t>Rejected / Not Adopted</w:t>
            </w:r>
          </w:p>
        </w:tc>
        <w:tc>
          <w:tcPr>
            <w:tcW w:type="dxa" w:w="1813"/>
            <w:shd w:val="clear" w:color="auto" w:fill="1A3A5C"/>
          </w:tcPr>
          <w:p>
            <w:r>
              <w:rPr>
                <w:b/>
                <w:color w:val="FFFFFF"/>
                <w:sz w:val="18"/>
              </w:rPr>
              <w:t>Reason</w:t>
            </w:r>
          </w:p>
        </w:tc>
      </w:tr>
      <w:tr>
        <w:tc>
          <w:tcPr>
            <w:tcW w:type="dxa" w:w="1813"/>
            <w:shd w:val="clear" w:color="auto" w:fill="E8F0F8"/>
          </w:tcPr>
          <w:p>
            <w:r>
              <w:rPr>
                <w:b/>
                <w:sz w:val="17"/>
              </w:rPr>
              <w:t>TRA</w:t>
              <w:br/>
              <w:t>(1975)</w:t>
            </w:r>
          </w:p>
        </w:tc>
        <w:tc>
          <w:tcPr>
            <w:tcW w:type="dxa" w:w="1813"/>
          </w:tcPr>
          <w:p>
            <w:r>
              <w:rPr>
                <w:sz w:val="17"/>
              </w:rPr>
              <w:t>ATT → BI; SI → BI</w:t>
            </w:r>
          </w:p>
        </w:tc>
        <w:tc>
          <w:tcPr>
            <w:tcW w:type="dxa" w:w="1813"/>
          </w:tcPr>
          <w:p>
            <w:r>
              <w:rPr>
                <w:sz w:val="17"/>
              </w:rPr>
              <w:t>SN relabeled as SI</w:t>
            </w:r>
          </w:p>
        </w:tc>
        <w:tc>
          <w:tcPr>
            <w:tcW w:type="dxa" w:w="1813"/>
          </w:tcPr>
          <w:p>
            <w:r>
              <w:rPr>
                <w:sz w:val="17"/>
              </w:rPr>
              <w:t>Behavior as final outcome (replaced by UB from UTAUT)</w:t>
            </w:r>
          </w:p>
        </w:tc>
        <w:tc>
          <w:tcPr>
            <w:tcW w:type="dxa" w:w="1813"/>
          </w:tcPr>
          <w:p>
            <w:r>
              <w:rPr>
                <w:sz w:val="17"/>
              </w:rPr>
              <w:t>UB operationalization more precise than self-reported behavior</w:t>
            </w:r>
          </w:p>
        </w:tc>
      </w:tr>
      <w:tr>
        <w:tc>
          <w:tcPr>
            <w:tcW w:type="dxa" w:w="1813"/>
            <w:shd w:val="clear" w:color="auto" w:fill="F5F5F5"/>
          </w:tcPr>
          <w:p>
            <w:r>
              <w:rPr>
                <w:b/>
                <w:sz w:val="17"/>
              </w:rPr>
              <w:t>TAM</w:t>
              <w:br/>
              <w:t>(1989)</w:t>
            </w:r>
          </w:p>
        </w:tc>
        <w:tc>
          <w:tcPr>
            <w:tcW w:type="dxa" w:w="1813"/>
          </w:tcPr>
          <w:p>
            <w:r>
              <w:rPr>
                <w:sz w:val="17"/>
              </w:rPr>
              <w:t>PE/EE as belief constructs; PE/EE → ATT → BI chain</w:t>
            </w:r>
          </w:p>
        </w:tc>
        <w:tc>
          <w:tcPr>
            <w:tcW w:type="dxa" w:w="1813"/>
          </w:tcPr>
          <w:p>
            <w:r>
              <w:rPr>
                <w:sz w:val="17"/>
              </w:rPr>
              <w:t>PE/EE operationalized per UTAUT norms, not original Davis scales</w:t>
            </w:r>
          </w:p>
        </w:tc>
        <w:tc>
          <w:tcPr>
            <w:tcW w:type="dxa" w:w="1813"/>
          </w:tcPr>
          <w:p>
            <w:r>
              <w:rPr>
                <w:sz w:val="17"/>
              </w:rPr>
              <w:t>Direct PE → BI path (parallel to ATT mediation in TAM2)</w:t>
            </w:r>
          </w:p>
        </w:tc>
        <w:tc>
          <w:tcPr>
            <w:tcW w:type="dxa" w:w="1813"/>
          </w:tcPr>
          <w:p>
            <w:r>
              <w:rPr>
                <w:sz w:val="17"/>
              </w:rPr>
              <w:t>Model A commits to ATT-mediated pathway</w:t>
            </w:r>
          </w:p>
        </w:tc>
      </w:tr>
      <w:tr>
        <w:tc>
          <w:tcPr>
            <w:tcW w:type="dxa" w:w="1813"/>
            <w:shd w:val="clear" w:color="auto" w:fill="E8F0F8"/>
          </w:tcPr>
          <w:p>
            <w:r>
              <w:rPr>
                <w:b/>
                <w:sz w:val="17"/>
              </w:rPr>
              <w:t>TPB</w:t>
              <w:br/>
              <w:t>(1991)</w:t>
            </w:r>
          </w:p>
        </w:tc>
        <w:tc>
          <w:tcPr>
            <w:tcW w:type="dxa" w:w="1813"/>
          </w:tcPr>
          <w:p>
            <w:r>
              <w:rPr>
                <w:sz w:val="17"/>
              </w:rPr>
              <w:t>PBC concept (via SE and FC sub-components)</w:t>
            </w:r>
          </w:p>
        </w:tc>
        <w:tc>
          <w:tcPr>
            <w:tcW w:type="dxa" w:w="1813"/>
          </w:tcPr>
          <w:p>
            <w:r>
              <w:rPr>
                <w:sz w:val="17"/>
              </w:rPr>
              <w:t>PBC decomposed per C-TAM-TPB, not treated as unitary</w:t>
            </w:r>
          </w:p>
        </w:tc>
        <w:tc>
          <w:tcPr>
            <w:tcW w:type="dxa" w:w="1813"/>
          </w:tcPr>
          <w:p>
            <w:r>
              <w:rPr>
                <w:sz w:val="17"/>
              </w:rPr>
              <w:t>PBC as direct BI predictor (before decomposition)</w:t>
            </w:r>
          </w:p>
        </w:tc>
        <w:tc>
          <w:tcPr>
            <w:tcW w:type="dxa" w:w="1813"/>
          </w:tcPr>
          <w:p>
            <w:r>
              <w:rPr>
                <w:sz w:val="17"/>
              </w:rPr>
              <w:t>Decomposition yields more specific theoretical predictions</w:t>
            </w:r>
          </w:p>
        </w:tc>
      </w:tr>
      <w:tr>
        <w:tc>
          <w:tcPr>
            <w:tcW w:type="dxa" w:w="1813"/>
            <w:shd w:val="clear" w:color="auto" w:fill="F5F5F5"/>
          </w:tcPr>
          <w:p>
            <w:r>
              <w:rPr>
                <w:b/>
                <w:sz w:val="17"/>
              </w:rPr>
              <w:t>C-TAM-</w:t>
              <w:br/>
              <w:t>TPB</w:t>
              <w:br/>
              <w:t>(1995)</w:t>
            </w:r>
          </w:p>
        </w:tc>
        <w:tc>
          <w:tcPr>
            <w:tcW w:type="dxa" w:w="1813"/>
          </w:tcPr>
          <w:p>
            <w:r>
              <w:rPr>
                <w:sz w:val="17"/>
              </w:rPr>
              <w:t>SE → BI; FC → (UB via UTAUT); ANX → ATT/BI</w:t>
            </w:r>
          </w:p>
        </w:tc>
        <w:tc>
          <w:tcPr>
            <w:tcW w:type="dxa" w:w="1813"/>
          </w:tcPr>
          <w:p>
            <w:r>
              <w:rPr>
                <w:sz w:val="17"/>
              </w:rPr>
              <w:t>ANX extended from computer anxiety to AI anxiety</w:t>
            </w:r>
          </w:p>
        </w:tc>
        <w:tc>
          <w:tcPr>
            <w:tcW w:type="dxa" w:w="1813"/>
          </w:tcPr>
          <w:p>
            <w:r>
              <w:rPr>
                <w:sz w:val="17"/>
              </w:rPr>
              <w:t>Compatibility (IDT construct) not included</w:t>
            </w:r>
          </w:p>
        </w:tc>
        <w:tc>
          <w:tcPr>
            <w:tcW w:type="dxa" w:w="1813"/>
          </w:tcPr>
          <w:p>
            <w:r>
              <w:rPr>
                <w:sz w:val="17"/>
              </w:rPr>
              <w:t>Compatibility has low empirical coverage in the corpus</w:t>
            </w:r>
          </w:p>
        </w:tc>
      </w:tr>
      <w:tr>
        <w:tc>
          <w:tcPr>
            <w:tcW w:type="dxa" w:w="1813"/>
            <w:shd w:val="clear" w:color="auto" w:fill="E8F0F8"/>
          </w:tcPr>
          <w:p>
            <w:r>
              <w:rPr>
                <w:b/>
                <w:sz w:val="17"/>
              </w:rPr>
              <w:t>UTAUT</w:t>
              <w:br/>
              <w:t>(2003)</w:t>
            </w:r>
          </w:p>
        </w:tc>
        <w:tc>
          <w:tcPr>
            <w:tcW w:type="dxa" w:w="1813"/>
          </w:tcPr>
          <w:p>
            <w:r>
              <w:rPr>
                <w:sz w:val="17"/>
              </w:rPr>
              <w:t>PE, EE, SI, FC standardized labels; FC → UB direct; BI → UB</w:t>
            </w:r>
          </w:p>
        </w:tc>
        <w:tc>
          <w:tcPr>
            <w:tcW w:type="dxa" w:w="1813"/>
          </w:tcPr>
          <w:p>
            <w:r>
              <w:rPr>
                <w:sz w:val="17"/>
              </w:rPr>
              <w:t>ATT reinstated (UTAUT dropped it)</w:t>
            </w:r>
          </w:p>
        </w:tc>
        <w:tc>
          <w:tcPr>
            <w:tcW w:type="dxa" w:w="1813"/>
          </w:tcPr>
          <w:p>
            <w:r>
              <w:rPr>
                <w:sz w:val="17"/>
              </w:rPr>
              <w:t>Gender/Age/Experience as mandatory moderators</w:t>
            </w:r>
          </w:p>
        </w:tc>
        <w:tc>
          <w:tcPr>
            <w:tcW w:type="dxa" w:w="1813"/>
          </w:tcPr>
          <w:p>
            <w:r>
              <w:rPr>
                <w:sz w:val="17"/>
              </w:rPr>
              <w:t>Moderator analysis is secondary in Stage 2 MASEM</w:t>
            </w:r>
          </w:p>
        </w:tc>
      </w:tr>
      <w:tr>
        <w:tc>
          <w:tcPr>
            <w:tcW w:type="dxa" w:w="1813"/>
            <w:shd w:val="clear" w:color="auto" w:fill="F5F5F5"/>
          </w:tcPr>
          <w:p>
            <w:r>
              <w:rPr>
                <w:b/>
                <w:sz w:val="17"/>
              </w:rPr>
              <w:t>UTAUT2</w:t>
              <w:br/>
              <w:t>(2012)</w:t>
            </w:r>
          </w:p>
        </w:tc>
        <w:tc>
          <w:tcPr>
            <w:tcW w:type="dxa" w:w="1813"/>
          </w:tcPr>
          <w:p>
            <w:r>
              <w:rPr>
                <w:sz w:val="17"/>
              </w:rPr>
              <w:t>None directly</w:t>
            </w:r>
          </w:p>
        </w:tc>
        <w:tc>
          <w:tcPr>
            <w:tcW w:type="dxa" w:w="1813"/>
          </w:tcPr>
          <w:p>
            <w:r>
              <w:rPr>
                <w:sz w:val="17"/>
              </w:rPr>
              <w:t>N/A</w:t>
            </w:r>
          </w:p>
        </w:tc>
        <w:tc>
          <w:tcPr>
            <w:tcW w:type="dxa" w:w="1813"/>
          </w:tcPr>
          <w:p>
            <w:r>
              <w:rPr>
                <w:sz w:val="17"/>
              </w:rPr>
              <w:t>HM, PV, HAB all excluded</w:t>
            </w:r>
          </w:p>
        </w:tc>
        <w:tc>
          <w:tcPr>
            <w:tcW w:type="dxa" w:w="1813"/>
          </w:tcPr>
          <w:p>
            <w:r>
              <w:rPr>
                <w:sz w:val="17"/>
              </w:rPr>
              <w:t>HM: co-occurrence k too low; PV: near-zero variance; HAB: structural inconsistency</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7. Inclusion Rationale: AI Anxiety (ANX) and Trust in AI (TRU)</w:t>
            </w:r>
          </w:p>
        </w:tc>
      </w:tr>
    </w:tbl>
    <w:p/>
    <w:p>
      <w:pPr>
        <w:spacing w:before="0" w:after="120"/>
      </w:pPr>
      <w:r>
        <w:rPr>
          <w:b w:val="0"/>
          <w:i w:val="0"/>
          <w:sz w:val="20"/>
          <w:u w:val="none"/>
        </w:rPr>
        <w:t>The two Tier 2 constructs -- AI Anxiety (ANX) and Trust in AI (TRU) -- occupy a theoretically distinct position in Model A. Unlike Tier 1 constructs, which are present in at least two major framework traditions, ANX and TRU are AI-specific constructs for which the theoretical rationale depends on the qualitative transformation of human-technology interaction when the technology is an autonomous agent rather than a passive tool. This section documents the multi-layered rationale for inclusion: (a) theoretical necessity, (b) non-redundancy with existing Tier 1 constructs, (c) AI-specific transformation of the construct's meaning, (d) empirical coverage, and (e) higher education contextual relevance.</w:t>
      </w:r>
    </w:p>
    <w:p>
      <w:pPr>
        <w:spacing w:before="120" w:after="40"/>
      </w:pPr>
      <w:r>
        <w:rPr>
          <w:b/>
          <w:i w:val="0"/>
          <w:color w:val="8B1A1A"/>
          <w:sz w:val="22"/>
          <w:u w:val="none"/>
        </w:rPr>
        <w:t>7.1  AI Anxiety (ANX)</w:t>
      </w:r>
    </w:p>
    <w:tbl>
      <w:tblPr>
        <w:tblStyle w:val="TableGrid"/>
        <w:tblW w:type="auto" w:w="0"/>
        <w:jc w:val="left"/>
        <w:tblLook w:firstColumn="1" w:firstRow="1" w:lastColumn="0" w:lastRow="0" w:noHBand="0" w:noVBand="1" w:val="04A0"/>
      </w:tblPr>
      <w:tblGrid>
        <w:gridCol w:w="2880"/>
        <w:gridCol w:w="6480"/>
      </w:tblGrid>
      <w:tr>
        <w:tc>
          <w:tcPr>
            <w:tcW w:type="dxa" w:w="4533"/>
            <w:shd w:val="clear" w:color="auto" w:fill="8B1A1A"/>
          </w:tcPr>
          <w:p>
            <w:r>
              <w:rPr>
                <w:b/>
                <w:color w:val="FFFFFF"/>
                <w:sz w:val="19"/>
              </w:rPr>
              <w:t>Rationale Dimension</w:t>
            </w:r>
          </w:p>
        </w:tc>
        <w:tc>
          <w:tcPr>
            <w:tcW w:type="dxa" w:w="4533"/>
            <w:shd w:val="clear" w:color="auto" w:fill="8B1A1A"/>
          </w:tcPr>
          <w:p>
            <w:r>
              <w:rPr>
                <w:b/>
                <w:color w:val="FFFFFF"/>
                <w:sz w:val="19"/>
              </w:rPr>
              <w:t>Elaboration</w:t>
            </w:r>
          </w:p>
        </w:tc>
      </w:tr>
      <w:tr>
        <w:tc>
          <w:tcPr>
            <w:tcW w:type="dxa" w:w="2880"/>
            <w:shd w:val="clear" w:color="auto" w:fill="FCE8E8"/>
          </w:tcPr>
          <w:p>
            <w:pPr>
              <w:spacing w:before="60" w:after="60"/>
            </w:pPr>
            <w:r>
              <w:rPr>
                <w:b/>
                <w:sz w:val="18"/>
              </w:rPr>
              <w:t>1. Theoretical necessity</w:t>
            </w:r>
          </w:p>
        </w:tc>
        <w:tc>
          <w:tcPr>
            <w:tcW w:type="dxa" w:w="6480"/>
          </w:tcPr>
          <w:p>
            <w:pPr>
              <w:spacing w:before="60" w:after="60"/>
            </w:pPr>
            <w:r>
              <w:rPr>
                <w:sz w:val="18"/>
              </w:rPr>
              <w:t>Standard technology acceptance models (TAM, UTAUT) include only positive motivational constructs (PE, EE, HM). They lack a systematic pathway for negative affective inhibition. Empirical AI adoption research consistently finds that negative emotional reactions suppress adoption even when utility beliefs are high -- a pattern that cannot be captured by low PE or low EE alone. ANX fills this structural gap as an affective inhibitory pathway acting on both ATT (evaluative appraisal) and BI (direct behavioral suppression).</w:t>
            </w:r>
          </w:p>
        </w:tc>
      </w:tr>
      <w:tr>
        <w:tc>
          <w:tcPr>
            <w:tcW w:type="dxa" w:w="2880"/>
            <w:shd w:val="clear" w:color="auto" w:fill="FCE8E8"/>
          </w:tcPr>
          <w:p>
            <w:pPr>
              <w:spacing w:before="60" w:after="60"/>
            </w:pPr>
            <w:r>
              <w:rPr>
                <w:b/>
                <w:sz w:val="18"/>
              </w:rPr>
              <w:t>2. Non-redundancy with</w:t>
              <w:br/>
              <w:t>Self-Efficacy (SE)</w:t>
            </w:r>
          </w:p>
        </w:tc>
        <w:tc>
          <w:tcPr>
            <w:tcW w:type="dxa" w:w="6480"/>
          </w:tcPr>
          <w:p>
            <w:pPr>
              <w:spacing w:before="60" w:after="60"/>
            </w:pPr>
            <w:r>
              <w:rPr>
                <w:sz w:val="18"/>
              </w:rPr>
              <w:t>SE and ANX are conceptually orthogonal dimensions: SE = 'I can do this' (capability belief, cognitive valence), ANX = 'This threatens me' (threat appraisal, affective valence). A user may simultaneously hold high SE (confidence in operating AI tools) and high ANX (fear of job displacement by AI). Compeau and Higgins (1995) reported r(computer self-efficacy, computer anxiety) = −.32 to −.41, confirming discriminant validity even for classic computer anxiety. AI anxiety scales show similar independence from SE measures in validation studies (Wang &amp; Wang, 2022).</w:t>
            </w:r>
          </w:p>
        </w:tc>
      </w:tr>
      <w:tr>
        <w:tc>
          <w:tcPr>
            <w:tcW w:type="dxa" w:w="2880"/>
            <w:shd w:val="clear" w:color="auto" w:fill="FCE8E8"/>
          </w:tcPr>
          <w:p>
            <w:pPr>
              <w:spacing w:before="60" w:after="60"/>
            </w:pPr>
            <w:r>
              <w:rPr>
                <w:b/>
                <w:sz w:val="18"/>
              </w:rPr>
              <w:t>3. Qualitative transformation</w:t>
              <w:br/>
              <w:t>in AI context</w:t>
            </w:r>
          </w:p>
        </w:tc>
        <w:tc>
          <w:tcPr>
            <w:tcW w:type="dxa" w:w="6480"/>
          </w:tcPr>
          <w:p>
            <w:pPr>
              <w:spacing w:before="60" w:after="60"/>
            </w:pPr>
            <w:r>
              <w:rPr>
                <w:sz w:val="18"/>
              </w:rPr>
              <w:t>Computer anxiety (Compeau &amp; Higgins, 1995) captures fear of task failure and embarrassment -- instrumental concerns about one's own performance. AI Anxiety extends this to existential and relational threat appraisals unique to autonomous agents: (a) job displacement anxiety (AI replacing human cognitive labor), (b) human uniqueness anxiety (AI diminishing the value of human thought), and (c) AI controllability anxiety (unpredictable AI behavior, loss of agency). Wang and Wang (2022) empirically validated these as a three-factor AI anxiety structure distinct from prior computer anxiety measures.</w:t>
            </w:r>
          </w:p>
        </w:tc>
      </w:tr>
      <w:tr>
        <w:tc>
          <w:tcPr>
            <w:tcW w:type="dxa" w:w="2880"/>
            <w:shd w:val="clear" w:color="auto" w:fill="FCE8E8"/>
          </w:tcPr>
          <w:p>
            <w:pPr>
              <w:spacing w:before="60" w:after="60"/>
            </w:pPr>
            <w:r>
              <w:rPr>
                <w:b/>
                <w:sz w:val="18"/>
              </w:rPr>
              <w:t>4. Higher education</w:t>
              <w:br/>
              <w:t>specificity</w:t>
            </w:r>
          </w:p>
        </w:tc>
        <w:tc>
          <w:tcPr>
            <w:tcW w:type="dxa" w:w="6480"/>
          </w:tcPr>
          <w:p>
            <w:pPr>
              <w:spacing w:before="60" w:after="60"/>
            </w:pPr>
            <w:r>
              <w:rPr>
                <w:sz w:val="18"/>
              </w:rPr>
              <w:t>In higher education, AI anxiety manifests in domain-specific forms absent in consumer or workplace adoption contexts: (a) academic integrity anxiety (fear of violating institutional norms by using AI for assessments), (b) cognitive offloading anxiety (concern that AI use atrophies critical thinking skills), and (c) evaluation displacement anxiety (AI grading or providing feedback on student work). These concerns are structurally present in the higher education corpus and represent construct content not captured by any Tier 1 construct.</w:t>
            </w:r>
          </w:p>
        </w:tc>
      </w:tr>
      <w:tr>
        <w:tc>
          <w:tcPr>
            <w:tcW w:type="dxa" w:w="2880"/>
            <w:shd w:val="clear" w:color="auto" w:fill="FCE8E8"/>
          </w:tcPr>
          <w:p>
            <w:pPr>
              <w:spacing w:before="60" w:after="60"/>
            </w:pPr>
            <w:r>
              <w:rPr>
                <w:b/>
                <w:sz w:val="18"/>
              </w:rPr>
              <w:t>5. Empirical coverage</w:t>
              <w:br/>
              <w:t>and structural position</w:t>
            </w:r>
          </w:p>
        </w:tc>
        <w:tc>
          <w:tcPr>
            <w:tcW w:type="dxa" w:w="6480"/>
          </w:tcPr>
          <w:p>
            <w:pPr>
              <w:spacing w:before="60" w:after="60"/>
            </w:pPr>
            <w:r>
              <w:rPr>
                <w:sz w:val="18"/>
              </w:rPr>
              <w:t>ANX appears in k = 40 studies (17.9% of corpus), satisfying the Tier 2 threshold. In primary studies, ANX occupies two structural positions: (a) ANX → ATT, where anxiety suppresses favorable attitude formation (parallel to TPB's negative PBC interpretation); and (b) ANX → BI direct, where anxiety bypasses attitudinal mediation and directly inhibits behavioral intention. Both pathways have sufficient cell coverage in the pooled correlation matrix for Stage 2 estimation.</w:t>
            </w:r>
          </w:p>
        </w:tc>
      </w:tr>
    </w:tbl>
    <w:p/>
    <w:tbl>
      <w:tblPr>
        <w:tblW w:type="auto" w:w="0"/>
        <w:tblLook w:firstColumn="1" w:firstRow="1" w:lastColumn="0" w:lastRow="0" w:noHBand="0" w:noVBand="1" w:val="04A0"/>
      </w:tblPr>
      <w:tblGrid>
        <w:gridCol w:w="9066"/>
      </w:tblGrid>
      <w:tr>
        <w:tc>
          <w:tcPr>
            <w:tcW w:type="dxa" w:w="9066"/>
            <w:shd w:val="clear" w:color="auto" w:fill="FDF2F2"/>
            <w:tcBorders>
              <w:top w:val="single" w:sz="4" w:color="CC4444"/>
              <w:left w:val="single" w:sz="4" w:color="CC4444"/>
              <w:bottom w:val="single" w:sz="4" w:color="CC4444"/>
              <w:right w:val="single" w:sz="4" w:color="CC4444"/>
            </w:tcBorders>
          </w:tcPr>
          <w:p>
            <w:pPr>
              <w:spacing w:before="60" w:after="60"/>
            </w:pPr>
            <w:r>
              <w:rPr>
                <w:b/>
                <w:i w:val="0"/>
                <w:color w:val="8B1A1A"/>
                <w:sz w:val="18"/>
                <w:u w:val="none"/>
              </w:rPr>
              <w:t xml:space="preserve">Primary citations for ANX:  </w:t>
            </w:r>
            <w:r>
              <w:rPr>
                <w:b w:val="0"/>
                <w:i w:val="0"/>
                <w:sz w:val="18"/>
                <w:u w:val="none"/>
              </w:rPr>
              <w:t>Compeau &amp; Higgins (1995) -- computer anxiety origin; Taylor &amp; Todd (1995) -- ANX as PBC sub-component; Wang &amp; Wang (2022) -- AI anxiety three-factor validation; Glikson &amp; Woolley (2020) -- autonomy-related threat appraisal in AI; Scherer et al. (2019) -- ANX in teacher technology adoption meta-analysis.</w:t>
            </w:r>
          </w:p>
        </w:tc>
      </w:tr>
    </w:tbl>
    <w:p/>
    <w:p>
      <w:pPr>
        <w:spacing w:before="120" w:after="40"/>
      </w:pPr>
      <w:r>
        <w:rPr>
          <w:b/>
          <w:i w:val="0"/>
          <w:color w:val="1A3A5C"/>
          <w:sz w:val="22"/>
          <w:u w:val="none"/>
        </w:rPr>
        <w:t>7.2  Trust in AI (TRU)</w:t>
      </w:r>
    </w:p>
    <w:tbl>
      <w:tblPr>
        <w:tblStyle w:val="TableGrid"/>
        <w:tblW w:type="auto" w:w="0"/>
        <w:jc w:val="left"/>
        <w:tblLook w:firstColumn="1" w:firstRow="1" w:lastColumn="0" w:lastRow="0" w:noHBand="0" w:noVBand="1" w:val="04A0"/>
      </w:tblPr>
      <w:tblGrid>
        <w:gridCol w:w="2880"/>
        <w:gridCol w:w="6480"/>
      </w:tblGrid>
      <w:tr>
        <w:tc>
          <w:tcPr>
            <w:tcW w:type="dxa" w:w="4533"/>
            <w:shd w:val="clear" w:color="auto" w:fill="1A3A5C"/>
          </w:tcPr>
          <w:p>
            <w:r>
              <w:rPr>
                <w:b/>
                <w:color w:val="FFFFFF"/>
                <w:sz w:val="19"/>
              </w:rPr>
              <w:t>Rationale Dimension</w:t>
            </w:r>
          </w:p>
        </w:tc>
        <w:tc>
          <w:tcPr>
            <w:tcW w:type="dxa" w:w="4533"/>
            <w:shd w:val="clear" w:color="auto" w:fill="1A3A5C"/>
          </w:tcPr>
          <w:p>
            <w:r>
              <w:rPr>
                <w:b/>
                <w:color w:val="FFFFFF"/>
                <w:sz w:val="19"/>
              </w:rPr>
              <w:t>Elaboration</w:t>
            </w:r>
          </w:p>
        </w:tc>
      </w:tr>
      <w:tr>
        <w:tc>
          <w:tcPr>
            <w:tcW w:type="dxa" w:w="2880"/>
            <w:shd w:val="clear" w:color="auto" w:fill="E8F0F8"/>
          </w:tcPr>
          <w:p>
            <w:pPr>
              <w:spacing w:before="60" w:after="60"/>
            </w:pPr>
            <w:r>
              <w:rPr>
                <w:b/>
                <w:sz w:val="18"/>
              </w:rPr>
              <w:t>1. Theoretical necessity:</w:t>
              <w:br/>
              <w:t>AI as autonomous agent</w:t>
            </w:r>
          </w:p>
        </w:tc>
        <w:tc>
          <w:tcPr>
            <w:tcW w:type="dxa" w:w="6480"/>
          </w:tcPr>
          <w:p>
            <w:pPr>
              <w:spacing w:before="60" w:after="60"/>
            </w:pPr>
            <w:r>
              <w:rPr>
                <w:sz w:val="18"/>
              </w:rPr>
              <w:t>Traditional IT acceptance models (TAM, UTAUT) conceptualize the technology as a passive instrument: the user performs a task using the tool. Trust in the tool's technical reliability (system trust) is subsumed within PE. AI systems fundamentally alter this relationship: the AI makes autonomous decisions, generates recommendations, evaluates outputs, and operates via opaque algorithms. The user must delegate cognitive judgment to the AI -- a relational act that activates trust as a distinct psychological construct (Glikson &amp; Woolley, 2020). No existing Tier 1 construct captures this delegation dynamic.</w:t>
            </w:r>
          </w:p>
        </w:tc>
      </w:tr>
      <w:tr>
        <w:tc>
          <w:tcPr>
            <w:tcW w:type="dxa" w:w="2880"/>
            <w:shd w:val="clear" w:color="auto" w:fill="E8F0F8"/>
          </w:tcPr>
          <w:p>
            <w:pPr>
              <w:spacing w:before="60" w:after="60"/>
            </w:pPr>
            <w:r>
              <w:rPr>
                <w:b/>
                <w:sz w:val="18"/>
              </w:rPr>
              <w:t>2. Non-redundancy with</w:t>
              <w:br/>
              <w:t>Performance Expectancy (PE)</w:t>
            </w:r>
          </w:p>
        </w:tc>
        <w:tc>
          <w:tcPr>
            <w:tcW w:type="dxa" w:w="6480"/>
          </w:tcPr>
          <w:p>
            <w:pPr>
              <w:spacing w:before="60" w:after="60"/>
            </w:pPr>
            <w:r>
              <w:rPr>
                <w:sz w:val="18"/>
              </w:rPr>
              <w:t>PE = 'AI will help me perform better' (instrumental utility expectation). TRU = 'AI is accurate, acts in my interest, and behaves transparently' (relational-dispositional belief). These are conceptually and empirically distinct: a student may believe an AI writing tool will improve their essay quality (high PE) while simultaneously doubting whether the AI's suggestions are unbiased or privacy-respecting (low TRU). Gefen et al. (2003) demonstrated that trust and perceived usefulness are discriminately valid even in high-PE contexts (r ≈ .40 to .50, HTMT well below .85). In AI contexts this distinction sharpens due to black-box opacity.</w:t>
            </w:r>
          </w:p>
        </w:tc>
      </w:tr>
      <w:tr>
        <w:tc>
          <w:tcPr>
            <w:tcW w:type="dxa" w:w="2880"/>
            <w:shd w:val="clear" w:color="auto" w:fill="E8F0F8"/>
          </w:tcPr>
          <w:p>
            <w:pPr>
              <w:spacing w:before="60" w:after="60"/>
            </w:pPr>
            <w:r>
              <w:rPr>
                <w:b/>
                <w:sz w:val="18"/>
              </w:rPr>
              <w:t>3. Multi-dimensional</w:t>
              <w:br/>
              <w:t>structure unique to AI</w:t>
            </w:r>
          </w:p>
        </w:tc>
        <w:tc>
          <w:tcPr>
            <w:tcW w:type="dxa" w:w="6480"/>
          </w:tcPr>
          <w:p>
            <w:pPr>
              <w:spacing w:before="60" w:after="60"/>
            </w:pPr>
            <w:r>
              <w:rPr>
                <w:sz w:val="18"/>
              </w:rPr>
              <w:t>Drawing from Mayer et al.'s (1995) integrative trust model, Trust in AI encompasses three qualitatively distinct sub-dimensions: (a) Competence trust -- belief that the AI is technically capable and accurate; (b) Benevolence trust -- belief that the AI acts in the user's interest, not the institution's or developer's; and (c) Integrity trust -- belief that the AI operates transparently and according to accepted norms. Siau and Wang (2018) argue that all three dimensions are necessary for AI adoption, and that benevolence and integrity trust are particularly salient for AI because users cannot inspect the decision process.</w:t>
            </w:r>
          </w:p>
        </w:tc>
      </w:tr>
      <w:tr>
        <w:tc>
          <w:tcPr>
            <w:tcW w:type="dxa" w:w="2880"/>
            <w:shd w:val="clear" w:color="auto" w:fill="E8F0F8"/>
          </w:tcPr>
          <w:p>
            <w:pPr>
              <w:spacing w:before="60" w:after="60"/>
            </w:pPr>
            <w:r>
              <w:rPr>
                <w:b/>
                <w:sz w:val="18"/>
              </w:rPr>
              <w:t>4. Higher education</w:t>
              <w:br/>
              <w:t>specificity</w:t>
            </w:r>
          </w:p>
        </w:tc>
        <w:tc>
          <w:tcPr>
            <w:tcW w:type="dxa" w:w="6480"/>
          </w:tcPr>
          <w:p>
            <w:pPr>
              <w:spacing w:before="60" w:after="60"/>
            </w:pPr>
            <w:r>
              <w:rPr>
                <w:sz w:val="18"/>
              </w:rPr>
              <w:t>In higher education AI adoption, TRU operates through institution-mediated pathways not present in consumer contexts: (a) AI academic integrity trust (will AI systems fairly detect plagiarism or enable it?); (b) AI grading trust (are AI-generated feedback scores valid and fair?); (c) AI tutoring trust (does the AI provide pedagogically sound guidance?). Students must trust AI not only as a tool but as a quasi-evaluative authority -- a relational posture unique to educational settings. This context specificity justifies TRU's inclusion in the higher education MASEM even if it would be lower priority in a general consumer technology review.</w:t>
            </w:r>
          </w:p>
        </w:tc>
      </w:tr>
      <w:tr>
        <w:tc>
          <w:tcPr>
            <w:tcW w:type="dxa" w:w="2880"/>
            <w:shd w:val="clear" w:color="auto" w:fill="E8F0F8"/>
          </w:tcPr>
          <w:p>
            <w:pPr>
              <w:spacing w:before="60" w:after="60"/>
            </w:pPr>
            <w:r>
              <w:rPr>
                <w:b/>
                <w:sz w:val="18"/>
              </w:rPr>
              <w:t>5. Empirical coverage</w:t>
              <w:br/>
              <w:t>and structural position</w:t>
            </w:r>
          </w:p>
        </w:tc>
        <w:tc>
          <w:tcPr>
            <w:tcW w:type="dxa" w:w="6480"/>
          </w:tcPr>
          <w:p>
            <w:pPr>
              <w:spacing w:before="60" w:after="60"/>
            </w:pPr>
            <w:r>
              <w:rPr>
                <w:sz w:val="18"/>
              </w:rPr>
              <w:t>TRU appears in k = 36 studies (16.1% of corpus), satisfying the Tier 2 threshold. Across primary studies, TRU consistently occupies the structural position of a direct BI antecedent (TRU → BI), operating alongside PE/EE-mediated pathways. This direct effect persists after controlling for PE and ATT in most primary studies, indicating that TRU captures adoption motivation not reducible to utility beliefs. The TRU-ANX negative correlation (r ≈ −.30 to −.50 in the corpus) provides additional discriminant validity evidence between the two AI-specific constructs.</w:t>
            </w:r>
          </w:p>
        </w:tc>
      </w:tr>
    </w:tbl>
    <w:p/>
    <w:tbl>
      <w:tblPr>
        <w:tblW w:type="auto" w:w="0"/>
        <w:tblLook w:firstColumn="1" w:firstRow="1" w:lastColumn="0" w:lastRow="0" w:noHBand="0" w:noVBand="1" w:val="04A0"/>
      </w:tblPr>
      <w:tblGrid>
        <w:gridCol w:w="9066"/>
      </w:tblGrid>
      <w:tr>
        <w:tc>
          <w:tcPr>
            <w:tcW w:type="dxa" w:w="9066"/>
            <w:shd w:val="clear" w:color="auto" w:fill="E8F5E9"/>
            <w:tcBorders>
              <w:top w:val="single" w:sz="4" w:color="2E7D32"/>
              <w:left w:val="single" w:sz="4" w:color="2E7D32"/>
              <w:bottom w:val="single" w:sz="4" w:color="2E7D32"/>
              <w:right w:val="single" w:sz="4" w:color="2E7D32"/>
            </w:tcBorders>
          </w:tcPr>
          <w:p>
            <w:pPr>
              <w:spacing w:before="60" w:after="60"/>
            </w:pPr>
            <w:r>
              <w:rPr>
                <w:b/>
                <w:i w:val="0"/>
                <w:color w:val="1A5C2A"/>
                <w:sz w:val="18"/>
                <w:u w:val="none"/>
              </w:rPr>
              <w:t xml:space="preserve">Primary citations for TRU:  </w:t>
            </w:r>
            <w:r>
              <w:rPr>
                <w:b w:val="0"/>
                <w:i w:val="0"/>
                <w:sz w:val="18"/>
                <w:u w:val="none"/>
              </w:rPr>
              <w:t>Mayer et al. (1995) -- integrative trust model (competence, benevolence, integrity); Gefen et al. (2003) -- trust and TAM discriminant validity in online contexts; Glikson &amp; Woolley (2020) -- human trust in AI systems review; Siau &amp; Wang (2018) -- building trust in AI; McKnight et al. (2002) -- trust typology in e-commerce.</w:t>
            </w:r>
          </w:p>
        </w:tc>
      </w:tr>
    </w:tbl>
    <w:p/>
    <w:p>
      <w:pPr>
        <w:spacing w:before="80" w:after="40"/>
      </w:pPr>
      <w:r>
        <w:rPr>
          <w:b/>
          <w:i w:val="0"/>
          <w:color w:val="123456"/>
          <w:sz w:val="21"/>
          <w:u w:val="none"/>
        </w:rPr>
        <w:t>7.3  Construct Boundary Summary: ANX and TRU vs. Adjacent Tier 1 Constructs</w:t>
      </w:r>
    </w:p>
    <w:p>
      <w:pPr>
        <w:spacing w:before="0" w:after="80"/>
      </w:pPr>
      <w:r>
        <w:rPr>
          <w:b w:val="0"/>
          <w:i w:val="0"/>
          <w:sz w:val="19"/>
          <w:u w:val="none"/>
        </w:rPr>
        <w:t>A necessary condition for including ANX and TRU is demonstrating that they are not operationally redundant with existing Tier 1 constructs. Table 2 maps each AI-specific construct against its nearest Tier 1 neighbor along four dimensions.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3A5C"/>
          </w:tcPr>
          <w:p>
            <w:r>
              <w:rPr>
                <w:b/>
                <w:color w:val="FFFFFF"/>
                <w:sz w:val="17"/>
              </w:rPr>
              <w:t>Dimension</w:t>
            </w:r>
          </w:p>
        </w:tc>
        <w:tc>
          <w:tcPr>
            <w:tcW w:type="dxa" w:w="1813"/>
            <w:shd w:val="clear" w:color="auto" w:fill="1A3A5C"/>
          </w:tcPr>
          <w:p>
            <w:r>
              <w:rPr>
                <w:b/>
                <w:color w:val="FFFFFF"/>
                <w:sz w:val="17"/>
              </w:rPr>
              <w:t>AI Anxiety (ANX)</w:t>
            </w:r>
          </w:p>
        </w:tc>
        <w:tc>
          <w:tcPr>
            <w:tcW w:type="dxa" w:w="1813"/>
            <w:shd w:val="clear" w:color="auto" w:fill="1A3A5C"/>
          </w:tcPr>
          <w:p>
            <w:r>
              <w:rPr>
                <w:b/>
                <w:color w:val="FFFFFF"/>
                <w:sz w:val="17"/>
              </w:rPr>
              <w:t>Self-Efficacy (SE)</w:t>
              <w:br/>
              <w:t>[nearest neighbor]</w:t>
            </w:r>
          </w:p>
        </w:tc>
        <w:tc>
          <w:tcPr>
            <w:tcW w:type="dxa" w:w="1813"/>
            <w:shd w:val="clear" w:color="auto" w:fill="1A3A5C"/>
          </w:tcPr>
          <w:p>
            <w:r>
              <w:rPr>
                <w:b/>
                <w:color w:val="FFFFFF"/>
                <w:sz w:val="17"/>
              </w:rPr>
              <w:t>Trust in AI (TRU)</w:t>
            </w:r>
          </w:p>
        </w:tc>
        <w:tc>
          <w:tcPr>
            <w:tcW w:type="dxa" w:w="1813"/>
            <w:shd w:val="clear" w:color="auto" w:fill="1A3A5C"/>
          </w:tcPr>
          <w:p>
            <w:r>
              <w:rPr>
                <w:b/>
                <w:color w:val="FFFFFF"/>
                <w:sz w:val="17"/>
              </w:rPr>
              <w:t>Performance Expectancy (PE)</w:t>
              <w:br/>
              <w:t>[nearest neighbor]</w:t>
            </w:r>
          </w:p>
        </w:tc>
      </w:tr>
      <w:tr>
        <w:tc>
          <w:tcPr>
            <w:tcW w:type="dxa" w:w="1813"/>
            <w:shd w:val="clear" w:color="auto" w:fill="E8F0F8"/>
          </w:tcPr>
          <w:p>
            <w:r>
              <w:rPr>
                <w:b/>
                <w:sz w:val="17"/>
              </w:rPr>
              <w:t>Psychological</w:t>
              <w:br/>
              <w:t>process</w:t>
            </w:r>
          </w:p>
        </w:tc>
        <w:tc>
          <w:tcPr>
            <w:tcW w:type="dxa" w:w="1813"/>
          </w:tcPr>
          <w:p>
            <w:r>
              <w:rPr>
                <w:sz w:val="17"/>
              </w:rPr>
              <w:t>Affective threat appraisal</w:t>
              <w:br/>
              <w:t>(negative emotion)</w:t>
            </w:r>
          </w:p>
        </w:tc>
        <w:tc>
          <w:tcPr>
            <w:tcW w:type="dxa" w:w="1813"/>
          </w:tcPr>
          <w:p>
            <w:r>
              <w:rPr>
                <w:sz w:val="17"/>
              </w:rPr>
              <w:t>Cognitive capability belief</w:t>
              <w:br/>
              <w:t>(positive cognition)</w:t>
            </w:r>
          </w:p>
        </w:tc>
        <w:tc>
          <w:tcPr>
            <w:tcW w:type="dxa" w:w="1813"/>
          </w:tcPr>
          <w:p>
            <w:r>
              <w:rPr>
                <w:sz w:val="17"/>
              </w:rPr>
              <w:t>Relational disposition toward AI</w:t>
              <w:br/>
              <w:t>(cognitive + affective)</w:t>
            </w:r>
          </w:p>
        </w:tc>
        <w:tc>
          <w:tcPr>
            <w:tcW w:type="dxa" w:w="1813"/>
          </w:tcPr>
          <w:p>
            <w:r>
              <w:rPr>
                <w:sz w:val="17"/>
              </w:rPr>
              <w:t>Instrumental outcome expectation</w:t>
              <w:br/>
              <w:t>(cognitive)</w:t>
            </w:r>
          </w:p>
        </w:tc>
      </w:tr>
      <w:tr>
        <w:tc>
          <w:tcPr>
            <w:tcW w:type="dxa" w:w="1813"/>
            <w:shd w:val="clear" w:color="auto" w:fill="F5F5F5"/>
          </w:tcPr>
          <w:p>
            <w:r>
              <w:rPr>
                <w:b/>
                <w:sz w:val="17"/>
              </w:rPr>
              <w:t>Valence</w:t>
            </w:r>
          </w:p>
        </w:tc>
        <w:tc>
          <w:tcPr>
            <w:tcW w:type="dxa" w:w="1813"/>
          </w:tcPr>
          <w:p>
            <w:r>
              <w:rPr>
                <w:sz w:val="17"/>
              </w:rPr>
              <w:t>Negative (inhibitory)</w:t>
            </w:r>
          </w:p>
        </w:tc>
        <w:tc>
          <w:tcPr>
            <w:tcW w:type="dxa" w:w="1813"/>
          </w:tcPr>
          <w:p>
            <w:r>
              <w:rPr>
                <w:sz w:val="17"/>
              </w:rPr>
              <w:t>Positive (enabling)</w:t>
            </w:r>
          </w:p>
        </w:tc>
        <w:tc>
          <w:tcPr>
            <w:tcW w:type="dxa" w:w="1813"/>
          </w:tcPr>
          <w:p>
            <w:r>
              <w:rPr>
                <w:sz w:val="17"/>
              </w:rPr>
              <w:t>Positive (enabling) when high;</w:t>
              <w:br/>
              <w:t>Negative when low</w:t>
            </w:r>
          </w:p>
        </w:tc>
        <w:tc>
          <w:tcPr>
            <w:tcW w:type="dxa" w:w="1813"/>
          </w:tcPr>
          <w:p>
            <w:r>
              <w:rPr>
                <w:sz w:val="17"/>
              </w:rPr>
              <w:t>Positive (enabling)</w:t>
            </w:r>
          </w:p>
        </w:tc>
      </w:tr>
      <w:tr>
        <w:tc>
          <w:tcPr>
            <w:tcW w:type="dxa" w:w="1813"/>
            <w:shd w:val="clear" w:color="auto" w:fill="E8F0F8"/>
          </w:tcPr>
          <w:p>
            <w:r>
              <w:rPr>
                <w:b/>
                <w:sz w:val="17"/>
              </w:rPr>
              <w:t>Object of</w:t>
              <w:br/>
              <w:t>evaluation</w:t>
            </w:r>
          </w:p>
        </w:tc>
        <w:tc>
          <w:tcPr>
            <w:tcW w:type="dxa" w:w="1813"/>
          </w:tcPr>
          <w:p>
            <w:r>
              <w:rPr>
                <w:sz w:val="17"/>
              </w:rPr>
              <w:t>The AI as existential /</w:t>
              <w:br/>
              <w:t>existential threat</w:t>
            </w:r>
          </w:p>
        </w:tc>
        <w:tc>
          <w:tcPr>
            <w:tcW w:type="dxa" w:w="1813"/>
          </w:tcPr>
          <w:p>
            <w:r>
              <w:rPr>
                <w:sz w:val="17"/>
              </w:rPr>
              <w:t>The self's capability</w:t>
              <w:br/>
              <w:t>to use AI</w:t>
            </w:r>
          </w:p>
        </w:tc>
        <w:tc>
          <w:tcPr>
            <w:tcW w:type="dxa" w:w="1813"/>
          </w:tcPr>
          <w:p>
            <w:r>
              <w:rPr>
                <w:sz w:val="17"/>
              </w:rPr>
              <w:t>The AI's character</w:t>
              <w:br/>
              <w:t>(competence, benevolence, integrity)</w:t>
            </w:r>
          </w:p>
        </w:tc>
        <w:tc>
          <w:tcPr>
            <w:tcW w:type="dxa" w:w="1813"/>
          </w:tcPr>
          <w:p>
            <w:r>
              <w:rPr>
                <w:sz w:val="17"/>
              </w:rPr>
              <w:t>The AI's instrumental</w:t>
              <w:br/>
              <w:t>outcome for the user</w:t>
            </w:r>
          </w:p>
        </w:tc>
      </w:tr>
      <w:tr>
        <w:tc>
          <w:tcPr>
            <w:tcW w:type="dxa" w:w="1813"/>
            <w:shd w:val="clear" w:color="auto" w:fill="F5F5F5"/>
          </w:tcPr>
          <w:p>
            <w:r>
              <w:rPr>
                <w:b/>
                <w:sz w:val="17"/>
              </w:rPr>
              <w:t>Structural</w:t>
              <w:br/>
              <w:t>position</w:t>
            </w:r>
          </w:p>
        </w:tc>
        <w:tc>
          <w:tcPr>
            <w:tcW w:type="dxa" w:w="1813"/>
          </w:tcPr>
          <w:p>
            <w:r>
              <w:rPr>
                <w:sz w:val="17"/>
              </w:rPr>
              <w:t>ANX → ATT; ANX → BI</w:t>
              <w:br/>
              <w:t>(inhibitory dual pathway)</w:t>
            </w:r>
          </w:p>
        </w:tc>
        <w:tc>
          <w:tcPr>
            <w:tcW w:type="dxa" w:w="1813"/>
          </w:tcPr>
          <w:p>
            <w:r>
              <w:rPr>
                <w:sz w:val="17"/>
              </w:rPr>
              <w:t>SE → BI</w:t>
              <w:br/>
              <w:t>(direct enabling)</w:t>
            </w:r>
          </w:p>
        </w:tc>
        <w:tc>
          <w:tcPr>
            <w:tcW w:type="dxa" w:w="1813"/>
          </w:tcPr>
          <w:p>
            <w:r>
              <w:rPr>
                <w:sz w:val="17"/>
              </w:rPr>
              <w:t>TRU → BI</w:t>
              <w:br/>
              <w:t>(direct enabling)</w:t>
            </w:r>
          </w:p>
        </w:tc>
        <w:tc>
          <w:tcPr>
            <w:tcW w:type="dxa" w:w="1813"/>
          </w:tcPr>
          <w:p>
            <w:r>
              <w:rPr>
                <w:sz w:val="17"/>
              </w:rPr>
              <w:t>PE → ATT → BI</w:t>
              <w:br/>
              <w:t>(belief-attitude chain)</w:t>
            </w:r>
          </w:p>
        </w:tc>
      </w:tr>
      <w:tr>
        <w:tc>
          <w:tcPr>
            <w:tcW w:type="dxa" w:w="1813"/>
            <w:shd w:val="clear" w:color="auto" w:fill="E8F0F8"/>
          </w:tcPr>
          <w:p>
            <w:r>
              <w:rPr>
                <w:b/>
                <w:sz w:val="17"/>
              </w:rPr>
              <w:t>Expected r with</w:t>
              <w:br/>
              <w:t>adjacent construct</w:t>
            </w:r>
          </w:p>
        </w:tc>
        <w:tc>
          <w:tcPr>
            <w:tcW w:type="dxa" w:w="1813"/>
          </w:tcPr>
          <w:p>
            <w:r>
              <w:rPr>
                <w:sz w:val="17"/>
              </w:rPr>
              <w:t>r(ANX, SE) = −.30 to −.45</w:t>
              <w:br/>
              <w:t>(distinct, weakly negative)</w:t>
            </w:r>
          </w:p>
        </w:tc>
        <w:tc>
          <w:tcPr>
            <w:tcW w:type="dxa" w:w="1813"/>
          </w:tcPr>
          <w:p>
            <w:r>
              <w:rPr>
                <w:sz w:val="17"/>
              </w:rPr>
              <w:t>[reference point]</w:t>
            </w:r>
          </w:p>
        </w:tc>
        <w:tc>
          <w:tcPr>
            <w:tcW w:type="dxa" w:w="1813"/>
          </w:tcPr>
          <w:p>
            <w:r>
              <w:rPr>
                <w:sz w:val="17"/>
              </w:rPr>
              <w:t>r(TRU, PE) = .40 to .55</w:t>
              <w:br/>
              <w:t>(related but discriminate)</w:t>
            </w:r>
          </w:p>
        </w:tc>
        <w:tc>
          <w:tcPr>
            <w:tcW w:type="dxa" w:w="1813"/>
          </w:tcPr>
          <w:p>
            <w:r>
              <w:rPr>
                <w:sz w:val="17"/>
              </w:rPr>
              <w:t>[reference point]</w:t>
            </w:r>
          </w:p>
        </w:tc>
      </w:tr>
      <w:tr>
        <w:tc>
          <w:tcPr>
            <w:tcW w:type="dxa" w:w="1813"/>
            <w:shd w:val="clear" w:color="auto" w:fill="F5F5F5"/>
          </w:tcPr>
          <w:p>
            <w:r>
              <w:rPr>
                <w:b/>
                <w:sz w:val="17"/>
              </w:rPr>
              <w:t>AI-specific</w:t>
              <w:br/>
              <w:t>transformation</w:t>
            </w:r>
          </w:p>
        </w:tc>
        <w:tc>
          <w:tcPr>
            <w:tcW w:type="dxa" w:w="1813"/>
          </w:tcPr>
          <w:p>
            <w:r>
              <w:rPr>
                <w:sz w:val="17"/>
              </w:rPr>
              <w:t>Existential threat beyond</w:t>
              <w:br/>
              <w:t>task-level computer anxiety</w:t>
            </w:r>
          </w:p>
        </w:tc>
        <w:tc>
          <w:tcPr>
            <w:tcW w:type="dxa" w:w="1813"/>
          </w:tcPr>
          <w:p>
            <w:r>
              <w:rPr>
                <w:sz w:val="17"/>
              </w:rPr>
              <w:t>Transfers from computer</w:t>
              <w:br/>
              <w:t>self-efficacy with AI-specific items</w:t>
            </w:r>
          </w:p>
        </w:tc>
        <w:tc>
          <w:tcPr>
            <w:tcW w:type="dxa" w:w="1813"/>
          </w:tcPr>
          <w:p>
            <w:r>
              <w:rPr>
                <w:sz w:val="17"/>
              </w:rPr>
              <w:t>Delegation to autonomous</w:t>
              <w:br/>
              <w:t>agent (not tool reliability)</w:t>
            </w:r>
          </w:p>
        </w:tc>
        <w:tc>
          <w:tcPr>
            <w:tcW w:type="dxa" w:w="1813"/>
          </w:tcPr>
          <w:p>
            <w:r>
              <w:rPr>
                <w:sz w:val="17"/>
              </w:rPr>
              <w:t>Performance in AI-mediated</w:t>
              <w:br/>
              <w:t>tasks (largely unchanged)</w:t>
            </w:r>
          </w:p>
        </w:tc>
      </w:tr>
    </w:tbl>
    <w:p/>
    <w:tbl>
      <w:tblPr>
        <w:tblW w:type="auto" w:w="0"/>
        <w:tblLook w:firstColumn="1" w:firstRow="1" w:lastColumn="0" w:lastRow="0" w:noHBand="0" w:noVBand="1" w:val="04A0"/>
      </w:tblPr>
      <w:tblGrid>
        <w:gridCol w:w="9066"/>
      </w:tblGrid>
      <w:tr>
        <w:tc>
          <w:tcPr>
            <w:tcW w:type="dxa" w:w="9066"/>
            <w:shd w:val="clear" w:color="auto" w:fill="F0F4FF"/>
            <w:tcBorders>
              <w:top w:val="single" w:sz="4" w:color="3366AA"/>
              <w:left w:val="single" w:sz="4" w:color="3366AA"/>
              <w:bottom w:val="single" w:sz="4" w:color="3366AA"/>
              <w:right w:val="single" w:sz="4" w:color="3366AA"/>
            </w:tcBorders>
          </w:tcPr>
          <w:p>
            <w:pPr>
              <w:spacing w:before="80"/>
            </w:pPr>
            <w:r>
              <w:rPr>
                <w:b/>
                <w:i w:val="0"/>
                <w:color w:val="1A3A5C"/>
                <w:sz w:val="19"/>
                <w:u w:val="none"/>
              </w:rPr>
              <w:t>Inclusion criteria met by both ANX and TRU (Cheung, 2015; Jak &amp; Cheung, 2020):</w:t>
            </w:r>
          </w:p>
          <w:p>
            <w:pPr>
              <w:spacing w:after="40"/>
              <w:ind w:left="280"/>
            </w:pPr>
            <w:r>
              <w:rPr>
                <w:b/>
                <w:i w:val="0"/>
                <w:color w:val="1A3A5C"/>
                <w:sz w:val="18"/>
                <w:u w:val="none"/>
              </w:rPr>
              <w:t xml:space="preserve">Theoretical relevance: </w:t>
            </w:r>
            <w:r>
              <w:rPr>
                <w:b w:val="0"/>
                <w:i w:val="0"/>
                <w:sz w:val="18"/>
                <w:u w:val="none"/>
              </w:rPr>
              <w:t>Both occupy well-defined and consistent structural positions across the corpus. ANX is a consistent inhibitory pathway; TRU is a consistent enabling direct pathway to BI.</w:t>
            </w:r>
          </w:p>
          <w:p>
            <w:pPr>
              <w:spacing w:after="40"/>
              <w:ind w:left="280"/>
            </w:pPr>
            <w:r>
              <w:rPr>
                <w:b/>
                <w:i w:val="0"/>
                <w:color w:val="1A3A5C"/>
                <w:sz w:val="18"/>
                <w:u w:val="none"/>
              </w:rPr>
              <w:t xml:space="preserve">Empirical coverage: </w:t>
            </w:r>
            <w:r>
              <w:rPr>
                <w:b w:val="0"/>
                <w:i w:val="0"/>
                <w:sz w:val="18"/>
                <w:u w:val="none"/>
              </w:rPr>
              <w:t>ANX: k = 40 studies; TRU: k = 36 studies. All associated matrix cells meet k &gt;= 3 minimum; most core cells (ANX-BI, TRU-BI) meet the k &gt;= 10 stable estimation target.</w:t>
            </w:r>
          </w:p>
          <w:p>
            <w:pPr>
              <w:spacing w:after="40"/>
              <w:ind w:left="280"/>
            </w:pPr>
            <w:r>
              <w:rPr>
                <w:b/>
                <w:i w:val="0"/>
                <w:color w:val="1A3A5C"/>
                <w:sz w:val="18"/>
                <w:u w:val="none"/>
              </w:rPr>
              <w:t xml:space="preserve">Construct equivalence: </w:t>
            </w:r>
            <w:r>
              <w:rPr>
                <w:b w:val="0"/>
                <w:i w:val="0"/>
                <w:sz w:val="18"/>
                <w:u w:val="none"/>
              </w:rPr>
              <w:t>ANX items across studies consistently reference affective inhibition toward AI use. TRU items consistently reference dispositional reliance on AI accuracy and benevolence. Operationalization is sufficiently homogeneous across primary studies to justify pooling.</w:t>
            </w:r>
          </w:p>
          <w:p>
            <w:pPr>
              <w:spacing w:after="40"/>
              <w:ind w:left="280"/>
            </w:pPr>
            <w:r>
              <w:rPr>
                <w:b/>
                <w:i w:val="0"/>
                <w:color w:val="1A3A5C"/>
                <w:sz w:val="18"/>
                <w:u w:val="none"/>
              </w:rPr>
              <w:t xml:space="preserve">Non-redundancy: </w:t>
            </w:r>
            <w:r>
              <w:rPr>
                <w:b w:val="0"/>
                <w:i w:val="0"/>
                <w:sz w:val="18"/>
                <w:u w:val="none"/>
              </w:rPr>
              <w:t>ANX is not reducible to low SE (orthogonal psychological dimensions). TRU is not reducible to high PE (discriminant validity demonstrated in adjacent literature).</w:t>
            </w:r>
          </w:p>
          <w:p>
            <w:pPr>
              <w:spacing w:after="80"/>
            </w:pP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80" w:after="80"/>
              <w:jc w:val="left"/>
            </w:pPr>
            <w:r>
              <w:rPr>
                <w:b/>
                <w:color w:val="FFFFFF"/>
                <w:sz w:val="26"/>
              </w:rPr>
              <w:t>References</w:t>
            </w:r>
          </w:p>
        </w:tc>
      </w:tr>
    </w:tbl>
    <w:p/>
    <w:p>
      <w:pPr>
        <w:spacing w:after="80"/>
        <w:ind w:left="560" w:hanging="560"/>
      </w:pPr>
      <w:r>
        <w:rPr>
          <w:b w:val="0"/>
          <w:i w:val="0"/>
          <w:sz w:val="18"/>
          <w:u w:val="none"/>
        </w:rPr>
        <w:t>Ajzen, I. (1991). The theory of planned behavior. Organizational Behavior and Human Decision Processes, 50(2), 179–211. https://doi.org/10.1016/0749-5978(91)90020-T</w:t>
      </w:r>
    </w:p>
    <w:p>
      <w:pPr>
        <w:spacing w:after="80"/>
        <w:ind w:left="560" w:hanging="560"/>
      </w:pPr>
      <w:r>
        <w:rPr>
          <w:b w:val="0"/>
          <w:i w:val="0"/>
          <w:sz w:val="18"/>
          <w:u w:val="none"/>
        </w:rPr>
        <w:t>Bandura, A. (1977). Self-efficacy: Toward a unifying theory of behavioral change. Psychological Review, 84(2), 191–215. https://doi.org/10.1037/0033-295X.84.2.191</w:t>
      </w:r>
    </w:p>
    <w:p>
      <w:pPr>
        <w:spacing w:after="80"/>
        <w:ind w:left="560" w:hanging="560"/>
      </w:pPr>
      <w:r>
        <w:rPr>
          <w:b w:val="0"/>
          <w:i w:val="0"/>
          <w:sz w:val="18"/>
          <w:u w:val="none"/>
        </w:rPr>
        <w:t>Compeau, D. R., &amp; Higgins, C. A. (1995). Computer self-efficacy: Development of a measure and initial test. MIS Quarterly, 19(2), 189–211. https://doi.org/10.2307/249688</w:t>
      </w:r>
    </w:p>
    <w:p>
      <w:pPr>
        <w:spacing w:after="80"/>
        <w:ind w:left="560" w:hanging="560"/>
      </w:pPr>
      <w:r>
        <w:rPr>
          <w:b w:val="0"/>
          <w:i w:val="0"/>
          <w:sz w:val="18"/>
          <w:u w:val="none"/>
        </w:rPr>
        <w:t>Davis, F. D. (1989). Perceived usefulness, perceived ease of use, and user acceptance of information technology. MIS Quarterly, 13(3), 319–340. https://doi.org/10.2307/249008</w:t>
      </w:r>
    </w:p>
    <w:p>
      <w:pPr>
        <w:spacing w:after="80"/>
        <w:ind w:left="560" w:hanging="560"/>
      </w:pPr>
      <w:r>
        <w:rPr>
          <w:b w:val="0"/>
          <w:i w:val="0"/>
          <w:sz w:val="18"/>
          <w:u w:val="none"/>
        </w:rPr>
        <w:t>Davis, F. D., Bagozzi, R. P., &amp; Warshaw, P. R. (1992). Extrinsic and intrinsic motivation to use computers in the workplace. Journal of Applied Social Psychology, 22(14), 1111–1132. https://doi.org/10.1111/j.1559-1816.1992.tb00945.x</w:t>
      </w:r>
    </w:p>
    <w:p>
      <w:pPr>
        <w:spacing w:after="80"/>
        <w:ind w:left="560" w:hanging="560"/>
      </w:pPr>
      <w:r>
        <w:rPr>
          <w:b w:val="0"/>
          <w:i w:val="0"/>
          <w:sz w:val="18"/>
          <w:u w:val="none"/>
        </w:rPr>
        <w:t>Fishbein, M., &amp; Ajzen, I. (1975). Belief, attitude, intention and behavior: An introduction to theory and research. Addison-Wesley.</w:t>
      </w:r>
    </w:p>
    <w:p>
      <w:pPr>
        <w:spacing w:after="80"/>
        <w:ind w:left="560" w:hanging="560"/>
      </w:pPr>
      <w:r>
        <w:rPr>
          <w:b w:val="0"/>
          <w:i w:val="0"/>
          <w:sz w:val="18"/>
          <w:u w:val="none"/>
        </w:rPr>
        <w:t>Gefen, D., Karahanna, E., &amp; Straub, D. W. (2003). Trust and TAM in online shopping: An integrated model. MIS Quarterly, 27(1), 51–90. https://doi.org/10.2307/30036519</w:t>
      </w:r>
    </w:p>
    <w:p>
      <w:pPr>
        <w:spacing w:after="80"/>
        <w:ind w:left="560" w:hanging="560"/>
      </w:pPr>
      <w:r>
        <w:rPr>
          <w:b w:val="0"/>
          <w:i w:val="0"/>
          <w:sz w:val="18"/>
          <w:u w:val="none"/>
        </w:rPr>
        <w:t>Glikson, E., &amp; Woolley, A. W. (2020). Human trust in artificial intelligence: Review of empirical research. Academy of Management Annals, 14(2), 627–660. https://doi.org/10.5465/annals.2018.0057</w:t>
      </w:r>
    </w:p>
    <w:p>
      <w:pPr>
        <w:spacing w:after="80"/>
        <w:ind w:left="560" w:hanging="560"/>
      </w:pPr>
      <w:r>
        <w:rPr>
          <w:b w:val="0"/>
          <w:i w:val="0"/>
          <w:sz w:val="18"/>
          <w:u w:val="none"/>
        </w:rPr>
        <w:t>Mayer, R. C., Davis, J. H., &amp; Schoorman, F. D. (1995). An integrative model of organizational trust. Academy of Management Review, 20(3), 709–734. https://doi.org/10.2307/258792</w:t>
      </w:r>
    </w:p>
    <w:p>
      <w:pPr>
        <w:spacing w:after="80"/>
        <w:ind w:left="560" w:hanging="560"/>
      </w:pPr>
      <w:r>
        <w:rPr>
          <w:b w:val="0"/>
          <w:i w:val="0"/>
          <w:sz w:val="18"/>
          <w:u w:val="none"/>
        </w:rPr>
        <w:t>McKnight, D. H., Choudhury, V., &amp; Kacmar, C. (2002). Developing and validating trust measures for e-commerce: An integrative typology. Information Systems Research, 13(3), 334–359. https://doi.org/10.1287/isre.13.3.334.81</w:t>
      </w:r>
    </w:p>
    <w:p>
      <w:pPr>
        <w:spacing w:after="80"/>
        <w:ind w:left="560" w:hanging="560"/>
      </w:pPr>
      <w:r>
        <w:rPr>
          <w:b w:val="0"/>
          <w:i w:val="0"/>
          <w:sz w:val="18"/>
          <w:u w:val="none"/>
        </w:rPr>
        <w:t>Scherer, R., Siddiq, F., &amp; Tondeur, J. (2019). The technology acceptance model (TAM): A meta-analytic structural equation modeling approach to explaining teachers' adoption of digital technology in education. Computers &amp; Education, 128, 13–35. https://doi.org/10.1016/j.compedu.2018.09.009</w:t>
      </w:r>
    </w:p>
    <w:p>
      <w:pPr>
        <w:spacing w:after="80"/>
        <w:ind w:left="560" w:hanging="560"/>
      </w:pPr>
      <w:r>
        <w:rPr>
          <w:b w:val="0"/>
          <w:i w:val="0"/>
          <w:sz w:val="18"/>
          <w:u w:val="none"/>
        </w:rPr>
        <w:t>Siau, K., &amp; Wang, W. (2018). Building trust in artificial intelligence, machine learning, and robotics. Cutter Business Technology Journal, 31(2), 47–53.</w:t>
      </w:r>
    </w:p>
    <w:p>
      <w:pPr>
        <w:spacing w:after="80"/>
        <w:ind w:left="560" w:hanging="560"/>
      </w:pPr>
      <w:r>
        <w:rPr>
          <w:b w:val="0"/>
          <w:i w:val="0"/>
          <w:sz w:val="18"/>
          <w:u w:val="none"/>
        </w:rPr>
        <w:t>Taylor, S., &amp; Todd, P. A. (1995). Understanding information technology usage: A test of competing models. Information Systems Research, 6(2), 144–176. https://doi.org/10.1287/isre.6.2.144</w:t>
      </w:r>
    </w:p>
    <w:p>
      <w:pPr>
        <w:spacing w:after="80"/>
        <w:ind w:left="560" w:hanging="560"/>
      </w:pPr>
      <w:r>
        <w:rPr>
          <w:b w:val="0"/>
          <w:i w:val="0"/>
          <w:sz w:val="18"/>
          <w:u w:val="none"/>
        </w:rPr>
        <w:t>Venkatesh, V., Morris, M. G., Davis, G. B., &amp; Davis, F. D. (2003). User acceptance of information technology: Toward a unified view. MIS Quarterly, 27(3), 425–478. https://doi.org/10.2307/30036540</w:t>
      </w:r>
    </w:p>
    <w:p>
      <w:pPr>
        <w:spacing w:after="80"/>
        <w:ind w:left="560" w:hanging="560"/>
      </w:pPr>
      <w:r>
        <w:rPr>
          <w:b w:val="0"/>
          <w:i w:val="0"/>
          <w:sz w:val="18"/>
          <w:u w:val="none"/>
        </w:rPr>
        <w:t>Venkatesh, V., &amp; Davis, F. D. (2000). A theoretical extension of the technology acceptance model: Four longitudinal field studies. Management Science, 46(2), 186–204. https://doi.org/10.1287/mnsc.46.2.186.11926</w:t>
      </w:r>
    </w:p>
    <w:p>
      <w:pPr>
        <w:spacing w:after="80"/>
        <w:ind w:left="560" w:hanging="560"/>
      </w:pPr>
      <w:r>
        <w:rPr>
          <w:b w:val="0"/>
          <w:i w:val="0"/>
          <w:sz w:val="18"/>
          <w:u w:val="none"/>
        </w:rPr>
        <w:t>Venkatesh, V., Thong, J. Y. L., &amp; Xu, X. (2012). Consumer acceptance and use of information technology: Extending the unified theory of acceptance and use of technology. MIS Quarterly, 36(1), 157–178. https://doi.org/10.2307/41410412</w:t>
      </w:r>
    </w:p>
    <w:p>
      <w:pPr>
        <w:spacing w:after="80"/>
        <w:ind w:left="560" w:hanging="560"/>
      </w:pPr>
      <w:r>
        <w:rPr>
          <w:b w:val="0"/>
          <w:i w:val="0"/>
          <w:sz w:val="18"/>
          <w:u w:val="none"/>
        </w:rPr>
        <w:t>Wang, X., &amp; Wang, J. (2022). AI anxiety: Measuring fear of artificial intelligence and its impact on the acceptance of artificial intelligence. Information Technology &amp; People. Advance online publication. https://doi.org/10.1108/ITP-10-2020-0699</w:t>
      </w:r>
    </w:p>
    <w:p>
      <w:pPr>
        <w:spacing w:after="80"/>
        <w:ind w:left="560" w:hanging="560"/>
      </w:pPr>
      <w:r>
        <w:rPr>
          <w:b w:val="0"/>
          <w:i w:val="0"/>
          <w:sz w:val="18"/>
          <w:u w:val="none"/>
        </w:rPr>
        <w:t>Heerink, M., Krose, B., Evers, V., &amp; Wielinga, B. (2010). Assessing acceptance of assistive social agent technology by older adults: The Almere model. International Journal of Social Robotics, 2(4), 361–375. https://doi.org/10.1007/s12369-010-0068-5</w:t>
      </w:r>
    </w:p>
    <w:p>
      <w:pPr>
        <w:spacing w:after="80"/>
        <w:ind w:left="560" w:hanging="560"/>
      </w:pPr>
      <w:r>
        <w:rPr>
          <w:b w:val="0"/>
          <w:i w:val="0"/>
          <w:sz w:val="18"/>
          <w:u w:val="none"/>
        </w:rPr>
        <w:t>Luhmann, N. (1979). Trust and power. Wiley.</w:t>
      </w:r>
    </w:p>
    <w:p>
      <w:pPr>
        <w:spacing w:after="80"/>
        <w:ind w:left="560" w:hanging="560"/>
      </w:pPr>
      <w:r>
        <w:rPr>
          <w:b w:val="0"/>
          <w:i w:val="0"/>
          <w:sz w:val="18"/>
          <w:u w:val="none"/>
        </w:rPr>
        <w:t>Mcknight, D. H., &amp; Chervany, N. L. (2001). What trust means in e-commerce customer relationships: An interdisciplinary conceptual typology. International Journal of Electronic Commerce, 6(2), 35–59. https://doi.org/10.1080/10864415.2001.11044235</w:t>
      </w:r>
    </w:p>
    <w:p>
      <w:pPr>
        <w:spacing w:after="80"/>
        <w:ind w:left="560" w:hanging="560"/>
      </w:pPr>
      <w:r>
        <w:rPr>
          <w:b w:val="0"/>
          <w:i w:val="0"/>
          <w:sz w:val="18"/>
          <w:u w:val="none"/>
        </w:rPr>
        <w:t>Deci, E. L., &amp; Ryan, R. M. (1985). Intrinsic motivation and self-determination in human behavior. Plenum. https://doi.org/10.1007/978-1-4899-2271-7</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