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Construct Selection Rationale for MASEM</w:t>
      </w:r>
    </w:p>
    <w:p>
      <w:pPr>
        <w:jc w:val="center"/>
      </w:pPr>
      <w:r>
        <w:rPr>
          <w:i/>
        </w:rPr>
        <w:t>AI Adoption in Higher Education</w:t>
      </w:r>
    </w:p>
    <w:p/>
    <w:p>
      <w:r>
        <w:rPr>
          <w:b/>
        </w:rPr>
        <w:t xml:space="preserve">Date: </w:t>
      </w:r>
      <w:r>
        <w:t>2026-04-03</w:t>
      </w:r>
    </w:p>
    <w:p>
      <w:r>
        <w:rPr>
          <w:b/>
        </w:rPr>
        <w:t xml:space="preserve">Based on: </w:t>
      </w:r>
      <w:r>
        <w:t>Full-text analysis of 224 PDFs + 52-study calibration</w:t>
      </w:r>
    </w:p>
    <w:p/>
    <w:p>
      <w:pPr>
        <w:pStyle w:val="Heading2"/>
      </w:pPr>
      <w:r>
        <w:t>1. Overview</w:t>
      </w:r>
    </w:p>
    <w:p>
      <w:r>
        <w:t>This document presents the rationale for selecting 12 constructs as the conceptual framework for the meta-analytic structural equation model (MASEM) of AI adoption in higher education. The construct set was derived through an inductive-deductive dialectic: constructs were first identified inductively via systematic full-text analysis of all 224 included studies, then organized deductively through established theoretical traditions (TAM, UTAUT, TPB, SCT, AI-specific literature). This approach distinguishes the present study from prior MASEM work that imposes a single framework a priori and codes only its constituent variables.</w:t>
      </w:r>
    </w:p>
    <w:p>
      <w:r>
        <w:t>The 12 constructs are organized into two tiers reflecting their theoretical genealogy and relationship to the AI adoption context. Of the 12, 10 meet the minimum empirical coverage threshold for MASEM pooled correlation matrix estimation. The remaining two (Transparency and Autonomy) are retained in the conceptual framework on theoretical grounds and are addressed through supplementary analyses.</w:t>
      </w:r>
    </w:p>
    <w:p>
      <w:pPr>
        <w:pStyle w:val="Heading3"/>
      </w:pPr>
      <w:r>
        <w:t>Table 1. The 12-Construct Conceptual Framework</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jc w:val="center"/>
            </w:pPr>
            <w:r>
              <w:rPr>
                <w:rFonts w:ascii="Times New Roman" w:hAnsi="Times New Roman"/>
                <w:b/>
                <w:sz w:val="20"/>
              </w:rPr>
              <w:t>Tier</w:t>
            </w:r>
          </w:p>
        </w:tc>
        <w:tc>
          <w:tcPr>
            <w:tcW w:type="dxa" w:w="1170"/>
          </w:tcPr>
          <w:p>
            <w:pPr>
              <w:jc w:val="center"/>
            </w:pPr>
            <w:r>
              <w:rPr>
                <w:rFonts w:ascii="Times New Roman" w:hAnsi="Times New Roman"/>
                <w:b/>
                <w:sz w:val="20"/>
              </w:rPr>
              <w:t>Construct</w:t>
            </w:r>
          </w:p>
        </w:tc>
        <w:tc>
          <w:tcPr>
            <w:tcW w:type="dxa" w:w="1170"/>
          </w:tcPr>
          <w:p>
            <w:pPr>
              <w:jc w:val="center"/>
            </w:pPr>
            <w:r>
              <w:rPr>
                <w:rFonts w:ascii="Times New Roman" w:hAnsi="Times New Roman"/>
                <w:b/>
                <w:sz w:val="20"/>
              </w:rPr>
              <w:t>Abbr.</w:t>
            </w:r>
          </w:p>
        </w:tc>
        <w:tc>
          <w:tcPr>
            <w:tcW w:type="dxa" w:w="1170"/>
          </w:tcPr>
          <w:p>
            <w:pPr>
              <w:jc w:val="center"/>
            </w:pPr>
            <w:r>
              <w:rPr>
                <w:rFonts w:ascii="Times New Roman" w:hAnsi="Times New Roman"/>
                <w:b/>
                <w:sz w:val="20"/>
              </w:rPr>
              <w:t>Full-text</w:t>
              <w:br/>
              <w:t>Mention</w:t>
            </w:r>
          </w:p>
        </w:tc>
        <w:tc>
          <w:tcPr>
            <w:tcW w:type="dxa" w:w="1170"/>
          </w:tcPr>
          <w:p>
            <w:pPr>
              <w:jc w:val="center"/>
            </w:pPr>
            <w:r>
              <w:rPr>
                <w:rFonts w:ascii="Times New Roman" w:hAnsi="Times New Roman"/>
                <w:b/>
                <w:sz w:val="20"/>
              </w:rPr>
              <w:t>Calibrated</w:t>
              <w:br/>
              <w:t>k (est.)</w:t>
            </w:r>
          </w:p>
        </w:tc>
        <w:tc>
          <w:tcPr>
            <w:tcW w:type="dxa" w:w="1170"/>
          </w:tcPr>
          <w:p>
            <w:pPr>
              <w:jc w:val="center"/>
            </w:pPr>
            <w:r>
              <w:rPr>
                <w:rFonts w:ascii="Times New Roman" w:hAnsi="Times New Roman"/>
                <w:b/>
                <w:sz w:val="20"/>
              </w:rPr>
              <w:t>Primary Theory</w:t>
            </w:r>
          </w:p>
        </w:tc>
        <w:tc>
          <w:tcPr>
            <w:tcW w:type="dxa" w:w="1170"/>
          </w:tcPr>
          <w:p>
            <w:pPr>
              <w:jc w:val="center"/>
            </w:pPr>
            <w:r>
              <w:rPr>
                <w:rFonts w:ascii="Times New Roman" w:hAnsi="Times New Roman"/>
                <w:b/>
                <w:sz w:val="20"/>
              </w:rPr>
              <w:t>AI-Specific?</w:t>
            </w:r>
          </w:p>
        </w:tc>
        <w:tc>
          <w:tcPr>
            <w:tcW w:type="dxa" w:w="1170"/>
          </w:tcPr>
          <w:p>
            <w:pPr>
              <w:jc w:val="center"/>
            </w:pPr>
            <w:r>
              <w:rPr>
                <w:rFonts w:ascii="Times New Roman" w:hAnsi="Times New Roman"/>
                <w:b/>
                <w:sz w:val="20"/>
              </w:rPr>
              <w:t>MASEM</w:t>
              <w:br/>
              <w:t>Status</w:t>
            </w:r>
          </w:p>
        </w:tc>
      </w:tr>
      <w:tr>
        <w:tc>
          <w:tcPr>
            <w:tcW w:type="dxa" w:w="1170"/>
          </w:tcPr>
          <w:p>
            <w:r>
              <w:rPr>
                <w:rFonts w:ascii="Times New Roman" w:hAnsi="Times New Roman"/>
                <w:sz w:val="20"/>
              </w:rPr>
              <w:t>1</w:t>
            </w:r>
          </w:p>
        </w:tc>
        <w:tc>
          <w:tcPr>
            <w:tcW w:type="dxa" w:w="1170"/>
          </w:tcPr>
          <w:p>
            <w:r>
              <w:rPr>
                <w:rFonts w:ascii="Times New Roman" w:hAnsi="Times New Roman"/>
                <w:sz w:val="20"/>
              </w:rPr>
              <w:t>Performance Expectancy</w:t>
            </w:r>
          </w:p>
        </w:tc>
        <w:tc>
          <w:tcPr>
            <w:tcW w:type="dxa" w:w="1170"/>
          </w:tcPr>
          <w:p>
            <w:r>
              <w:rPr>
                <w:rFonts w:ascii="Times New Roman" w:hAnsi="Times New Roman"/>
                <w:sz w:val="20"/>
              </w:rPr>
              <w:t>PE</w:t>
            </w:r>
          </w:p>
        </w:tc>
        <w:tc>
          <w:tcPr>
            <w:tcW w:type="dxa" w:w="1170"/>
          </w:tcPr>
          <w:p>
            <w:r>
              <w:rPr>
                <w:rFonts w:ascii="Times New Roman" w:hAnsi="Times New Roman"/>
                <w:sz w:val="20"/>
              </w:rPr>
              <w:t>218 (97%)</w:t>
            </w:r>
          </w:p>
        </w:tc>
        <w:tc>
          <w:tcPr>
            <w:tcW w:type="dxa" w:w="1170"/>
          </w:tcPr>
          <w:p>
            <w:r>
              <w:rPr>
                <w:rFonts w:ascii="Times New Roman" w:hAnsi="Times New Roman"/>
                <w:sz w:val="20"/>
              </w:rPr>
              <w:t>186</w:t>
            </w:r>
          </w:p>
        </w:tc>
        <w:tc>
          <w:tcPr>
            <w:tcW w:type="dxa" w:w="1170"/>
          </w:tcPr>
          <w:p>
            <w:r>
              <w:rPr>
                <w:rFonts w:ascii="Times New Roman" w:hAnsi="Times New Roman"/>
                <w:sz w:val="20"/>
              </w:rPr>
              <w:t>TAM/UTAUT</w:t>
            </w:r>
          </w:p>
        </w:tc>
        <w:tc>
          <w:tcPr>
            <w:tcW w:type="dxa" w:w="1170"/>
          </w:tcPr>
          <w:p>
            <w:r>
              <w:rPr>
                <w:rFonts w:ascii="Times New Roman" w:hAnsi="Times New Roman"/>
                <w:sz w:val="20"/>
              </w:rPr>
              <w:t>No</w:t>
            </w:r>
          </w:p>
        </w:tc>
        <w:tc>
          <w:tcPr>
            <w:tcW w:type="dxa" w:w="1170"/>
          </w:tcPr>
          <w:p>
            <w:r>
              <w:rPr>
                <w:rFonts w:ascii="Times New Roman" w:hAnsi="Times New Roman"/>
                <w:sz w:val="20"/>
              </w:rPr>
              <w:t>Included</w:t>
            </w:r>
          </w:p>
        </w:tc>
      </w:tr>
      <w:tr>
        <w:tc>
          <w:tcPr>
            <w:tcW w:type="dxa" w:w="1170"/>
          </w:tcPr>
          <w:p>
            <w:r>
              <w:rPr>
                <w:rFonts w:ascii="Times New Roman" w:hAnsi="Times New Roman"/>
                <w:sz w:val="20"/>
              </w:rPr>
              <w:t>1</w:t>
            </w:r>
          </w:p>
        </w:tc>
        <w:tc>
          <w:tcPr>
            <w:tcW w:type="dxa" w:w="1170"/>
          </w:tcPr>
          <w:p>
            <w:r>
              <w:rPr>
                <w:rFonts w:ascii="Times New Roman" w:hAnsi="Times New Roman"/>
                <w:sz w:val="20"/>
              </w:rPr>
              <w:t>Behavioral Intention</w:t>
            </w:r>
          </w:p>
        </w:tc>
        <w:tc>
          <w:tcPr>
            <w:tcW w:type="dxa" w:w="1170"/>
          </w:tcPr>
          <w:p>
            <w:r>
              <w:rPr>
                <w:rFonts w:ascii="Times New Roman" w:hAnsi="Times New Roman"/>
                <w:sz w:val="20"/>
              </w:rPr>
              <w:t>BI</w:t>
            </w:r>
          </w:p>
        </w:tc>
        <w:tc>
          <w:tcPr>
            <w:tcW w:type="dxa" w:w="1170"/>
          </w:tcPr>
          <w:p>
            <w:r>
              <w:rPr>
                <w:rFonts w:ascii="Times New Roman" w:hAnsi="Times New Roman"/>
                <w:sz w:val="20"/>
              </w:rPr>
              <w:t>220 (98%)</w:t>
            </w:r>
          </w:p>
        </w:tc>
        <w:tc>
          <w:tcPr>
            <w:tcW w:type="dxa" w:w="1170"/>
          </w:tcPr>
          <w:p>
            <w:r>
              <w:rPr>
                <w:rFonts w:ascii="Times New Roman" w:hAnsi="Times New Roman"/>
                <w:sz w:val="20"/>
              </w:rPr>
              <w:t>185</w:t>
            </w:r>
          </w:p>
        </w:tc>
        <w:tc>
          <w:tcPr>
            <w:tcW w:type="dxa" w:w="1170"/>
          </w:tcPr>
          <w:p>
            <w:r>
              <w:rPr>
                <w:rFonts w:ascii="Times New Roman" w:hAnsi="Times New Roman"/>
                <w:sz w:val="20"/>
              </w:rPr>
              <w:t>TAM/UTAUT/TPB</w:t>
            </w:r>
          </w:p>
        </w:tc>
        <w:tc>
          <w:tcPr>
            <w:tcW w:type="dxa" w:w="1170"/>
          </w:tcPr>
          <w:p>
            <w:r>
              <w:rPr>
                <w:rFonts w:ascii="Times New Roman" w:hAnsi="Times New Roman"/>
                <w:sz w:val="20"/>
              </w:rPr>
              <w:t>No</w:t>
            </w:r>
          </w:p>
        </w:tc>
        <w:tc>
          <w:tcPr>
            <w:tcW w:type="dxa" w:w="1170"/>
          </w:tcPr>
          <w:p>
            <w:r>
              <w:rPr>
                <w:rFonts w:ascii="Times New Roman" w:hAnsi="Times New Roman"/>
                <w:sz w:val="20"/>
              </w:rPr>
              <w:t>Included</w:t>
            </w:r>
          </w:p>
        </w:tc>
      </w:tr>
      <w:tr>
        <w:tc>
          <w:tcPr>
            <w:tcW w:type="dxa" w:w="1170"/>
          </w:tcPr>
          <w:p>
            <w:r>
              <w:rPr>
                <w:rFonts w:ascii="Times New Roman" w:hAnsi="Times New Roman"/>
                <w:sz w:val="20"/>
              </w:rPr>
              <w:t>1</w:t>
            </w:r>
          </w:p>
        </w:tc>
        <w:tc>
          <w:tcPr>
            <w:tcW w:type="dxa" w:w="1170"/>
          </w:tcPr>
          <w:p>
            <w:r>
              <w:rPr>
                <w:rFonts w:ascii="Times New Roman" w:hAnsi="Times New Roman"/>
                <w:sz w:val="20"/>
              </w:rPr>
              <w:t>Effort Expectancy</w:t>
            </w:r>
          </w:p>
        </w:tc>
        <w:tc>
          <w:tcPr>
            <w:tcW w:type="dxa" w:w="1170"/>
          </w:tcPr>
          <w:p>
            <w:r>
              <w:rPr>
                <w:rFonts w:ascii="Times New Roman" w:hAnsi="Times New Roman"/>
                <w:sz w:val="20"/>
              </w:rPr>
              <w:t>EE</w:t>
            </w:r>
          </w:p>
        </w:tc>
        <w:tc>
          <w:tcPr>
            <w:tcW w:type="dxa" w:w="1170"/>
          </w:tcPr>
          <w:p>
            <w:r>
              <w:rPr>
                <w:rFonts w:ascii="Times New Roman" w:hAnsi="Times New Roman"/>
                <w:sz w:val="20"/>
              </w:rPr>
              <w:t>218 (97%)</w:t>
            </w:r>
          </w:p>
        </w:tc>
        <w:tc>
          <w:tcPr>
            <w:tcW w:type="dxa" w:w="1170"/>
          </w:tcPr>
          <w:p>
            <w:r>
              <w:rPr>
                <w:rFonts w:ascii="Times New Roman" w:hAnsi="Times New Roman"/>
                <w:sz w:val="20"/>
              </w:rPr>
              <w:t>162</w:t>
            </w:r>
          </w:p>
        </w:tc>
        <w:tc>
          <w:tcPr>
            <w:tcW w:type="dxa" w:w="1170"/>
          </w:tcPr>
          <w:p>
            <w:r>
              <w:rPr>
                <w:rFonts w:ascii="Times New Roman" w:hAnsi="Times New Roman"/>
                <w:sz w:val="20"/>
              </w:rPr>
              <w:t>TAM/UTAUT</w:t>
            </w:r>
          </w:p>
        </w:tc>
        <w:tc>
          <w:tcPr>
            <w:tcW w:type="dxa" w:w="1170"/>
          </w:tcPr>
          <w:p>
            <w:r>
              <w:rPr>
                <w:rFonts w:ascii="Times New Roman" w:hAnsi="Times New Roman"/>
                <w:sz w:val="20"/>
              </w:rPr>
              <w:t>No</w:t>
            </w:r>
          </w:p>
        </w:tc>
        <w:tc>
          <w:tcPr>
            <w:tcW w:type="dxa" w:w="1170"/>
          </w:tcPr>
          <w:p>
            <w:r>
              <w:rPr>
                <w:rFonts w:ascii="Times New Roman" w:hAnsi="Times New Roman"/>
                <w:sz w:val="20"/>
              </w:rPr>
              <w:t>Included</w:t>
            </w:r>
          </w:p>
        </w:tc>
      </w:tr>
      <w:tr>
        <w:tc>
          <w:tcPr>
            <w:tcW w:type="dxa" w:w="1170"/>
          </w:tcPr>
          <w:p>
            <w:r>
              <w:rPr>
                <w:rFonts w:ascii="Times New Roman" w:hAnsi="Times New Roman"/>
                <w:sz w:val="20"/>
              </w:rPr>
              <w:t>1</w:t>
            </w:r>
          </w:p>
        </w:tc>
        <w:tc>
          <w:tcPr>
            <w:tcW w:type="dxa" w:w="1170"/>
          </w:tcPr>
          <w:p>
            <w:r>
              <w:rPr>
                <w:rFonts w:ascii="Times New Roman" w:hAnsi="Times New Roman"/>
                <w:sz w:val="20"/>
              </w:rPr>
              <w:t>Social Influence</w:t>
            </w:r>
          </w:p>
        </w:tc>
        <w:tc>
          <w:tcPr>
            <w:tcW w:type="dxa" w:w="1170"/>
          </w:tcPr>
          <w:p>
            <w:r>
              <w:rPr>
                <w:rFonts w:ascii="Times New Roman" w:hAnsi="Times New Roman"/>
                <w:sz w:val="20"/>
              </w:rPr>
              <w:t>SI</w:t>
            </w:r>
          </w:p>
        </w:tc>
        <w:tc>
          <w:tcPr>
            <w:tcW w:type="dxa" w:w="1170"/>
          </w:tcPr>
          <w:p>
            <w:r>
              <w:rPr>
                <w:rFonts w:ascii="Times New Roman" w:hAnsi="Times New Roman"/>
                <w:sz w:val="20"/>
              </w:rPr>
              <w:t>172 (77%)</w:t>
            </w:r>
          </w:p>
        </w:tc>
        <w:tc>
          <w:tcPr>
            <w:tcW w:type="dxa" w:w="1170"/>
          </w:tcPr>
          <w:p>
            <w:r>
              <w:rPr>
                <w:rFonts w:ascii="Times New Roman" w:hAnsi="Times New Roman"/>
                <w:sz w:val="20"/>
              </w:rPr>
              <w:t>114</w:t>
            </w:r>
          </w:p>
        </w:tc>
        <w:tc>
          <w:tcPr>
            <w:tcW w:type="dxa" w:w="1170"/>
          </w:tcPr>
          <w:p>
            <w:r>
              <w:rPr>
                <w:rFonts w:ascii="Times New Roman" w:hAnsi="Times New Roman"/>
                <w:sz w:val="20"/>
              </w:rPr>
              <w:t>UTAUT/TPB</w:t>
            </w:r>
          </w:p>
        </w:tc>
        <w:tc>
          <w:tcPr>
            <w:tcW w:type="dxa" w:w="1170"/>
          </w:tcPr>
          <w:p>
            <w:r>
              <w:rPr>
                <w:rFonts w:ascii="Times New Roman" w:hAnsi="Times New Roman"/>
                <w:sz w:val="20"/>
              </w:rPr>
              <w:t>No</w:t>
            </w:r>
          </w:p>
        </w:tc>
        <w:tc>
          <w:tcPr>
            <w:tcW w:type="dxa" w:w="1170"/>
          </w:tcPr>
          <w:p>
            <w:r>
              <w:rPr>
                <w:rFonts w:ascii="Times New Roman" w:hAnsi="Times New Roman"/>
                <w:sz w:val="20"/>
              </w:rPr>
              <w:t>Included</w:t>
            </w:r>
          </w:p>
        </w:tc>
      </w:tr>
      <w:tr>
        <w:tc>
          <w:tcPr>
            <w:tcW w:type="dxa" w:w="1170"/>
          </w:tcPr>
          <w:p>
            <w:r>
              <w:rPr>
                <w:rFonts w:ascii="Times New Roman" w:hAnsi="Times New Roman"/>
                <w:sz w:val="20"/>
              </w:rPr>
              <w:t>1</w:t>
            </w:r>
          </w:p>
        </w:tc>
        <w:tc>
          <w:tcPr>
            <w:tcW w:type="dxa" w:w="1170"/>
          </w:tcPr>
          <w:p>
            <w:r>
              <w:rPr>
                <w:rFonts w:ascii="Times New Roman" w:hAnsi="Times New Roman"/>
                <w:sz w:val="20"/>
              </w:rPr>
              <w:t>Facilitating Conditions</w:t>
            </w:r>
          </w:p>
        </w:tc>
        <w:tc>
          <w:tcPr>
            <w:tcW w:type="dxa" w:w="1170"/>
          </w:tcPr>
          <w:p>
            <w:r>
              <w:rPr>
                <w:rFonts w:ascii="Times New Roman" w:hAnsi="Times New Roman"/>
                <w:sz w:val="20"/>
              </w:rPr>
              <w:t>FC</w:t>
            </w:r>
          </w:p>
        </w:tc>
        <w:tc>
          <w:tcPr>
            <w:tcW w:type="dxa" w:w="1170"/>
          </w:tcPr>
          <w:p>
            <w:r>
              <w:rPr>
                <w:rFonts w:ascii="Times New Roman" w:hAnsi="Times New Roman"/>
                <w:sz w:val="20"/>
              </w:rPr>
              <w:t>162 (72%)</w:t>
            </w:r>
          </w:p>
        </w:tc>
        <w:tc>
          <w:tcPr>
            <w:tcW w:type="dxa" w:w="1170"/>
          </w:tcPr>
          <w:p>
            <w:r>
              <w:rPr>
                <w:rFonts w:ascii="Times New Roman" w:hAnsi="Times New Roman"/>
                <w:sz w:val="20"/>
              </w:rPr>
              <w:t>105</w:t>
            </w:r>
          </w:p>
        </w:tc>
        <w:tc>
          <w:tcPr>
            <w:tcW w:type="dxa" w:w="1170"/>
          </w:tcPr>
          <w:p>
            <w:r>
              <w:rPr>
                <w:rFonts w:ascii="Times New Roman" w:hAnsi="Times New Roman"/>
                <w:sz w:val="20"/>
              </w:rPr>
              <w:t>UTAUT</w:t>
            </w:r>
          </w:p>
        </w:tc>
        <w:tc>
          <w:tcPr>
            <w:tcW w:type="dxa" w:w="1170"/>
          </w:tcPr>
          <w:p>
            <w:r>
              <w:rPr>
                <w:rFonts w:ascii="Times New Roman" w:hAnsi="Times New Roman"/>
                <w:sz w:val="20"/>
              </w:rPr>
              <w:t>No</w:t>
            </w:r>
          </w:p>
        </w:tc>
        <w:tc>
          <w:tcPr>
            <w:tcW w:type="dxa" w:w="1170"/>
          </w:tcPr>
          <w:p>
            <w:r>
              <w:rPr>
                <w:rFonts w:ascii="Times New Roman" w:hAnsi="Times New Roman"/>
                <w:sz w:val="20"/>
              </w:rPr>
              <w:t>Included</w:t>
            </w:r>
          </w:p>
        </w:tc>
      </w:tr>
      <w:tr>
        <w:tc>
          <w:tcPr>
            <w:tcW w:type="dxa" w:w="1170"/>
          </w:tcPr>
          <w:p>
            <w:r>
              <w:rPr>
                <w:rFonts w:ascii="Times New Roman" w:hAnsi="Times New Roman"/>
                <w:sz w:val="20"/>
              </w:rPr>
              <w:t>1</w:t>
            </w:r>
          </w:p>
        </w:tc>
        <w:tc>
          <w:tcPr>
            <w:tcW w:type="dxa" w:w="1170"/>
          </w:tcPr>
          <w:p>
            <w:r>
              <w:rPr>
                <w:rFonts w:ascii="Times New Roman" w:hAnsi="Times New Roman"/>
                <w:sz w:val="20"/>
              </w:rPr>
              <w:t>Use Behavior</w:t>
            </w:r>
          </w:p>
        </w:tc>
        <w:tc>
          <w:tcPr>
            <w:tcW w:type="dxa" w:w="1170"/>
          </w:tcPr>
          <w:p>
            <w:r>
              <w:rPr>
                <w:rFonts w:ascii="Times New Roman" w:hAnsi="Times New Roman"/>
                <w:sz w:val="20"/>
              </w:rPr>
              <w:t>UB</w:t>
            </w:r>
          </w:p>
        </w:tc>
        <w:tc>
          <w:tcPr>
            <w:tcW w:type="dxa" w:w="1170"/>
          </w:tcPr>
          <w:p>
            <w:r>
              <w:rPr>
                <w:rFonts w:ascii="Times New Roman" w:hAnsi="Times New Roman"/>
                <w:sz w:val="20"/>
              </w:rPr>
              <w:t>191 (85%)</w:t>
            </w:r>
          </w:p>
        </w:tc>
        <w:tc>
          <w:tcPr>
            <w:tcW w:type="dxa" w:w="1170"/>
          </w:tcPr>
          <w:p>
            <w:r>
              <w:rPr>
                <w:rFonts w:ascii="Times New Roman" w:hAnsi="Times New Roman"/>
                <w:sz w:val="20"/>
              </w:rPr>
              <w:t>90</w:t>
            </w:r>
          </w:p>
        </w:tc>
        <w:tc>
          <w:tcPr>
            <w:tcW w:type="dxa" w:w="1170"/>
          </w:tcPr>
          <w:p>
            <w:r>
              <w:rPr>
                <w:rFonts w:ascii="Times New Roman" w:hAnsi="Times New Roman"/>
                <w:sz w:val="20"/>
              </w:rPr>
              <w:t>UTAUT</w:t>
            </w:r>
          </w:p>
        </w:tc>
        <w:tc>
          <w:tcPr>
            <w:tcW w:type="dxa" w:w="1170"/>
          </w:tcPr>
          <w:p>
            <w:r>
              <w:rPr>
                <w:rFonts w:ascii="Times New Roman" w:hAnsi="Times New Roman"/>
                <w:sz w:val="20"/>
              </w:rPr>
              <w:t>No</w:t>
            </w:r>
          </w:p>
        </w:tc>
        <w:tc>
          <w:tcPr>
            <w:tcW w:type="dxa" w:w="1170"/>
          </w:tcPr>
          <w:p>
            <w:r>
              <w:rPr>
                <w:rFonts w:ascii="Times New Roman" w:hAnsi="Times New Roman"/>
                <w:sz w:val="20"/>
              </w:rPr>
              <w:t>Included</w:t>
            </w:r>
          </w:p>
        </w:tc>
      </w:tr>
      <w:tr>
        <w:tc>
          <w:tcPr>
            <w:tcW w:type="dxa" w:w="1170"/>
          </w:tcPr>
          <w:p>
            <w:r>
              <w:rPr>
                <w:rFonts w:ascii="Times New Roman" w:hAnsi="Times New Roman"/>
                <w:sz w:val="20"/>
              </w:rPr>
              <w:t>1</w:t>
            </w:r>
          </w:p>
        </w:tc>
        <w:tc>
          <w:tcPr>
            <w:tcW w:type="dxa" w:w="1170"/>
          </w:tcPr>
          <w:p>
            <w:r>
              <w:rPr>
                <w:rFonts w:ascii="Times New Roman" w:hAnsi="Times New Roman"/>
                <w:sz w:val="20"/>
              </w:rPr>
              <w:t>Attitude</w:t>
            </w:r>
          </w:p>
        </w:tc>
        <w:tc>
          <w:tcPr>
            <w:tcW w:type="dxa" w:w="1170"/>
          </w:tcPr>
          <w:p>
            <w:r>
              <w:rPr>
                <w:rFonts w:ascii="Times New Roman" w:hAnsi="Times New Roman"/>
                <w:sz w:val="20"/>
              </w:rPr>
              <w:t>ATT</w:t>
            </w:r>
          </w:p>
        </w:tc>
        <w:tc>
          <w:tcPr>
            <w:tcW w:type="dxa" w:w="1170"/>
          </w:tcPr>
          <w:p>
            <w:r>
              <w:rPr>
                <w:rFonts w:ascii="Times New Roman" w:hAnsi="Times New Roman"/>
                <w:sz w:val="20"/>
              </w:rPr>
              <w:t>172 (77%)</w:t>
            </w:r>
          </w:p>
        </w:tc>
        <w:tc>
          <w:tcPr>
            <w:tcW w:type="dxa" w:w="1170"/>
          </w:tcPr>
          <w:p>
            <w:r>
              <w:rPr>
                <w:rFonts w:ascii="Times New Roman" w:hAnsi="Times New Roman"/>
                <w:sz w:val="20"/>
              </w:rPr>
              <w:t>81</w:t>
            </w:r>
          </w:p>
        </w:tc>
        <w:tc>
          <w:tcPr>
            <w:tcW w:type="dxa" w:w="1170"/>
          </w:tcPr>
          <w:p>
            <w:r>
              <w:rPr>
                <w:rFonts w:ascii="Times New Roman" w:hAnsi="Times New Roman"/>
                <w:sz w:val="20"/>
              </w:rPr>
              <w:t>TAM/TPB</w:t>
            </w:r>
          </w:p>
        </w:tc>
        <w:tc>
          <w:tcPr>
            <w:tcW w:type="dxa" w:w="1170"/>
          </w:tcPr>
          <w:p>
            <w:r>
              <w:rPr>
                <w:rFonts w:ascii="Times New Roman" w:hAnsi="Times New Roman"/>
                <w:sz w:val="20"/>
              </w:rPr>
              <w:t>No</w:t>
            </w:r>
          </w:p>
        </w:tc>
        <w:tc>
          <w:tcPr>
            <w:tcW w:type="dxa" w:w="1170"/>
          </w:tcPr>
          <w:p>
            <w:r>
              <w:rPr>
                <w:rFonts w:ascii="Times New Roman" w:hAnsi="Times New Roman"/>
                <w:sz w:val="20"/>
              </w:rPr>
              <w:t>Included</w:t>
            </w:r>
          </w:p>
        </w:tc>
      </w:tr>
      <w:tr>
        <w:tc>
          <w:tcPr>
            <w:tcW w:type="dxa" w:w="1170"/>
          </w:tcPr>
          <w:p>
            <w:r>
              <w:rPr>
                <w:rFonts w:ascii="Times New Roman" w:hAnsi="Times New Roman"/>
                <w:sz w:val="20"/>
              </w:rPr>
              <w:t>1</w:t>
            </w:r>
          </w:p>
        </w:tc>
        <w:tc>
          <w:tcPr>
            <w:tcW w:type="dxa" w:w="1170"/>
          </w:tcPr>
          <w:p>
            <w:r>
              <w:rPr>
                <w:rFonts w:ascii="Times New Roman" w:hAnsi="Times New Roman"/>
                <w:sz w:val="20"/>
              </w:rPr>
              <w:t>Self-Efficacy</w:t>
            </w:r>
          </w:p>
        </w:tc>
        <w:tc>
          <w:tcPr>
            <w:tcW w:type="dxa" w:w="1170"/>
          </w:tcPr>
          <w:p>
            <w:r>
              <w:rPr>
                <w:rFonts w:ascii="Times New Roman" w:hAnsi="Times New Roman"/>
                <w:sz w:val="20"/>
              </w:rPr>
              <w:t>SE</w:t>
            </w:r>
          </w:p>
        </w:tc>
        <w:tc>
          <w:tcPr>
            <w:tcW w:type="dxa" w:w="1170"/>
          </w:tcPr>
          <w:p>
            <w:r>
              <w:rPr>
                <w:rFonts w:ascii="Times New Roman" w:hAnsi="Times New Roman"/>
                <w:sz w:val="20"/>
              </w:rPr>
              <w:t>154 (69%)</w:t>
            </w:r>
          </w:p>
        </w:tc>
        <w:tc>
          <w:tcPr>
            <w:tcW w:type="dxa" w:w="1170"/>
          </w:tcPr>
          <w:p>
            <w:r>
              <w:rPr>
                <w:rFonts w:ascii="Times New Roman" w:hAnsi="Times New Roman"/>
                <w:sz w:val="20"/>
              </w:rPr>
              <w:t>44</w:t>
            </w:r>
          </w:p>
        </w:tc>
        <w:tc>
          <w:tcPr>
            <w:tcW w:type="dxa" w:w="1170"/>
          </w:tcPr>
          <w:p>
            <w:r>
              <w:rPr>
                <w:rFonts w:ascii="Times New Roman" w:hAnsi="Times New Roman"/>
                <w:sz w:val="20"/>
              </w:rPr>
              <w:t>SCT/TAM3</w:t>
            </w:r>
          </w:p>
        </w:tc>
        <w:tc>
          <w:tcPr>
            <w:tcW w:type="dxa" w:w="1170"/>
          </w:tcPr>
          <w:p>
            <w:r>
              <w:rPr>
                <w:rFonts w:ascii="Times New Roman" w:hAnsi="Times New Roman"/>
                <w:sz w:val="20"/>
              </w:rPr>
              <w:t>Partial</w:t>
            </w:r>
          </w:p>
        </w:tc>
        <w:tc>
          <w:tcPr>
            <w:tcW w:type="dxa" w:w="1170"/>
          </w:tcPr>
          <w:p>
            <w:r>
              <w:rPr>
                <w:rFonts w:ascii="Times New Roman" w:hAnsi="Times New Roman"/>
                <w:sz w:val="20"/>
              </w:rPr>
              <w:t>Included</w:t>
            </w:r>
          </w:p>
        </w:tc>
      </w:tr>
      <w:tr>
        <w:tc>
          <w:tcPr>
            <w:tcW w:type="dxa" w:w="1170"/>
          </w:tcPr>
          <w:p>
            <w:r>
              <w:rPr>
                <w:rFonts w:ascii="Times New Roman" w:hAnsi="Times New Roman"/>
                <w:sz w:val="20"/>
              </w:rPr>
              <w:t>2</w:t>
            </w:r>
          </w:p>
        </w:tc>
        <w:tc>
          <w:tcPr>
            <w:tcW w:type="dxa" w:w="1170"/>
          </w:tcPr>
          <w:p>
            <w:r>
              <w:rPr>
                <w:rFonts w:ascii="Times New Roman" w:hAnsi="Times New Roman"/>
                <w:sz w:val="20"/>
              </w:rPr>
              <w:t>AI Anxiety</w:t>
            </w:r>
          </w:p>
        </w:tc>
        <w:tc>
          <w:tcPr>
            <w:tcW w:type="dxa" w:w="1170"/>
          </w:tcPr>
          <w:p>
            <w:r>
              <w:rPr>
                <w:rFonts w:ascii="Times New Roman" w:hAnsi="Times New Roman"/>
                <w:sz w:val="20"/>
              </w:rPr>
              <w:t>ANX</w:t>
            </w:r>
          </w:p>
        </w:tc>
        <w:tc>
          <w:tcPr>
            <w:tcW w:type="dxa" w:w="1170"/>
          </w:tcPr>
          <w:p>
            <w:r>
              <w:rPr>
                <w:rFonts w:ascii="Times New Roman" w:hAnsi="Times New Roman"/>
                <w:sz w:val="20"/>
              </w:rPr>
              <w:t>154 (69%)</w:t>
            </w:r>
          </w:p>
        </w:tc>
        <w:tc>
          <w:tcPr>
            <w:tcW w:type="dxa" w:w="1170"/>
          </w:tcPr>
          <w:p>
            <w:r>
              <w:rPr>
                <w:rFonts w:ascii="Times New Roman" w:hAnsi="Times New Roman"/>
                <w:sz w:val="20"/>
              </w:rPr>
              <w:t>40</w:t>
            </w:r>
          </w:p>
        </w:tc>
        <w:tc>
          <w:tcPr>
            <w:tcW w:type="dxa" w:w="1170"/>
          </w:tcPr>
          <w:p>
            <w:r>
              <w:rPr>
                <w:rFonts w:ascii="Times New Roman" w:hAnsi="Times New Roman"/>
                <w:sz w:val="20"/>
              </w:rPr>
              <w:t>AI-specific</w:t>
            </w:r>
          </w:p>
        </w:tc>
        <w:tc>
          <w:tcPr>
            <w:tcW w:type="dxa" w:w="1170"/>
          </w:tcPr>
          <w:p>
            <w:r>
              <w:rPr>
                <w:rFonts w:ascii="Times New Roman" w:hAnsi="Times New Roman"/>
                <w:sz w:val="20"/>
              </w:rPr>
              <w:t>Yes</w:t>
            </w:r>
          </w:p>
        </w:tc>
        <w:tc>
          <w:tcPr>
            <w:tcW w:type="dxa" w:w="1170"/>
          </w:tcPr>
          <w:p>
            <w:r>
              <w:rPr>
                <w:rFonts w:ascii="Times New Roman" w:hAnsi="Times New Roman"/>
                <w:sz w:val="20"/>
              </w:rPr>
              <w:t>Included</w:t>
            </w:r>
          </w:p>
        </w:tc>
      </w:tr>
      <w:tr>
        <w:tc>
          <w:tcPr>
            <w:tcW w:type="dxa" w:w="1170"/>
          </w:tcPr>
          <w:p>
            <w:r>
              <w:rPr>
                <w:rFonts w:ascii="Times New Roman" w:hAnsi="Times New Roman"/>
                <w:sz w:val="20"/>
              </w:rPr>
              <w:t>2</w:t>
            </w:r>
          </w:p>
        </w:tc>
        <w:tc>
          <w:tcPr>
            <w:tcW w:type="dxa" w:w="1170"/>
          </w:tcPr>
          <w:p>
            <w:r>
              <w:rPr>
                <w:rFonts w:ascii="Times New Roman" w:hAnsi="Times New Roman"/>
                <w:sz w:val="20"/>
              </w:rPr>
              <w:t>Trust in AI</w:t>
            </w:r>
          </w:p>
        </w:tc>
        <w:tc>
          <w:tcPr>
            <w:tcW w:type="dxa" w:w="1170"/>
          </w:tcPr>
          <w:p>
            <w:r>
              <w:rPr>
                <w:rFonts w:ascii="Times New Roman" w:hAnsi="Times New Roman"/>
                <w:sz w:val="20"/>
              </w:rPr>
              <w:t>TRU</w:t>
            </w:r>
          </w:p>
        </w:tc>
        <w:tc>
          <w:tcPr>
            <w:tcW w:type="dxa" w:w="1170"/>
          </w:tcPr>
          <w:p>
            <w:r>
              <w:rPr>
                <w:rFonts w:ascii="Times New Roman" w:hAnsi="Times New Roman"/>
                <w:sz w:val="20"/>
              </w:rPr>
              <w:t>179 (80%)</w:t>
            </w:r>
          </w:p>
        </w:tc>
        <w:tc>
          <w:tcPr>
            <w:tcW w:type="dxa" w:w="1170"/>
          </w:tcPr>
          <w:p>
            <w:r>
              <w:rPr>
                <w:rFonts w:ascii="Times New Roman" w:hAnsi="Times New Roman"/>
                <w:sz w:val="20"/>
              </w:rPr>
              <w:t>36</w:t>
            </w:r>
          </w:p>
        </w:tc>
        <w:tc>
          <w:tcPr>
            <w:tcW w:type="dxa" w:w="1170"/>
          </w:tcPr>
          <w:p>
            <w:r>
              <w:rPr>
                <w:rFonts w:ascii="Times New Roman" w:hAnsi="Times New Roman"/>
                <w:sz w:val="20"/>
              </w:rPr>
              <w:t>AI-specific</w:t>
            </w:r>
          </w:p>
        </w:tc>
        <w:tc>
          <w:tcPr>
            <w:tcW w:type="dxa" w:w="1170"/>
          </w:tcPr>
          <w:p>
            <w:r>
              <w:rPr>
                <w:rFonts w:ascii="Times New Roman" w:hAnsi="Times New Roman"/>
                <w:sz w:val="20"/>
              </w:rPr>
              <w:t>Yes</w:t>
            </w:r>
          </w:p>
        </w:tc>
        <w:tc>
          <w:tcPr>
            <w:tcW w:type="dxa" w:w="1170"/>
          </w:tcPr>
          <w:p>
            <w:r>
              <w:rPr>
                <w:rFonts w:ascii="Times New Roman" w:hAnsi="Times New Roman"/>
                <w:sz w:val="20"/>
              </w:rPr>
              <w:t>Included</w:t>
            </w:r>
          </w:p>
        </w:tc>
      </w:tr>
      <w:tr>
        <w:tc>
          <w:tcPr>
            <w:tcW w:type="dxa" w:w="1170"/>
          </w:tcPr>
          <w:p>
            <w:r>
              <w:rPr>
                <w:rFonts w:ascii="Times New Roman" w:hAnsi="Times New Roman"/>
                <w:sz w:val="20"/>
              </w:rPr>
              <w:t>2</w:t>
            </w:r>
          </w:p>
        </w:tc>
        <w:tc>
          <w:tcPr>
            <w:tcW w:type="dxa" w:w="1170"/>
          </w:tcPr>
          <w:p>
            <w:r>
              <w:rPr>
                <w:rFonts w:ascii="Times New Roman" w:hAnsi="Times New Roman"/>
                <w:sz w:val="20"/>
              </w:rPr>
              <w:t>Transparency</w:t>
            </w:r>
          </w:p>
        </w:tc>
        <w:tc>
          <w:tcPr>
            <w:tcW w:type="dxa" w:w="1170"/>
          </w:tcPr>
          <w:p>
            <w:r>
              <w:rPr>
                <w:rFonts w:ascii="Times New Roman" w:hAnsi="Times New Roman"/>
                <w:sz w:val="20"/>
              </w:rPr>
              <w:t>TRA</w:t>
            </w:r>
          </w:p>
        </w:tc>
        <w:tc>
          <w:tcPr>
            <w:tcW w:type="dxa" w:w="1170"/>
          </w:tcPr>
          <w:p>
            <w:r>
              <w:rPr>
                <w:rFonts w:ascii="Times New Roman" w:hAnsi="Times New Roman"/>
                <w:sz w:val="20"/>
              </w:rPr>
              <w:t>97 (43%)</w:t>
            </w:r>
          </w:p>
        </w:tc>
        <w:tc>
          <w:tcPr>
            <w:tcW w:type="dxa" w:w="1170"/>
          </w:tcPr>
          <w:p>
            <w:r>
              <w:rPr>
                <w:rFonts w:ascii="Times New Roman" w:hAnsi="Times New Roman"/>
                <w:sz w:val="20"/>
              </w:rPr>
              <w:t>TBD</w:t>
            </w:r>
          </w:p>
        </w:tc>
        <w:tc>
          <w:tcPr>
            <w:tcW w:type="dxa" w:w="1170"/>
          </w:tcPr>
          <w:p>
            <w:r>
              <w:rPr>
                <w:rFonts w:ascii="Times New Roman" w:hAnsi="Times New Roman"/>
                <w:sz w:val="20"/>
              </w:rPr>
              <w:t>XAI/AI Ethics</w:t>
            </w:r>
          </w:p>
        </w:tc>
        <w:tc>
          <w:tcPr>
            <w:tcW w:type="dxa" w:w="1170"/>
          </w:tcPr>
          <w:p>
            <w:r>
              <w:rPr>
                <w:rFonts w:ascii="Times New Roman" w:hAnsi="Times New Roman"/>
                <w:sz w:val="20"/>
              </w:rPr>
              <w:t>Yes</w:t>
            </w:r>
          </w:p>
        </w:tc>
        <w:tc>
          <w:tcPr>
            <w:tcW w:type="dxa" w:w="1170"/>
          </w:tcPr>
          <w:p>
            <w:r>
              <w:rPr>
                <w:rFonts w:ascii="Times New Roman" w:hAnsi="Times New Roman"/>
                <w:sz w:val="20"/>
              </w:rPr>
              <w:t>Supplementary</w:t>
            </w:r>
          </w:p>
        </w:tc>
      </w:tr>
      <w:tr>
        <w:tc>
          <w:tcPr>
            <w:tcW w:type="dxa" w:w="1170"/>
          </w:tcPr>
          <w:p>
            <w:r>
              <w:rPr>
                <w:rFonts w:ascii="Times New Roman" w:hAnsi="Times New Roman"/>
                <w:sz w:val="20"/>
              </w:rPr>
              <w:t>2</w:t>
            </w:r>
          </w:p>
        </w:tc>
        <w:tc>
          <w:tcPr>
            <w:tcW w:type="dxa" w:w="1170"/>
          </w:tcPr>
          <w:p>
            <w:r>
              <w:rPr>
                <w:rFonts w:ascii="Times New Roman" w:hAnsi="Times New Roman"/>
                <w:sz w:val="20"/>
              </w:rPr>
              <w:t>Autonomy</w:t>
            </w:r>
          </w:p>
        </w:tc>
        <w:tc>
          <w:tcPr>
            <w:tcW w:type="dxa" w:w="1170"/>
          </w:tcPr>
          <w:p>
            <w:r>
              <w:rPr>
                <w:rFonts w:ascii="Times New Roman" w:hAnsi="Times New Roman"/>
                <w:sz w:val="20"/>
              </w:rPr>
              <w:t>AUT</w:t>
            </w:r>
          </w:p>
        </w:tc>
        <w:tc>
          <w:tcPr>
            <w:tcW w:type="dxa" w:w="1170"/>
          </w:tcPr>
          <w:p>
            <w:r>
              <w:rPr>
                <w:rFonts w:ascii="Times New Roman" w:hAnsi="Times New Roman"/>
                <w:sz w:val="20"/>
              </w:rPr>
              <w:t>111 (50%)</w:t>
            </w:r>
          </w:p>
        </w:tc>
        <w:tc>
          <w:tcPr>
            <w:tcW w:type="dxa" w:w="1170"/>
          </w:tcPr>
          <w:p>
            <w:r>
              <w:rPr>
                <w:rFonts w:ascii="Times New Roman" w:hAnsi="Times New Roman"/>
                <w:sz w:val="20"/>
              </w:rPr>
              <w:t>TBD</w:t>
            </w:r>
          </w:p>
        </w:tc>
        <w:tc>
          <w:tcPr>
            <w:tcW w:type="dxa" w:w="1170"/>
          </w:tcPr>
          <w:p>
            <w:r>
              <w:rPr>
                <w:rFonts w:ascii="Times New Roman" w:hAnsi="Times New Roman"/>
                <w:sz w:val="20"/>
              </w:rPr>
              <w:t>SDT/AI Ethics</w:t>
            </w:r>
          </w:p>
        </w:tc>
        <w:tc>
          <w:tcPr>
            <w:tcW w:type="dxa" w:w="1170"/>
          </w:tcPr>
          <w:p>
            <w:r>
              <w:rPr>
                <w:rFonts w:ascii="Times New Roman" w:hAnsi="Times New Roman"/>
                <w:sz w:val="20"/>
              </w:rPr>
              <w:t>Yes</w:t>
            </w:r>
          </w:p>
        </w:tc>
        <w:tc>
          <w:tcPr>
            <w:tcW w:type="dxa" w:w="1170"/>
          </w:tcPr>
          <w:p>
            <w:r>
              <w:rPr>
                <w:rFonts w:ascii="Times New Roman" w:hAnsi="Times New Roman"/>
                <w:sz w:val="20"/>
              </w:rPr>
              <w:t>Supplementary</w:t>
            </w:r>
          </w:p>
        </w:tc>
      </w:tr>
    </w:tbl>
    <w:p>
      <w:r>
        <w:rPr>
          <w:i/>
        </w:rPr>
        <w:t xml:space="preserve">Note. </w:t>
      </w:r>
      <w:r>
        <w:rPr>
          <w:sz w:val="20"/>
        </w:rPr>
        <w:t>Full-text Mention = number of PDFs containing the construct keyword in any section. Calibrated k = estimated number of studies with extractable correlation coefficients, based on pair-level precision calibration against 52 coded studies. TBD = to be determined upon full coding completion; current calibration-sample estimates suggest k &lt; 5, but the calibration sample may under-represent TRA/AUT-focused studies. MASEM Status: Included = entered in pooled correlation matrix; Supplementary = retained in conceptual framework, addressed via bivariate meta-analysis and narrative synthesis.</w:t>
      </w:r>
    </w:p>
    <w:p/>
    <w:p>
      <w:pPr>
        <w:pStyle w:val="Heading2"/>
      </w:pPr>
      <w:r>
        <w:t>2. Construct Identification Procedure</w:t>
      </w:r>
    </w:p>
    <w:p>
      <w:pPr>
        <w:pStyle w:val="Heading3"/>
      </w:pPr>
      <w:r>
        <w:t>2.1 Inductive Derivation</w:t>
      </w:r>
    </w:p>
    <w:p>
      <w:r>
        <w:t>A defining methodological commitment of this study was that construct selection would be driven by what primary researchers actually measured, not by what any single theoretical framework prescribes. Most MASEM studies in the technology adoption literature begin from a nominated theoretical model (typically TAM or UTAUT) and extract only the constructs that model specifies, then test whether those constructs replicate at the meta-analytic level. This approach privileges theoretical coherence over empirical coverage and carries a well-documented risk: constructs that appear prominently in primary research but fall outside the nominated framework are systematically excluded, producing a confirmatory artifact rather than a genuine synthesis of the literature's actual structure.</w:t>
      </w:r>
    </w:p>
    <w:p>
      <w:r>
        <w:t>To avoid this, we conducted a systematic full-text analysis of all 224 included PDFs prior to any construct selection decision. Each PDF was processed using automated text extraction (PyMuPDF), with targeted detection of (a) the theoretical frameworks cited, (b) every latent construct operationalized with validated items, (c) the construct label and its source theory, and (d) whether the construct was presented as a predictor, mediator, or outcome within the study's structural model. Detection accuracy was calibrated against 52 human-coded studies, with construct-level precision ranging from 96% (PE) to 24% (TRU) and recall consistently above 80% for Tier 1 constructs.</w:t>
      </w:r>
    </w:p>
    <w:p>
      <w:pPr>
        <w:pStyle w:val="Heading3"/>
      </w:pPr>
      <w:r>
        <w:t>2.2 Theoretical Landscape</w:t>
      </w:r>
    </w:p>
    <w:p>
      <w:r>
        <w:t>The theoretical landscape of the 224-study corpus was heterogeneous. TAM was present in 194 studies (86.6%), UTAUT in 143 (63.8%), TPB in 111 (49.6%), IDT in 47 (21.0%), SCT in 37 (16.5%), TTF in 19 (8.5%), VAM in 14 (6.2%), ECM in 12 (5.4%), and PMT in 6 (2.7%). This pluralism signals that no single framework is adequate as an a priori scaffolding: 13.4% of the corpus does not use TAM at all, and 36.2% does not use UTAUT, meaning that constructs unique to either framework would be absent from a meaningful proportion of studies.</w:t>
      </w:r>
    </w:p>
    <w:p>
      <w:pPr>
        <w:pStyle w:val="Heading3"/>
      </w:pPr>
      <w:r>
        <w:t>2.3 Two-Tier Structure</w:t>
      </w:r>
    </w:p>
    <w:p>
      <w:r>
        <w:t>From the full-text mapping, a natural two-tier frequency structure emerged, reflecting a distinction between universal technology acceptance constructs and AI-specific psychological constructs.</w:t>
      </w:r>
    </w:p>
    <w:p>
      <w:r>
        <w:t>Tier 1 (Universal Technology Acceptance) comprises eight constructs that trace their lineage to foundational acceptance theories. PE and EE represent the core cognitive appraisal dyad from TAM (Davis, 1989). SI extends the model to normative pressures, formalized in UTAUT (Venkatesh et al., 2003). FC captures environmental enablers, operationalizing the resource dimension of Perceived Behavioral Control from TPB (Ajzen, 1991). BI and UB constitute the volitional outcome sequence common to all acceptance models. ATT, although dropped from UTAUT on parsimony grounds, retains strong empirical presence in the AI adoption literature (k = 81, 36.2%), consistent with evidence that affective evaluation plays a more prominent role when technologies are perceived as autonomous agents (Scherer et al., 2019). SE, rooted in Social Cognitive Theory (Bandura, 1986), captures individuals' confidence in their capability to interact with AI systems.</w:t>
      </w:r>
    </w:p>
    <w:p>
      <w:r>
        <w:t>Tier 2 (AI-Specific Constructs) comprises four constructs that capture psychological responses unique to human-AI interaction. Trust in AI (TRU) reflects willingness to be vulnerable to an AI system's actions based on positive expectations about its competence, benevolence, and integrity (Mayer et al., 1995; Siau &amp; Wang, 2018). Unlike trust in conventional technologies, trust in AI encompasses beliefs about algorithmic fairness, accuracy of autonomous decisions, and appropriate delegation of cognitive tasks (Glikson &amp; Woolley, 2020). AI Anxiety (ANX) captures apprehension associated with AI interaction, including concerns about job displacement, academic integrity, and loss of human agency (Wang &amp; Wang, 2022). Transparency (TRA) addresses the perceived explainability and interpretability of AI decision-making processes, a concern that has no parallel in conventional IT adoption and is increasingly central to AI governance (EU AI Act, 2024; UNESCO, 2021). Autonomy (AUT) captures perceptions of AI's capacity for independent action and the corresponding human desire to maintain control, a construct that is qualitatively unique to AI as a technology class.</w:t>
      </w:r>
    </w:p>
    <w:p/>
    <w:p>
      <w:pPr>
        <w:pStyle w:val="Heading2"/>
      </w:pPr>
      <w:r>
        <w:t>3. Rationale for the 12-Construct Framework</w:t>
      </w:r>
    </w:p>
    <w:p>
      <w:pPr>
        <w:pStyle w:val="Heading3"/>
      </w:pPr>
      <w:r>
        <w:t>3.1 Why 12 and Not 10</w:t>
      </w:r>
    </w:p>
    <w:p>
      <w:r>
        <w:t>The decision to retain all four Tier 2 constructs (TRU, ANX, TRA, AUT) in the conceptual framework, rather than reducing to only the 10 with confirmed MASEM viability, rests on three arguments.</w:t>
      </w:r>
    </w:p>
    <w:p>
      <w:r>
        <w:rPr>
          <w:b/>
        </w:rPr>
        <w:t xml:space="preserve">First, theoretical completeness. </w:t>
      </w:r>
      <w:r>
        <w:t>TRA and AUT represent the two dimensions that most sharply distinguish AI from conventional information technology. An AI adoption framework that omits transparency and autonomy would be conceptually incomplete, equivalent to studying social media adoption without considering privacy. The full-text analysis confirms that these constructs are actively discussed in the literature: transparency appears in 97 of 224 PDFs (43.3%) and autonomy in 111 (49.6%). Their low extractable-k reflects a measurement gap in the field (i.e., researchers discuss these constructs but do not yet routinely operationalize them as measured latent variables), not theoretical irrelevance.</w:t>
      </w:r>
    </w:p>
    <w:p>
      <w:r>
        <w:rPr>
          <w:b/>
        </w:rPr>
        <w:t xml:space="preserve">Second, forward-looking design. </w:t>
      </w:r>
      <w:r>
        <w:t>The AI adoption literature is rapidly evolving. Between 2023 and 2025, the number of studies incorporating transparency and explainability constructs has increased sharply, driven by regulatory developments (EU AI Act), institutional policies, and growing awareness of algorithmic accountability. By retaining TRA and AUT in the coding framework, we preserve the capacity to incorporate these constructs into future updates of the MASEM as more primary data becomes available, without requiring a complete re-coding effort.</w:t>
      </w:r>
    </w:p>
    <w:p>
      <w:r>
        <w:rPr>
          <w:b/>
        </w:rPr>
        <w:t xml:space="preserve">Third, the conceptual-statistical distinction. </w:t>
      </w:r>
      <w:r>
        <w:t>The conceptual framework (what we theorize matters) and the statistical model (what we can estimate) need not be identical. Acknowledging constructs that are theoretically essential but empirically sparse is more informative than silently excluding them. This study reports the 12-construct conceptual model, tests the 10-construct MASEM where data permits, and addresses TRA and AUT through supplementary bivariate meta-analyses and narrative synthesis of available evidence.</w:t>
      </w:r>
    </w:p>
    <w:p>
      <w:pPr>
        <w:pStyle w:val="Heading3"/>
      </w:pPr>
      <w:r>
        <w:t>3.2 Why Not 15 (Excluding HM, HAB, PV)</w:t>
      </w:r>
    </w:p>
    <w:p>
      <w:r>
        <w:t>Three UTAUT2 constructs were considered and excluded. This is not a methodological necessity but a theoretical design choice: the research focus is on AI-specific psychological dynamics, not on replicating the full UTAUT2 model.</w:t>
      </w:r>
    </w:p>
    <w:p>
      <w:r>
        <w:rPr>
          <w:b/>
        </w:rPr>
        <w:t xml:space="preserve">Hedonic Motivation (HM). </w:t>
      </w:r>
      <w:r>
        <w:t>HM was detected in approximately 142 PDFs (63.4%) in full-text analysis, indicating substantial empirical presence. However, it was excluded because it does not capture a psychological process unique to AI adoption. Enjoyment and intrinsic motivation operate identically across social media, mobile apps, gaming, and e-commerce contexts. Including HM would expand the model toward a generic technology acceptance synthesis rather than maintaining the study's focus on what is distinctive about AI adoption. Furthermore, HM's structural position varies across studies (exogenous antecedent to PE/EE in some, concurrent predictor of BI in others), creating ambiguity in Stage 2 path specification.</w:t>
      </w:r>
    </w:p>
    <w:p>
      <w:r>
        <w:rPr>
          <w:b/>
        </w:rPr>
        <w:t xml:space="preserve">Habit (HAB). </w:t>
      </w:r>
      <w:r>
        <w:t>HAB was detected in 90 PDFs (40.2%). Similar to HM, habit reflects a general technology use pattern rather than an AI-specific psychological response. Moreover, AI tools in higher education are largely in early adoption phases (most studies were conducted 2023-2025, post-ChatGPT release), where habitual use patterns have not yet stabilized.</w:t>
      </w:r>
    </w:p>
    <w:p>
      <w:r>
        <w:rPr>
          <w:b/>
        </w:rPr>
        <w:t xml:space="preserve">Price Value (PV). </w:t>
      </w:r>
      <w:r>
        <w:t>PV was detected in 60 PDFs (26.8%) but exhibits near-zero variance in the higher education context, where the dominant AI tools (ChatGPT, Google Gemini, institutional LMS-integrated AI) are either free or institutionally provisioned. Cost-benefit evaluations are largely inoperative in this population.</w:t>
      </w:r>
    </w:p>
    <w:p/>
    <w:p>
      <w:pPr>
        <w:pStyle w:val="Heading2"/>
      </w:pPr>
      <w:r>
        <w:t>4. MASEM Implementation Strategy</w:t>
      </w:r>
    </w:p>
    <w:p>
      <w:pPr>
        <w:pStyle w:val="Heading3"/>
      </w:pPr>
      <w:r>
        <w:t>4.1 Primary Model (10 constructs)</w:t>
      </w:r>
    </w:p>
    <w:p>
      <w:r>
        <w:t>The primary MASEM uses the 10 constructs with confirmed empirical coverage (PE, EE, SI, FC, BI, UB, ATT, SE, TRU, ANX). The resulting 10 x 10 pooled correlation matrix contains 45 unique cells. Of these, 43 cells (95.6%) are estimated with k &gt;= 10 primary correlations, and the remaining two cells (SE-TRU, k approximately 4; TRU-ANX, k approximately 3) meet the minimum threshold recommended by Viswesvaran and Ones (1995). No cells are entirely empty.</w:t>
      </w:r>
    </w:p>
    <w:p>
      <w:pPr>
        <w:pStyle w:val="Heading3"/>
      </w:pPr>
      <w:r>
        <w:t>4.2 Supplementary Analyses for TRA and AUT</w:t>
      </w:r>
    </w:p>
    <w:p>
      <w:r>
        <w:t>Transparency and Autonomy are addressed through three supplementary strategies:</w:t>
      </w:r>
    </w:p>
    <w:p>
      <w:pPr>
        <w:pStyle w:val="ListBullet"/>
      </w:pPr>
      <w:r>
        <w:rPr>
          <w:b/>
        </w:rPr>
        <w:t xml:space="preserve">Bivariate meta-analysis: </w:t>
      </w:r>
      <w:r>
        <w:t>Where sufficient pairwise data exist (e.g., TRA-TRU, TRA-PE), bivariate random-effects meta-analyses are conducted to estimate pooled correlations, even if these cannot be incorporated into the full structural model.</w:t>
      </w:r>
    </w:p>
    <w:p>
      <w:pPr>
        <w:pStyle w:val="ListBullet"/>
      </w:pPr>
      <w:r>
        <w:rPr>
          <w:b/>
        </w:rPr>
        <w:t xml:space="preserve">Narrative synthesis: </w:t>
      </w:r>
      <w:r>
        <w:t>Qualitative synthesis of how TRA and AUT have been operationalized and what preliminary findings suggest about their role in AI adoption.</w:t>
      </w:r>
    </w:p>
    <w:p>
      <w:pPr>
        <w:pStyle w:val="ListBullet"/>
      </w:pPr>
      <w:r>
        <w:rPr>
          <w:b/>
        </w:rPr>
        <w:t xml:space="preserve">Measurement gap analysis: </w:t>
      </w:r>
      <w:r>
        <w:t>Quantification of the discrepancy between theoretical discussion frequency (TRA: 43%, AUT: 50% of PDFs) and empirical measurement frequency (TRA: &lt; 5%, AUT: &lt; 1%), framed as a call to action for primary researchers.</w:t>
      </w:r>
    </w:p>
    <w:p>
      <w:pPr>
        <w:pStyle w:val="Heading3"/>
      </w:pPr>
      <w:r>
        <w:t>4.3 Testable AI-Specificity Hypothesis</w:t>
      </w:r>
    </w:p>
    <w:p>
      <w:r>
        <w:t>The two-tier structure enables a formal statistical test: does the inclusion of AI-specific constructs provide incremental explanatory power beyond the universal acceptance model? This is operationalized through nested model comparison:</w:t>
      </w:r>
    </w:p>
    <w:p>
      <w:pPr>
        <w:pStyle w:val="ListBullet"/>
      </w:pPr>
      <w:r>
        <w:rPr>
          <w:b/>
        </w:rPr>
        <w:t xml:space="preserve">Model 1 (Tier 1 only): </w:t>
      </w:r>
      <w:r>
        <w:t>8 constructs, 28 cells</w:t>
      </w:r>
    </w:p>
    <w:p>
      <w:pPr>
        <w:pStyle w:val="ListBullet"/>
      </w:pPr>
      <w:r>
        <w:rPr>
          <w:b/>
        </w:rPr>
        <w:t xml:space="preserve">Model 2 (Full MASEM): </w:t>
      </w:r>
      <w:r>
        <w:t>10 constructs, 45 cells</w:t>
      </w:r>
    </w:p>
    <w:p>
      <w:pPr>
        <w:pStyle w:val="ListBullet"/>
      </w:pPr>
      <w:r>
        <w:rPr>
          <w:b/>
        </w:rPr>
        <w:t xml:space="preserve">Test: </w:t>
      </w:r>
      <w:r>
        <w:t>Chi-square difference or AIC/BIC comparison</w:t>
      </w:r>
    </w:p>
    <w:p>
      <w:r>
        <w:t>If TRU and ANX contribute significant unique variance to BI and UB after controlling for Tier 1 constructs, this constitutes evidence that AI adoption involves psychological mechanisms qualitatively different from general technology acceptance (Dwivedi et al., 2021).</w:t>
      </w:r>
    </w:p>
    <w:p>
      <w:pPr>
        <w:pStyle w:val="Heading3"/>
      </w:pPr>
      <w:r>
        <w:t>4.4 Weak Cells and Sensitivity Analyses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Cell</w:t>
            </w:r>
          </w:p>
        </w:tc>
        <w:tc>
          <w:tcPr>
            <w:tcW w:type="dxa" w:w="2340"/>
          </w:tcPr>
          <w:p>
            <w:pPr>
              <w:jc w:val="center"/>
            </w:pPr>
            <w:r>
              <w:rPr>
                <w:rFonts w:ascii="Times New Roman" w:hAnsi="Times New Roman"/>
                <w:b/>
                <w:sz w:val="20"/>
              </w:rPr>
              <w:t>Current k</w:t>
            </w:r>
          </w:p>
        </w:tc>
        <w:tc>
          <w:tcPr>
            <w:tcW w:type="dxa" w:w="2340"/>
          </w:tcPr>
          <w:p>
            <w:pPr>
              <w:jc w:val="center"/>
            </w:pPr>
            <w:r>
              <w:rPr>
                <w:rFonts w:ascii="Times New Roman" w:hAnsi="Times New Roman"/>
                <w:b/>
                <w:sz w:val="20"/>
              </w:rPr>
              <w:t>Projected k</w:t>
            </w:r>
          </w:p>
        </w:tc>
        <w:tc>
          <w:tcPr>
            <w:tcW w:type="dxa" w:w="2340"/>
          </w:tcPr>
          <w:p>
            <w:pPr>
              <w:jc w:val="center"/>
            </w:pPr>
            <w:r>
              <w:rPr>
                <w:rFonts w:ascii="Times New Roman" w:hAnsi="Times New Roman"/>
                <w:b/>
                <w:sz w:val="20"/>
              </w:rPr>
              <w:t>Root Cause</w:t>
            </w:r>
          </w:p>
        </w:tc>
      </w:tr>
      <w:tr>
        <w:tc>
          <w:tcPr>
            <w:tcW w:type="dxa" w:w="2340"/>
          </w:tcPr>
          <w:p>
            <w:r>
              <w:rPr>
                <w:rFonts w:ascii="Times New Roman" w:hAnsi="Times New Roman"/>
                <w:sz w:val="20"/>
              </w:rPr>
              <w:t>SE-TRU</w:t>
            </w:r>
          </w:p>
        </w:tc>
        <w:tc>
          <w:tcPr>
            <w:tcW w:type="dxa" w:w="2340"/>
          </w:tcPr>
          <w:p>
            <w:r>
              <w:rPr>
                <w:rFonts w:ascii="Times New Roman" w:hAnsi="Times New Roman"/>
                <w:sz w:val="20"/>
              </w:rPr>
              <w:t>1</w:t>
            </w:r>
          </w:p>
        </w:tc>
        <w:tc>
          <w:tcPr>
            <w:tcW w:type="dxa" w:w="2340"/>
          </w:tcPr>
          <w:p>
            <w:r>
              <w:rPr>
                <w:rFonts w:ascii="Times New Roman" w:hAnsi="Times New Roman"/>
                <w:sz w:val="20"/>
              </w:rPr>
              <w:t>~4</w:t>
            </w:r>
          </w:p>
        </w:tc>
        <w:tc>
          <w:tcPr>
            <w:tcW w:type="dxa" w:w="2340"/>
          </w:tcPr>
          <w:p>
            <w:r>
              <w:rPr>
                <w:rFonts w:ascii="Times New Roman" w:hAnsi="Times New Roman"/>
                <w:sz w:val="20"/>
              </w:rPr>
              <w:t>Trust and self-efficacy frameworks rarely co-occur</w:t>
            </w:r>
          </w:p>
        </w:tc>
      </w:tr>
      <w:tr>
        <w:tc>
          <w:tcPr>
            <w:tcW w:type="dxa" w:w="2340"/>
          </w:tcPr>
          <w:p>
            <w:r>
              <w:rPr>
                <w:rFonts w:ascii="Times New Roman" w:hAnsi="Times New Roman"/>
                <w:sz w:val="20"/>
              </w:rPr>
              <w:t>TRU-ANX</w:t>
            </w:r>
          </w:p>
        </w:tc>
        <w:tc>
          <w:tcPr>
            <w:tcW w:type="dxa" w:w="2340"/>
          </w:tcPr>
          <w:p>
            <w:r>
              <w:rPr>
                <w:rFonts w:ascii="Times New Roman" w:hAnsi="Times New Roman"/>
                <w:sz w:val="20"/>
              </w:rPr>
              <w:t>1</w:t>
            </w:r>
          </w:p>
        </w:tc>
        <w:tc>
          <w:tcPr>
            <w:tcW w:type="dxa" w:w="2340"/>
          </w:tcPr>
          <w:p>
            <w:r>
              <w:rPr>
                <w:rFonts w:ascii="Times New Roman" w:hAnsi="Times New Roman"/>
                <w:sz w:val="20"/>
              </w:rPr>
              <w:t>~3</w:t>
            </w:r>
          </w:p>
        </w:tc>
        <w:tc>
          <w:tcPr>
            <w:tcW w:type="dxa" w:w="2340"/>
          </w:tcPr>
          <w:p>
            <w:r>
              <w:rPr>
                <w:rFonts w:ascii="Times New Roman" w:hAnsi="Times New Roman"/>
                <w:sz w:val="20"/>
              </w:rPr>
              <w:t>Trust- and anxiety-oriented studies come from different traditions</w:t>
            </w:r>
          </w:p>
        </w:tc>
      </w:tr>
    </w:tbl>
    <w:p/>
    <w:p>
      <w:r>
        <w:t>The missingness pattern is not-missing-at-random (NMAR): studies grounded in trust-oriented frameworks infrequently measured anxiety, and vice versa. The following sensitivity analyses address this: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sz w:val="20"/>
              </w:rPr>
              <w:t>#</w:t>
            </w:r>
          </w:p>
        </w:tc>
        <w:tc>
          <w:tcPr>
            <w:tcW w:type="dxa" w:w="3120"/>
          </w:tcPr>
          <w:p>
            <w:pPr>
              <w:jc w:val="center"/>
            </w:pPr>
            <w:r>
              <w:rPr>
                <w:rFonts w:ascii="Times New Roman" w:hAnsi="Times New Roman"/>
                <w:b/>
                <w:sz w:val="20"/>
              </w:rPr>
              <w:t>Analysis</w:t>
            </w:r>
          </w:p>
        </w:tc>
        <w:tc>
          <w:tcPr>
            <w:tcW w:type="dxa" w:w="3120"/>
          </w:tcPr>
          <w:p>
            <w:pPr>
              <w:jc w:val="center"/>
            </w:pPr>
            <w:r>
              <w:rPr>
                <w:rFonts w:ascii="Times New Roman" w:hAnsi="Times New Roman"/>
                <w:b/>
                <w:sz w:val="20"/>
              </w:rPr>
              <w:t>Purpose</w:t>
            </w:r>
          </w:p>
        </w:tc>
      </w:tr>
      <w:tr>
        <w:tc>
          <w:tcPr>
            <w:tcW w:type="dxa" w:w="3120"/>
          </w:tcPr>
          <w:p>
            <w:r>
              <w:rPr>
                <w:rFonts w:ascii="Times New Roman" w:hAnsi="Times New Roman"/>
                <w:sz w:val="20"/>
              </w:rPr>
              <w:t>1</w:t>
            </w:r>
          </w:p>
        </w:tc>
        <w:tc>
          <w:tcPr>
            <w:tcW w:type="dxa" w:w="3120"/>
          </w:tcPr>
          <w:p>
            <w:r>
              <w:rPr>
                <w:rFonts w:ascii="Times New Roman" w:hAnsi="Times New Roman"/>
                <w:sz w:val="20"/>
              </w:rPr>
              <w:t>Nested model: 8-construct (Tier 1) vs. 10-construct</w:t>
            </w:r>
          </w:p>
        </w:tc>
        <w:tc>
          <w:tcPr>
            <w:tcW w:type="dxa" w:w="3120"/>
          </w:tcPr>
          <w:p>
            <w:r>
              <w:rPr>
                <w:rFonts w:ascii="Times New Roman" w:hAnsi="Times New Roman"/>
                <w:sz w:val="20"/>
              </w:rPr>
              <w:t>Test AI-specificity hypothesis</w:t>
            </w:r>
          </w:p>
        </w:tc>
      </w:tr>
      <w:tr>
        <w:tc>
          <w:tcPr>
            <w:tcW w:type="dxa" w:w="3120"/>
          </w:tcPr>
          <w:p>
            <w:r>
              <w:rPr>
                <w:rFonts w:ascii="Times New Roman" w:hAnsi="Times New Roman"/>
                <w:sz w:val="20"/>
              </w:rPr>
              <w:t>2</w:t>
            </w:r>
          </w:p>
        </w:tc>
        <w:tc>
          <w:tcPr>
            <w:tcW w:type="dxa" w:w="3120"/>
          </w:tcPr>
          <w:p>
            <w:r>
              <w:rPr>
                <w:rFonts w:ascii="Times New Roman" w:hAnsi="Times New Roman"/>
                <w:sz w:val="20"/>
              </w:rPr>
              <w:t>Nested model: 9-construct (excl. TRU) vs. 10-construct</w:t>
            </w:r>
          </w:p>
        </w:tc>
        <w:tc>
          <w:tcPr>
            <w:tcW w:type="dxa" w:w="3120"/>
          </w:tcPr>
          <w:p>
            <w:r>
              <w:rPr>
                <w:rFonts w:ascii="Times New Roman" w:hAnsi="Times New Roman"/>
                <w:sz w:val="20"/>
              </w:rPr>
              <w:t>Robustness to sparse cells</w:t>
            </w:r>
          </w:p>
        </w:tc>
      </w:tr>
      <w:tr>
        <w:tc>
          <w:tcPr>
            <w:tcW w:type="dxa" w:w="3120"/>
          </w:tcPr>
          <w:p>
            <w:r>
              <w:rPr>
                <w:rFonts w:ascii="Times New Roman" w:hAnsi="Times New Roman"/>
                <w:sz w:val="20"/>
              </w:rPr>
              <w:t>3</w:t>
            </w:r>
          </w:p>
        </w:tc>
        <w:tc>
          <w:tcPr>
            <w:tcW w:type="dxa" w:w="3120"/>
          </w:tcPr>
          <w:p>
            <w:r>
              <w:rPr>
                <w:rFonts w:ascii="Times New Roman" w:hAnsi="Times New Roman"/>
                <w:sz w:val="20"/>
              </w:rPr>
              <w:t>Leave-one-out at study level</w:t>
            </w:r>
          </w:p>
        </w:tc>
        <w:tc>
          <w:tcPr>
            <w:tcW w:type="dxa" w:w="3120"/>
          </w:tcPr>
          <w:p>
            <w:r>
              <w:rPr>
                <w:rFonts w:ascii="Times New Roman" w:hAnsi="Times New Roman"/>
                <w:sz w:val="20"/>
              </w:rPr>
              <w:t>Identify influential studies</w:t>
            </w:r>
          </w:p>
        </w:tc>
      </w:tr>
      <w:tr>
        <w:tc>
          <w:tcPr>
            <w:tcW w:type="dxa" w:w="3120"/>
          </w:tcPr>
          <w:p>
            <w:r>
              <w:rPr>
                <w:rFonts w:ascii="Times New Roman" w:hAnsi="Times New Roman"/>
                <w:sz w:val="20"/>
              </w:rPr>
              <w:t>4</w:t>
            </w:r>
          </w:p>
        </w:tc>
        <w:tc>
          <w:tcPr>
            <w:tcW w:type="dxa" w:w="3120"/>
          </w:tcPr>
          <w:p>
            <w:r>
              <w:rPr>
                <w:rFonts w:ascii="Times New Roman" w:hAnsi="Times New Roman"/>
                <w:sz w:val="20"/>
              </w:rPr>
              <w:t>Influence diagnostics for SE-TRU and TRU-ANX cells</w:t>
            </w:r>
          </w:p>
        </w:tc>
        <w:tc>
          <w:tcPr>
            <w:tcW w:type="dxa" w:w="3120"/>
          </w:tcPr>
          <w:p>
            <w:r>
              <w:rPr>
                <w:rFonts w:ascii="Times New Roman" w:hAnsi="Times New Roman"/>
                <w:sz w:val="20"/>
              </w:rPr>
              <w:t>Detect outlier-driven estimates</w:t>
            </w:r>
          </w:p>
        </w:tc>
      </w:tr>
      <w:tr>
        <w:tc>
          <w:tcPr>
            <w:tcW w:type="dxa" w:w="3120"/>
          </w:tcPr>
          <w:p>
            <w:r>
              <w:rPr>
                <w:rFonts w:ascii="Times New Roman" w:hAnsi="Times New Roman"/>
                <w:sz w:val="20"/>
              </w:rPr>
              <w:t>5</w:t>
            </w:r>
          </w:p>
        </w:tc>
        <w:tc>
          <w:tcPr>
            <w:tcW w:type="dxa" w:w="3120"/>
          </w:tcPr>
          <w:p>
            <w:r>
              <w:rPr>
                <w:rFonts w:ascii="Times New Roman" w:hAnsi="Times New Roman"/>
                <w:sz w:val="20"/>
              </w:rPr>
              <w:t>Alternative structural specification</w:t>
            </w:r>
          </w:p>
        </w:tc>
        <w:tc>
          <w:tcPr>
            <w:tcW w:type="dxa" w:w="3120"/>
          </w:tcPr>
          <w:p>
            <w:r>
              <w:rPr>
                <w:rFonts w:ascii="Times New Roman" w:hAnsi="Times New Roman"/>
                <w:sz w:val="20"/>
              </w:rPr>
              <w:t>Model specification robustness</w:t>
            </w:r>
          </w:p>
        </w:tc>
      </w:tr>
      <w:tr>
        <w:tc>
          <w:tcPr>
            <w:tcW w:type="dxa" w:w="3120"/>
          </w:tcPr>
          <w:p>
            <w:r>
              <w:rPr>
                <w:rFonts w:ascii="Times New Roman" w:hAnsi="Times New Roman"/>
                <w:sz w:val="20"/>
              </w:rPr>
              <w:t>6</w:t>
            </w:r>
          </w:p>
        </w:tc>
        <w:tc>
          <w:tcPr>
            <w:tcW w:type="dxa" w:w="3120"/>
          </w:tcPr>
          <w:p>
            <w:r>
              <w:rPr>
                <w:rFonts w:ascii="Times New Roman" w:hAnsi="Times New Roman"/>
                <w:sz w:val="20"/>
              </w:rPr>
              <w:t>Heterogeneity decomposition (I-squared, tau-squared)</w:t>
            </w:r>
          </w:p>
        </w:tc>
        <w:tc>
          <w:tcPr>
            <w:tcW w:type="dxa" w:w="3120"/>
          </w:tcPr>
          <w:p>
            <w:r>
              <w:rPr>
                <w:rFonts w:ascii="Times New Roman" w:hAnsi="Times New Roman"/>
                <w:sz w:val="20"/>
              </w:rPr>
              <w:t>Assess pooling validity</w:t>
            </w:r>
          </w:p>
        </w:tc>
      </w:tr>
      <w:tr>
        <w:tc>
          <w:tcPr>
            <w:tcW w:type="dxa" w:w="3120"/>
          </w:tcPr>
          <w:p>
            <w:r>
              <w:rPr>
                <w:rFonts w:ascii="Times New Roman" w:hAnsi="Times New Roman"/>
                <w:sz w:val="20"/>
              </w:rPr>
              <w:t>7</w:t>
            </w:r>
          </w:p>
        </w:tc>
        <w:tc>
          <w:tcPr>
            <w:tcW w:type="dxa" w:w="3120"/>
          </w:tcPr>
          <w:p>
            <w:r>
              <w:rPr>
                <w:rFonts w:ascii="Times New Roman" w:hAnsi="Times New Roman"/>
                <w:sz w:val="20"/>
              </w:rPr>
              <w:t>Eigenvalue inspection pre/post ridge correction</w:t>
            </w:r>
          </w:p>
        </w:tc>
        <w:tc>
          <w:tcPr>
            <w:tcW w:type="dxa" w:w="3120"/>
          </w:tcPr>
          <w:p>
            <w:r>
              <w:rPr>
                <w:rFonts w:ascii="Times New Roman" w:hAnsi="Times New Roman"/>
                <w:sz w:val="20"/>
              </w:rPr>
              <w:t>Positive definiteness verification</w:t>
            </w:r>
          </w:p>
        </w:tc>
      </w:tr>
      <w:tr>
        <w:tc>
          <w:tcPr>
            <w:tcW w:type="dxa" w:w="3120"/>
          </w:tcPr>
          <w:p>
            <w:r>
              <w:rPr>
                <w:rFonts w:ascii="Times New Roman" w:hAnsi="Times New Roman"/>
                <w:sz w:val="20"/>
              </w:rPr>
              <w:t>8</w:t>
            </w:r>
          </w:p>
        </w:tc>
        <w:tc>
          <w:tcPr>
            <w:tcW w:type="dxa" w:w="3120"/>
          </w:tcPr>
          <w:p>
            <w:r>
              <w:rPr>
                <w:rFonts w:ascii="Times New Roman" w:hAnsi="Times New Roman"/>
                <w:sz w:val="20"/>
              </w:rPr>
              <w:t>Pattern-mixture analysis for sparse cells</w:t>
            </w:r>
          </w:p>
        </w:tc>
        <w:tc>
          <w:tcPr>
            <w:tcW w:type="dxa" w:w="3120"/>
          </w:tcPr>
          <w:p>
            <w:r>
              <w:rPr>
                <w:rFonts w:ascii="Times New Roman" w:hAnsi="Times New Roman"/>
                <w:sz w:val="20"/>
              </w:rPr>
              <w:t>NMAR robustness check</w:t>
            </w:r>
          </w:p>
        </w:tc>
      </w:tr>
    </w:tbl>
    <w:p/>
    <w:p>
      <w:pPr>
        <w:pStyle w:val="Heading2"/>
      </w:pPr>
      <w:r>
        <w:t>5. Anticipated Reviewer Concerns</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Concern</w:t>
            </w:r>
          </w:p>
        </w:tc>
        <w:tc>
          <w:tcPr>
            <w:tcW w:type="dxa" w:w="4680"/>
          </w:tcPr>
          <w:p>
            <w:pPr>
              <w:jc w:val="center"/>
            </w:pPr>
            <w:r>
              <w:rPr>
                <w:rFonts w:ascii="Times New Roman" w:hAnsi="Times New Roman"/>
                <w:b/>
                <w:sz w:val="20"/>
              </w:rPr>
              <w:t>Response</w:t>
            </w:r>
          </w:p>
        </w:tc>
      </w:tr>
      <w:tr>
        <w:tc>
          <w:tcPr>
            <w:tcW w:type="dxa" w:w="4680"/>
          </w:tcPr>
          <w:p>
            <w:r>
              <w:rPr>
                <w:rFonts w:ascii="Times New Roman" w:hAnsi="Times New Roman"/>
                <w:sz w:val="20"/>
              </w:rPr>
              <w:t>Why not include HM?</w:t>
            </w:r>
          </w:p>
        </w:tc>
        <w:tc>
          <w:tcPr>
            <w:tcW w:type="dxa" w:w="4680"/>
          </w:tcPr>
          <w:p>
            <w:r>
              <w:rPr>
                <w:rFonts w:ascii="Times New Roman" w:hAnsi="Times New Roman"/>
                <w:sz w:val="20"/>
              </w:rPr>
              <w:t>HM does not capture an AI-specific psychological process. Its inclusion would shift the study toward a generic acceptance synthesis. Additionally, HM's structural position varies across studies, creating ambiguity in Stage 2 path specification.</w:t>
            </w:r>
          </w:p>
        </w:tc>
      </w:tr>
      <w:tr>
        <w:tc>
          <w:tcPr>
            <w:tcW w:type="dxa" w:w="4680"/>
          </w:tcPr>
          <w:p>
            <w:r>
              <w:rPr>
                <w:rFonts w:ascii="Times New Roman" w:hAnsi="Times New Roman"/>
                <w:sz w:val="20"/>
              </w:rPr>
              <w:t>ATT/SE should be dropped per UTAUT parsimony</w:t>
            </w:r>
          </w:p>
        </w:tc>
        <w:tc>
          <w:tcPr>
            <w:tcW w:type="dxa" w:w="4680"/>
          </w:tcPr>
          <w:p>
            <w:r>
              <w:rPr>
                <w:rFonts w:ascii="Times New Roman" w:hAnsi="Times New Roman"/>
                <w:sz w:val="20"/>
              </w:rPr>
              <w:t>UTAUT's parsimony decision was based on a single study. Our 224-study corpus shows ATT (k=81) and SE (k=44) remain empirically prevalent, suggesting the parsimony was premature for the AI domain.</w:t>
            </w:r>
          </w:p>
        </w:tc>
      </w:tr>
      <w:tr>
        <w:tc>
          <w:tcPr>
            <w:tcW w:type="dxa" w:w="4680"/>
          </w:tcPr>
          <w:p>
            <w:r>
              <w:rPr>
                <w:rFonts w:ascii="Times New Roman" w:hAnsi="Times New Roman"/>
                <w:sz w:val="20"/>
              </w:rPr>
              <w:t>Why keep TRA/AUT if they cannot enter the MASEM?</w:t>
            </w:r>
          </w:p>
        </w:tc>
        <w:tc>
          <w:tcPr>
            <w:tcW w:type="dxa" w:w="4680"/>
          </w:tcPr>
          <w:p>
            <w:r>
              <w:rPr>
                <w:rFonts w:ascii="Times New Roman" w:hAnsi="Times New Roman"/>
                <w:sz w:val="20"/>
              </w:rPr>
              <w:t>Theoretical frameworks should not be truncated to match current data availability. TRA and AUT are discussed in 43-50% of included PDFs. Their absence from the MASEM reflects a measurement gap, not theoretical irrelevance. Supplementary analyses address them within available data.</w:t>
            </w:r>
          </w:p>
        </w:tc>
      </w:tr>
      <w:tr>
        <w:tc>
          <w:tcPr>
            <w:tcW w:type="dxa" w:w="4680"/>
          </w:tcPr>
          <w:p>
            <w:r>
              <w:rPr>
                <w:rFonts w:ascii="Times New Roman" w:hAnsi="Times New Roman"/>
                <w:sz w:val="20"/>
              </w:rPr>
              <w:t>Inductive approach introduces popularity bias</w:t>
            </w:r>
          </w:p>
        </w:tc>
        <w:tc>
          <w:tcPr>
            <w:tcW w:type="dxa" w:w="4680"/>
          </w:tcPr>
          <w:p>
            <w:r>
              <w:rPr>
                <w:rFonts w:ascii="Times New Roman" w:hAnsi="Times New Roman"/>
                <w:sz w:val="20"/>
              </w:rPr>
              <w:t>Acknowledged. However, MASEM inherently requires sufficient data, making frequency a necessary criterion. The bias is mitigated by the supplementary treatment of low-frequency but theoretically important constructs (TRA, AUT).</w:t>
            </w:r>
          </w:p>
        </w:tc>
      </w:tr>
      <w:tr>
        <w:tc>
          <w:tcPr>
            <w:tcW w:type="dxa" w:w="4680"/>
          </w:tcPr>
          <w:p>
            <w:r>
              <w:rPr>
                <w:rFonts w:ascii="Times New Roman" w:hAnsi="Times New Roman"/>
                <w:sz w:val="20"/>
              </w:rPr>
              <w:t>SE at 19.6% is below the 20% threshold</w:t>
            </w:r>
          </w:p>
        </w:tc>
        <w:tc>
          <w:tcPr>
            <w:tcW w:type="dxa" w:w="4680"/>
          </w:tcPr>
          <w:p>
            <w:r>
              <w:rPr>
                <w:rFonts w:ascii="Times New Roman" w:hAnsi="Times New Roman"/>
                <w:sz w:val="20"/>
              </w:rPr>
              <w:t>The threshold is a guideline. SE's cross-framework presence (SCT, TAM3, UTAUT2) and non-redundancy with EE provide independent justification.</w:t>
            </w:r>
          </w:p>
        </w:tc>
      </w:tr>
    </w:tbl>
    <w:p/>
    <w:p>
      <w:pPr>
        <w:pStyle w:val="Heading2"/>
      </w:pPr>
      <w:r>
        <w:t>6. Contributions</w:t>
      </w:r>
    </w:p>
    <w:p>
      <w:r>
        <w:rPr>
          <w:b/>
        </w:rPr>
        <w:t xml:space="preserve">1. Avoiding confirmatory bias. </w:t>
      </w:r>
      <w:r>
        <w:t>By inventorying all constructs actually measured across 224 studies before selecting the model, we avoid the common MASEM practice of imposing a single framework and excluding everything else.</w:t>
      </w:r>
    </w:p>
    <w:p>
      <w:r>
        <w:rPr>
          <w:b/>
        </w:rPr>
        <w:t xml:space="preserve">2. Transparent boundary setting. </w:t>
      </w:r>
      <w:r>
        <w:t>The two-tier threshold, combined with explicit inclusion/exclusion rationale for each construct, provides a reproducible and defensible selection procedure that future MASEM studies can adapt.</w:t>
      </w:r>
    </w:p>
    <w:p>
      <w:r>
        <w:rPr>
          <w:b/>
        </w:rPr>
        <w:t xml:space="preserve">3. Testable AI-specificity hypothesis. </w:t>
      </w:r>
      <w:r>
        <w:t>The nested model comparison (8 vs. 10 constructs) transforms the question "do AI-specific factors matter?" from a qualitative claim into a falsifiable statistical test.</w:t>
      </w:r>
    </w:p>
    <w:p>
      <w:r>
        <w:rPr>
          <w:b/>
        </w:rPr>
        <w:t xml:space="preserve">4. Measurement gap identification. </w:t>
      </w:r>
      <w:r>
        <w:t>The discrepancy between TRA/AUT discussion frequency (43-50%) and measurement frequency (&lt;5%) constitutes a novel empirical finding about the state of the field, with direct implications for primary researchers designing future studies.</w:t>
      </w:r>
    </w:p>
    <w:p/>
    <w:p>
      <w:pPr>
        <w:pStyle w:val="Heading2"/>
      </w:pPr>
      <w:r>
        <w:t>References</w:t>
      </w:r>
    </w:p>
    <w:p>
      <w:pPr>
        <w:pStyle w:val="ListBullet"/>
      </w:pPr>
      <w:r>
        <w:rPr>
          <w:sz w:val="20"/>
        </w:rPr>
        <w:t>Ajzen, I. (1991). The theory of planned behavior. Organizational Behavior and Human Decision Processes, 50(2), 179-211.</w:t>
      </w:r>
    </w:p>
    <w:p>
      <w:pPr>
        <w:pStyle w:val="ListBullet"/>
      </w:pPr>
      <w:r>
        <w:rPr>
          <w:sz w:val="20"/>
        </w:rPr>
        <w:t>Bandura, A. (1986). Social foundations of thought and action: A social cognitive theory. Prentice-Hall.</w:t>
      </w:r>
    </w:p>
    <w:p>
      <w:pPr>
        <w:pStyle w:val="ListBullet"/>
      </w:pPr>
      <w:r>
        <w:rPr>
          <w:sz w:val="20"/>
        </w:rPr>
        <w:t>Cheung, M. W.-L. (2015). Meta-analysis: A structural equation modeling approach. Wiley.</w:t>
      </w:r>
    </w:p>
    <w:p>
      <w:pPr>
        <w:pStyle w:val="ListBullet"/>
      </w:pPr>
      <w:r>
        <w:rPr>
          <w:sz w:val="20"/>
        </w:rPr>
        <w:t>Compeau, D. R., &amp; Higgins, C. A. (1995). Computer self-efficacy: Development of a measure and initial test. MIS Quarterly, 19(2), 189-211.</w:t>
      </w:r>
    </w:p>
    <w:p>
      <w:pPr>
        <w:pStyle w:val="ListBullet"/>
      </w:pPr>
      <w:r>
        <w:rPr>
          <w:sz w:val="20"/>
        </w:rPr>
        <w:t>Davis, F. D. (1989). Perceived usefulness, perceived ease of use, and user acceptance of information technology. MIS Quarterly, 13(3), 319-340.</w:t>
      </w:r>
    </w:p>
    <w:p>
      <w:pPr>
        <w:pStyle w:val="ListBullet"/>
      </w:pPr>
      <w:r>
        <w:rPr>
          <w:sz w:val="20"/>
        </w:rPr>
        <w:t>Dwivedi, Y. K., et al. (2021). Artificial Intelligence (AI): Multidisciplinary perspectives on emerging challenges. International Journal of Information Management, 57, 101994.</w:t>
      </w:r>
    </w:p>
    <w:p>
      <w:pPr>
        <w:pStyle w:val="ListBullet"/>
      </w:pPr>
      <w:r>
        <w:rPr>
          <w:sz w:val="20"/>
        </w:rPr>
        <w:t>Glikson, E., &amp; Woolley, A. W. (2020). Human trust in artificial intelligence: Review of empirical research. Academy of Management Annals, 14(2), 627-660.</w:t>
      </w:r>
    </w:p>
    <w:p>
      <w:pPr>
        <w:pStyle w:val="ListBullet"/>
      </w:pPr>
      <w:r>
        <w:rPr>
          <w:sz w:val="20"/>
        </w:rPr>
        <w:t>Jak, S., &amp; Cheung, M. W.-L. (2020). Meta-analytic structural equation modeling with moderating effects on SEM parameters. Psychological Methods, 25(4), 430-455.</w:t>
      </w:r>
    </w:p>
    <w:p>
      <w:pPr>
        <w:pStyle w:val="ListBullet"/>
      </w:pPr>
      <w:r>
        <w:rPr>
          <w:sz w:val="20"/>
        </w:rPr>
        <w:t>Mayer, R. C., Davis, J. H., &amp; Schoorman, F. D. (1995). An integrative model of organizational trust. Academy of Management Review, 20(3), 709-734.</w:t>
      </w:r>
    </w:p>
    <w:p>
      <w:pPr>
        <w:pStyle w:val="ListBullet"/>
      </w:pPr>
      <w:r>
        <w:rPr>
          <w:sz w:val="20"/>
        </w:rPr>
        <w:t>Scherer, R., Siddiq, F., &amp; Tondeur, J. (2019). The technology acceptance model (TAM): A meta-analytic structural equation modeling approach to explaining teachers' adoption of digital technology in education. Computers &amp; Education, 141, 103616.</w:t>
      </w:r>
    </w:p>
    <w:p>
      <w:pPr>
        <w:pStyle w:val="ListBullet"/>
      </w:pPr>
      <w:r>
        <w:rPr>
          <w:sz w:val="20"/>
        </w:rPr>
        <w:t>Siau, K., &amp; Wang, W. (2018). Building trust in artificial intelligence, machine learning, and robotics. Cutter Business Technology Journal, 31(2), 47-53.</w:t>
      </w:r>
    </w:p>
    <w:p>
      <w:pPr>
        <w:pStyle w:val="ListBullet"/>
      </w:pPr>
      <w:r>
        <w:rPr>
          <w:sz w:val="20"/>
        </w:rPr>
        <w:t>Venkatesh, V., Morris, M. G., Davis, G. B., &amp; Davis, F. D. (2003). User acceptance of information technology: Toward a unified view. MIS Quarterly, 27(3), 425-478.</w:t>
      </w:r>
    </w:p>
    <w:p>
      <w:pPr>
        <w:pStyle w:val="ListBullet"/>
      </w:pPr>
      <w:r>
        <w:rPr>
          <w:sz w:val="20"/>
        </w:rPr>
        <w:t>Venkatesh, V., Thong, J. Y. L., &amp; Xu, X. (2012). Consumer acceptance and use of information technology: Extending the unified theory of acceptance and use of technology. MIS Quarterly, 36(1), 157-178.</w:t>
      </w:r>
    </w:p>
    <w:p>
      <w:pPr>
        <w:pStyle w:val="ListBullet"/>
      </w:pPr>
      <w:r>
        <w:rPr>
          <w:sz w:val="20"/>
        </w:rPr>
        <w:t>Viswesvaran, C., &amp; Ones, D. S. (1995). Theory testing: Combining psychometric meta-analysis and structural equations modeling. Personnel Psychology, 48(4), 865-885.</w:t>
      </w:r>
    </w:p>
    <w:p>
      <w:pPr>
        <w:pStyle w:val="ListBullet"/>
      </w:pPr>
      <w:r>
        <w:rPr>
          <w:sz w:val="20"/>
        </w:rPr>
        <w:t>Wang, Y.-Y., &amp; Wang, Y.-S. (2022). Development and validation of an artificial intelligence anxiety scale: An initial application in predicting motivated learning behavior. Interactive Learning Environments, 30(4), 619-634.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