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B3A5C"/>
          <w:sz w:val="64"/>
        </w:rPr>
        <w:t>AI Adoption in Education</w:t>
      </w:r>
    </w:p>
    <w:p>
      <w:pPr>
        <w:jc w:val="center"/>
      </w:pPr>
      <w:r>
        <w:rPr>
          <w:rFonts w:ascii="Calibri" w:hAnsi="Calibri"/>
          <w:color w:val="2E74B5"/>
          <w:sz w:val="52"/>
        </w:rPr>
        <w:t>MASEM Coding Manual</w:t>
      </w:r>
    </w:p>
    <w:p>
      <w:pPr>
        <w:pBdr>
          <w:bottom w:val="single" w:sz="6" w:space="1" w:color="B4C7DC"/>
        </w:pBdr>
      </w:pPr>
    </w:p>
    <w:p>
      <w:pPr>
        <w:jc w:val="center"/>
      </w:pPr>
      <w:r>
        <w:rPr>
          <w:rFonts w:ascii="Calibri" w:hAnsi="Calibri"/>
          <w:color w:val="666666"/>
          <w:sz w:val="28"/>
        </w:rPr>
        <w:t>Version 2.1  |  March 2026</w:t>
      </w:r>
    </w:p>
    <w:p/>
    <w:p>
      <w:pPr>
        <w:jc w:val="center"/>
      </w:pPr>
      <w:r>
        <w:rPr>
          <w:rFonts w:ascii="Calibri" w:hAnsi="Calibri"/>
          <w:color w:val="555555"/>
          <w:sz w:val="26"/>
        </w:rPr>
        <w:t>Author: Hosung You</w:t>
      </w:r>
    </w:p>
    <w:p>
      <w:pPr>
        <w:jc w:val="center"/>
      </w:pPr>
      <w:r>
        <w:rPr>
          <w:rFonts w:ascii="Calibri" w:hAnsi="Calibri"/>
          <w:color w:val="777777"/>
          <w:sz w:val="24"/>
        </w:rPr>
        <w:t>Pennsylvania State University, College of Education</w:t>
      </w:r>
    </w:p>
    <w:p/>
    <w:p/>
    <w:p/>
    <w:p/>
    <w:p>
      <w:pPr>
        <w:jc w:val="center"/>
      </w:pPr>
      <w:r>
        <w:rPr>
          <w:i/>
          <w:color w:val="888888"/>
          <w:sz w:val="22"/>
        </w:rPr>
        <w:t>Meta-Analytic Structural Equation Modeling (MASEM)</w:t>
      </w:r>
    </w:p>
    <w:p>
      <w:pPr>
        <w:jc w:val="center"/>
      </w:pPr>
      <w:r>
        <w:rPr>
          <w:color w:val="999999"/>
          <w:sz w:val="20"/>
        </w:rPr>
        <w:t>12 Target Constructs  ·  4 Competing SEM Models  ·  ~250 Studies</w:t>
      </w:r>
    </w:p>
    <w:p>
      <w:r>
        <w:br w:type="page"/>
      </w:r>
    </w:p>
    <w:p>
      <w:pPr>
        <w:pStyle w:val="Heading2"/>
      </w:pPr>
      <w:r>
        <w:t>Version History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69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1.0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2026-02-16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 release</w:t>
            </w:r>
          </w:p>
        </w:tc>
      </w:tr>
      <w:tr>
        <w:tc>
          <w:tcPr>
            <w:tcW w:type="dxa" w:w="100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2.0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2026-03-09</w:t>
            </w:r>
          </w:p>
        </w:tc>
        <w:tc>
          <w:tcPr>
            <w:tcW w:type="dxa" w:w="69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Major revision: year range 2022–2026; education-only scope; independent coding workflow; AI metadata pre-coding; 3 CLI models; full-text exclusion codes E-FT1–E-FT6</w:t>
            </w:r>
          </w:p>
        </w:tc>
      </w:tr>
      <w:tr>
        <w:tc>
          <w:tcPr>
            <w:tcW w:type="dxa" w:w="100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2.1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2026-03-10</w:t>
            </w:r>
          </w:p>
        </w:tc>
        <w:tc>
          <w:tcPr>
            <w:tcW w:type="dxa" w:w="69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A+B integrated design; 2-pair ICR (R1+R2, R3+R4); Phase 1 100-study dual + Phase 2 150-study single; calibration 10 studies; cross-pair adjudication</w:t>
            </w:r>
          </w:p>
        </w:tc>
      </w:tr>
    </w:tbl>
    <w:p/>
    <w:p>
      <w:pPr>
        <w:pStyle w:val="Heading2"/>
      </w:pPr>
      <w:r>
        <w:t>Table of Contents</w:t>
      </w:r>
    </w:p>
    <w:p>
      <w:pPr>
        <w:spacing w:before="40" w:after="40"/>
      </w:pPr>
      <w:r>
        <w:rPr>
          <w:color w:val="2E74B5"/>
          <w:sz w:val="22"/>
        </w:rPr>
        <w:t>1. Introduction and Purpose</w:t>
      </w:r>
    </w:p>
    <w:p>
      <w:pPr>
        <w:spacing w:before="40" w:after="40"/>
      </w:pPr>
      <w:r>
        <w:rPr>
          <w:color w:val="2E74B5"/>
          <w:sz w:val="22"/>
        </w:rPr>
        <w:t>2. Eligibility Criteria</w:t>
      </w:r>
    </w:p>
    <w:p>
      <w:pPr>
        <w:spacing w:before="40" w:after="40"/>
      </w:pPr>
      <w:r>
        <w:rPr>
          <w:color w:val="2E74B5"/>
          <w:sz w:val="22"/>
        </w:rPr>
        <w:t>3. Coding Workflow Overview</w:t>
      </w:r>
    </w:p>
    <w:p>
      <w:pPr>
        <w:spacing w:before="40" w:after="40"/>
      </w:pPr>
      <w:r>
        <w:rPr>
          <w:color w:val="2E74B5"/>
          <w:sz w:val="22"/>
        </w:rPr>
        <w:t>4. Coder Training Protocol</w:t>
      </w:r>
    </w:p>
    <w:p>
      <w:pPr>
        <w:spacing w:before="40" w:after="40"/>
      </w:pPr>
      <w:r>
        <w:rPr>
          <w:color w:val="2E74B5"/>
          <w:sz w:val="22"/>
        </w:rPr>
        <w:t>5. Study-Level Coding Instructions</w:t>
      </w:r>
    </w:p>
    <w:p>
      <w:pPr>
        <w:spacing w:before="40" w:after="40"/>
      </w:pPr>
      <w:r>
        <w:rPr>
          <w:color w:val="2E74B5"/>
          <w:sz w:val="22"/>
        </w:rPr>
        <w:t>6. Correlation Matrix Coding Instructions</w:t>
      </w:r>
    </w:p>
    <w:p>
      <w:pPr>
        <w:spacing w:before="40" w:after="40"/>
      </w:pPr>
      <w:r>
        <w:rPr>
          <w:color w:val="2E74B5"/>
          <w:sz w:val="22"/>
        </w:rPr>
        <w:t>7. Construct Harmonization Instructions</w:t>
      </w:r>
    </w:p>
    <w:p>
      <w:pPr>
        <w:spacing w:before="40" w:after="40"/>
      </w:pPr>
      <w:r>
        <w:rPr>
          <w:color w:val="2E74B5"/>
          <w:sz w:val="22"/>
        </w:rPr>
        <w:t>8. Moderator Variable Coding</w:t>
      </w:r>
    </w:p>
    <w:p>
      <w:pPr>
        <w:spacing w:before="40" w:after="40"/>
      </w:pPr>
      <w:r>
        <w:rPr>
          <w:color w:val="2E74B5"/>
          <w:sz w:val="22"/>
        </w:rPr>
        <w:t>9. Reliability Data Extraction</w:t>
      </w:r>
    </w:p>
    <w:p>
      <w:pPr>
        <w:spacing w:before="40" w:after="40"/>
      </w:pPr>
      <w:r>
        <w:rPr>
          <w:color w:val="2E74B5"/>
          <w:sz w:val="22"/>
        </w:rPr>
        <w:t>10. AI-Assisted Coding Protocol</w:t>
      </w:r>
    </w:p>
    <w:p>
      <w:pPr>
        <w:spacing w:before="40" w:after="40"/>
      </w:pPr>
      <w:r>
        <w:rPr>
          <w:color w:val="2E74B5"/>
          <w:sz w:val="22"/>
        </w:rPr>
        <w:t>11. Inter-Coder Reliability Protocol</w:t>
      </w:r>
    </w:p>
    <w:p>
      <w:pPr>
        <w:spacing w:before="40" w:after="40"/>
      </w:pPr>
      <w:r>
        <w:rPr>
          <w:color w:val="2E74B5"/>
          <w:sz w:val="22"/>
        </w:rPr>
        <w:t>12. Discrepancy Resolution Protocol</w:t>
      </w:r>
    </w:p>
    <w:p>
      <w:pPr>
        <w:spacing w:before="40" w:after="40"/>
      </w:pPr>
      <w:r>
        <w:rPr>
          <w:color w:val="2E74B5"/>
          <w:sz w:val="22"/>
        </w:rPr>
        <w:t>13. Study Exclusion Protocol</w:t>
      </w:r>
    </w:p>
    <w:p>
      <w:pPr>
        <w:spacing w:before="40" w:after="40"/>
      </w:pPr>
      <w:r>
        <w:rPr>
          <w:color w:val="2E74B5"/>
          <w:sz w:val="22"/>
        </w:rPr>
        <w:t>14. Quality Assurance Checklist</w:t>
      </w:r>
    </w:p>
    <w:p>
      <w:pPr>
        <w:spacing w:before="40" w:after="40"/>
      </w:pPr>
      <w:r>
        <w:rPr>
          <w:color w:val="2E74B5"/>
          <w:sz w:val="22"/>
        </w:rPr>
        <w:t>15. References</w:t>
      </w:r>
    </w:p>
    <w:p>
      <w:pPr>
        <w:spacing w:before="40" w:after="40"/>
      </w:pPr>
      <w:r>
        <w:rPr>
          <w:color w:val="2E74B5"/>
          <w:sz w:val="22"/>
        </w:rPr>
        <w:t>Appendix A: Decision Trees</w:t>
      </w:r>
    </w:p>
    <w:p>
      <w:pPr>
        <w:spacing w:before="40" w:after="40"/>
      </w:pPr>
      <w:r>
        <w:rPr>
          <w:color w:val="2E74B5"/>
          <w:sz w:val="22"/>
        </w:rPr>
        <w:t>Appendix B: FAQ</w:t>
      </w:r>
    </w:p>
    <w:p>
      <w:pPr>
        <w:spacing w:before="40" w:after="40"/>
      </w:pPr>
      <w:r>
        <w:rPr>
          <w:color w:val="2E74B5"/>
          <w:sz w:val="22"/>
        </w:rPr>
        <w:t>Appendix C: Excel Template Sheet Descriptions</w:t>
      </w:r>
    </w:p>
    <w:p>
      <w:r>
        <w:br w:type="page"/>
      </w:r>
    </w:p>
    <w:p>
      <w:pPr>
        <w:pStyle w:val="Heading1"/>
      </w:pPr>
      <w:r>
        <w:t>1. Introduction and Purpose</w:t>
      </w:r>
    </w:p>
    <w:p>
      <w:pPr>
        <w:pStyle w:val="Heading3"/>
      </w:pPr>
      <w:r>
        <w:t>1.1 MASEM Study Overview</w:t>
      </w:r>
    </w:p>
    <w:p>
      <w:r>
        <w:rPr>
          <w:rFonts w:ascii="Calibri" w:hAnsi="Calibri"/>
          <w:sz w:val="22"/>
        </w:rPr>
        <w:t>This meta-analytic structural equation modeling (MASEM) study synthesizes empirical research on AI technology adoption in educational contexts (K-12, higher education, and vocational) to:</w:t>
      </w:r>
    </w:p>
    <w:p>
      <w:pPr>
        <w:pStyle w:val="ListNumber"/>
      </w:pPr>
      <w:r>
        <w:rPr>
          <w:rFonts w:ascii="Calibri" w:hAnsi="Calibri"/>
          <w:sz w:val="22"/>
        </w:rPr>
        <w:t>Test the validity of traditional technology acceptance models (TAM/UTAUT) in the educational AI context</w:t>
      </w:r>
    </w:p>
    <w:p>
      <w:pPr>
        <w:pStyle w:val="ListNumber"/>
      </w:pPr>
      <w:r>
        <w:rPr>
          <w:rFonts w:ascii="Calibri" w:hAnsi="Calibri"/>
          <w:sz w:val="22"/>
        </w:rPr>
        <w:t>Evaluate whether AI-specific constructs (Trust, Anxiety, Transparency, Autonomy) provide incremental explanatory power</w:t>
      </w:r>
    </w:p>
    <w:p>
      <w:pPr>
        <w:pStyle w:val="ListNumber"/>
      </w:pPr>
      <w:r>
        <w:rPr>
          <w:rFonts w:ascii="Calibri" w:hAnsi="Calibri"/>
          <w:sz w:val="22"/>
        </w:rPr>
        <w:t>Identify moderators of AI adoption relationships (AI type, education level, culture, temporal period)</w:t>
      </w:r>
    </w:p>
    <w:p>
      <w:pPr>
        <w:pStyle w:val="ListNumber"/>
      </w:pPr>
      <w:r>
        <w:rPr>
          <w:rFonts w:ascii="Calibri" w:hAnsi="Calibri"/>
          <w:sz w:val="22"/>
        </w:rPr>
        <w:t>Compare competing theoretical models using two-stage SEM (TSSEM)</w:t>
      </w:r>
    </w:p>
    <w:p>
      <w:r>
        <w:rPr>
          <w:rFonts w:ascii="Calibri" w:hAnsi="Calibri"/>
          <w:sz w:val="22"/>
        </w:rPr>
        <w:t>The study extracts correlation matrices from primary studies to build pooled correlation matrices, then fits structural models. This requires precise extraction of Pearson r values (or standardized β for conversion) and careful harmonization of construct labels across studies.</w:t>
      </w:r>
    </w:p>
    <w:p>
      <w:pPr>
        <w:pStyle w:val="Heading3"/>
      </w:pPr>
      <w:r>
        <w:t>1.2 How to Use This Manual</w:t>
      </w:r>
    </w:p>
    <w:p>
      <w:pPr>
        <w:pStyle w:val="ListNumber"/>
      </w:pPr>
      <w:r>
        <w:rPr>
          <w:rFonts w:ascii="Calibri" w:hAnsi="Calibri"/>
          <w:sz w:val="22"/>
        </w:rPr>
        <w:t>Read the entire manual before beginning coding</w:t>
      </w:r>
    </w:p>
    <w:p>
      <w:pPr>
        <w:pStyle w:val="ListNumber"/>
      </w:pPr>
      <w:r>
        <w:rPr>
          <w:rFonts w:ascii="Calibri" w:hAnsi="Calibri"/>
          <w:sz w:val="22"/>
        </w:rPr>
        <w:t>Complete the training protocol (Chapter 4) before independent coding</w:t>
      </w:r>
    </w:p>
    <w:p>
      <w:pPr>
        <w:pStyle w:val="ListNumber"/>
      </w:pPr>
      <w:r>
        <w:rPr>
          <w:rFonts w:ascii="Calibri" w:hAnsi="Calibri"/>
          <w:sz w:val="22"/>
        </w:rPr>
        <w:t>Keep the Excel codebook (</w:t>
      </w:r>
      <w:r>
        <w:rPr>
          <w:rFonts w:ascii="Consolas" w:hAnsi="Consolas"/>
          <w:color w:val="C7254E"/>
          <w:sz w:val="20"/>
        </w:rPr>
        <w:t>AI_Adoption_MASEM_Coding_v2.xlsx</w:t>
      </w:r>
      <w:r>
        <w:rPr>
          <w:rFonts w:ascii="Calibri" w:hAnsi="Calibri"/>
          <w:sz w:val="22"/>
        </w:rPr>
        <w:t>) open alongside this manual</w:t>
      </w:r>
    </w:p>
    <w:p>
      <w:pPr>
        <w:pStyle w:val="ListNumber"/>
      </w:pPr>
      <w:r>
        <w:rPr>
          <w:rFonts w:ascii="Calibri" w:hAnsi="Calibri"/>
          <w:sz w:val="22"/>
        </w:rPr>
        <w:t>When uncertain, consult the decision trees (Appendix A)</w:t>
      </w:r>
    </w:p>
    <w:p>
      <w:pPr>
        <w:pStyle w:val="ListNumber"/>
      </w:pPr>
      <w:r>
        <w:rPr>
          <w:rFonts w:ascii="Calibri" w:hAnsi="Calibri"/>
          <w:sz w:val="22"/>
        </w:rPr>
        <w:t>Document all ambiguous decisions in the DISCREPANCY_LOG sheet</w:t>
      </w:r>
    </w:p>
    <w:p>
      <w:pPr>
        <w:pStyle w:val="Heading3"/>
      </w:pPr>
      <w:r>
        <w:t>1.3 Canonical Source of Truth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document is the canonical coding protocol for the project. The Excel codebook is the data-entry implementation. AI screening decisions are advisory only — they do not finalize exclusions. All raw AI outputs, human coding records, and adjudication logs must be preserved.</w:t>
            </w:r>
          </w:p>
        </w:tc>
      </w:tr>
    </w:tbl>
    <w:p/>
    <w:p>
      <w:r>
        <w:br w:type="page"/>
      </w:r>
    </w:p>
    <w:p>
      <w:pPr>
        <w:pStyle w:val="Heading1"/>
      </w:pPr>
      <w:r>
        <w:t>2. Eligibility Criteria</w:t>
      </w:r>
    </w:p>
    <w:p>
      <w:pPr>
        <w:pStyle w:val="Heading3"/>
      </w:pPr>
      <w:r>
        <w:t>2.1 PICOS Framework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Population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teachers, instructors, faculty, or administrators in educational settings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higher education, vocational training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Intervention/Exposure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adoption/acceptance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 AI, predictive AI, ITS, chatbots, AI-powered LMS, etc.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Comparison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required (correlational studies)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studies are single-group surveys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Outcomes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matrix or standardized path coefficients (β)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Must include ≥ 2 of 12 target constructs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 Design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Quantitative empirical studies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Cross-sectional surveys, longitudinal, experimental</w:t>
            </w:r>
          </w:p>
        </w:tc>
      </w:tr>
    </w:tbl>
    <w:p/>
    <w:p>
      <w:pPr>
        <w:pStyle w:val="Heading3"/>
      </w:pPr>
      <w:r>
        <w:t>2.2 Inclusion Criteria</w:t>
      </w:r>
    </w:p>
    <w:p>
      <w:r>
        <w:rPr>
          <w:b/>
          <w:color w:val="2E74B5"/>
        </w:rPr>
        <w:t xml:space="preserve">1. </w:t>
      </w:r>
      <w:r>
        <w:rPr>
          <w:rFonts w:ascii="Calibri" w:hAnsi="Calibri"/>
          <w:sz w:val="22"/>
        </w:rPr>
        <w:t>Empirical quantitative study with primary data</w:t>
      </w:r>
    </w:p>
    <w:p>
      <w:r>
        <w:rPr>
          <w:b/>
          <w:color w:val="2E74B5"/>
        </w:rPr>
        <w:t xml:space="preserve">2. </w:t>
      </w:r>
      <w:r>
        <w:rPr>
          <w:rFonts w:ascii="Calibri" w:hAnsi="Calibri"/>
          <w:sz w:val="22"/>
        </w:rPr>
        <w:t>AI technology adoption/acceptance as focal phenomenon</w:t>
      </w:r>
    </w:p>
    <w:p>
      <w:r>
        <w:rPr>
          <w:b/>
          <w:color w:val="2E74B5"/>
        </w:rPr>
        <w:t xml:space="preserve">3.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Educational setting/population</w:t>
      </w:r>
      <w:r>
        <w:rPr>
          <w:rFonts w:ascii="Calibri" w:hAnsi="Calibri"/>
          <w:sz w:val="22"/>
        </w:rPr>
        <w:t xml:space="preserve"> (K-12, higher education, or vocational)</w:t>
      </w:r>
    </w:p>
    <w:p>
      <w:r>
        <w:rPr>
          <w:b/>
          <w:color w:val="2E74B5"/>
        </w:rPr>
        <w:t xml:space="preserve">4. </w:t>
      </w:r>
      <w:r>
        <w:rPr>
          <w:rFonts w:ascii="Calibri" w:hAnsi="Calibri"/>
          <w:sz w:val="22"/>
        </w:rPr>
        <w:t>Correlation matrix OR standardized path coefficients (β) reported</w:t>
      </w:r>
    </w:p>
    <w:p>
      <w:r>
        <w:rPr>
          <w:b/>
          <w:color w:val="2E74B5"/>
        </w:rPr>
        <w:t xml:space="preserve">5. </w:t>
      </w:r>
      <w:r>
        <w:rPr>
          <w:rFonts w:ascii="Calibri" w:hAnsi="Calibri"/>
          <w:sz w:val="22"/>
        </w:rPr>
        <w:t>At least 2 of 12 target constructs measured</w:t>
      </w:r>
    </w:p>
    <w:p>
      <w:r>
        <w:rPr>
          <w:b/>
          <w:color w:val="2E74B5"/>
        </w:rPr>
        <w:t xml:space="preserve">6. </w:t>
      </w: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Published 2022–2026</w:t>
      </w:r>
      <w:r>
        <w:rPr>
          <w:rFonts w:ascii="Calibri" w:hAnsi="Calibri"/>
          <w:sz w:val="22"/>
        </w:rPr>
      </w:r>
    </w:p>
    <w:p>
      <w:r>
        <w:rPr>
          <w:b/>
          <w:color w:val="2E74B5"/>
        </w:rPr>
        <w:t xml:space="preserve">7. </w:t>
      </w:r>
      <w:r>
        <w:rPr>
          <w:rFonts w:ascii="Calibri" w:hAnsi="Calibri"/>
          <w:sz w:val="22"/>
        </w:rPr>
        <w:t>English language</w:t>
      </w:r>
    </w:p>
    <w:p>
      <w:r>
        <w:rPr>
          <w:b/>
          <w:color w:val="2E74B5"/>
        </w:rPr>
        <w:t xml:space="preserve">8. </w:t>
      </w:r>
      <w:r>
        <w:rPr>
          <w:rFonts w:ascii="Calibri" w:hAnsi="Calibri"/>
          <w:sz w:val="22"/>
        </w:rPr>
        <w:t>Sample size n ≥ 50</w:t>
      </w:r>
    </w:p>
    <w:p>
      <w:r>
        <w:rPr>
          <w:b/>
          <w:color w:val="2E74B5"/>
        </w:rPr>
        <w:t xml:space="preserve">9. </w:t>
      </w:r>
      <w:r>
        <w:rPr>
          <w:rFonts w:ascii="Calibri" w:hAnsi="Calibri"/>
          <w:sz w:val="22"/>
        </w:rPr>
        <w:t>Peer-reviewed journal article or full conference paper</w:t>
      </w:r>
    </w:p>
    <w:p>
      <w:pPr>
        <w:pStyle w:val="Heading3"/>
      </w:pPr>
      <w:r>
        <w:t>2.3 Exclusion Criteria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empirical/quantitative (qualitative, conceptual,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not focal (general IT, e-commerce without AI)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(healthcare, manufacturing, finance, etc.)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adoption/acceptance outcome measured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 effect size data (no correlation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English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E7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Outside 2022–2026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E8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 &lt; 50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E9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peer-reviewed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E10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Qualitative/review only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E12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Other</w:t>
            </w:r>
          </w:p>
        </w:tc>
      </w:tr>
    </w:tbl>
    <w:p/>
    <w:p>
      <w:pPr>
        <w:pStyle w:val="Heading3"/>
      </w:pPr>
      <w:r>
        <w:t>2.4 Full-Text Exclusion Criteria (Phase 4)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82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E-FT1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Reports &lt; 2 construct-pair statistics (r or β)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E-FT2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Constructs do not map to the 12-construct model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E-FT3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 educational context (upon full-text review)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E-FT4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Duplicate sample (same data in multiple publications)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E-FT5</w:t>
            </w:r>
          </w:p>
        </w:tc>
        <w:tc>
          <w:tcPr>
            <w:tcW w:type="dxa" w:w="82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Conference abstract only (no full paper available)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E-FT6</w:t>
            </w:r>
          </w:p>
        </w:tc>
        <w:tc>
          <w:tcPr>
            <w:tcW w:type="dxa" w:w="82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Full-text inaccessible</w:t>
            </w:r>
          </w:p>
        </w:tc>
      </w:tr>
    </w:tbl>
    <w:p/>
    <w:p>
      <w:pPr>
        <w:pStyle w:val="Heading3"/>
      </w:pPr>
      <w:r>
        <w:t>2.5 Borderline Decision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Chatbots/virtual assistants:</w:t>
      </w:r>
      <w:r>
        <w:rPr>
          <w:rFonts w:ascii="Calibri" w:hAnsi="Calibri"/>
          <w:sz w:val="22"/>
        </w:rPr>
        <w:t xml:space="preserve"> INCLUDE if AI-powered and adoption is measured in educational setting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Recommendation systems:</w:t>
      </w:r>
      <w:r>
        <w:rPr>
          <w:rFonts w:ascii="Calibri" w:hAnsi="Calibri"/>
          <w:sz w:val="22"/>
        </w:rPr>
        <w:t xml:space="preserve"> INCLUDE if AI/ML-based and study frames as AI adoption in education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Mixed-methods studies:</w:t>
      </w:r>
      <w:r>
        <w:rPr>
          <w:rFonts w:ascii="Calibri" w:hAnsi="Calibri"/>
          <w:sz w:val="22"/>
        </w:rPr>
        <w:t xml:space="preserve"> INCLUDE if quantitative portion meets all criteria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Partial correlation reporting:</w:t>
      </w:r>
      <w:r>
        <w:rPr>
          <w:rFonts w:ascii="Calibri" w:hAnsi="Calibri"/>
          <w:sz w:val="22"/>
        </w:rPr>
        <w:t xml:space="preserve"> INCLUDE (use available-case principle)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Conference papers later published as journal articles:</w:t>
      </w:r>
      <w:r>
        <w:rPr>
          <w:rFonts w:ascii="Calibri" w:hAnsi="Calibri"/>
          <w:sz w:val="22"/>
        </w:rPr>
        <w:t xml:space="preserve"> Use journal version only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K-12 vs. Higher Ed ambiguity:</w:t>
      </w:r>
      <w:r>
        <w:rPr>
          <w:rFonts w:ascii="Calibri" w:hAnsi="Calibri"/>
          <w:sz w:val="22"/>
        </w:rPr>
        <w:t xml:space="preserve"> Code the education_level moderator; include both</w:t>
      </w:r>
    </w:p>
    <w:p>
      <w:r>
        <w:br w:type="page"/>
      </w:r>
    </w:p>
    <w:p>
      <w:pPr>
        <w:pStyle w:val="Heading1"/>
      </w:pPr>
      <w:r>
        <w:t>3. Coding Workflow Overview</w:t>
      </w:r>
    </w:p>
    <w:p>
      <w:pPr>
        <w:pStyle w:val="Heading3"/>
      </w:pPr>
      <w:r>
        <w:t>3.1 Workflow Diagram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5F5F5"/>
          </w:tcPr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0: Calibration (10 studies)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All 4 coders (R1-R4) code same 10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Calculate inter-pair consistency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Resolve disagreements, refine rules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1: Dual Coding — 100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= Paper B Gold Standard + Paper A ICR sample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A (R1 + R2):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Pair B (R3 + R4): 50 studies independently (blinded)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Cross-pair adjudication for discrepancies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ICR targets: κ ≥ .85, ICC ≥ .90, MAE ≤ .03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2: Single Coding — ~150 studies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R1: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R2: ~38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R3: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R4: ~37 studies + ~6 spot-checks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15-20% cross-checked by another coder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3 (parallel): AI Extraction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3-model consensus: Claude + Gemini + Codex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│  ► Results NOT shown to human coders until Phase 4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4: ICR &amp; AI-Human Comparison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5: Discrepancy Resolution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 xml:space="preserve">   ↓</w:t>
            </w:r>
          </w:p>
          <w:p>
            <w:pPr>
              <w:spacing w:before="20" w:after="20" w:line="240" w:lineRule="auto"/>
            </w:pPr>
            <w:r>
              <w:rPr>
                <w:rFonts w:ascii="Consolas" w:hAnsi="Consolas"/>
                <w:color w:val="333333"/>
                <w:sz w:val="18"/>
              </w:rPr>
              <w:t>Phase 6: QA Final (6 Gates) → Final Validated Dataset</w:t>
            </w:r>
          </w:p>
        </w:tc>
      </w:tr>
    </w:tbl>
    <w:p/>
    <w:p>
      <w:pPr>
        <w:pStyle w:val="Heading3"/>
      </w:pPr>
      <w:r>
        <w:t>3.2 Key Workflow Rules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Calibration (Phase 0):</w:t>
      </w:r>
      <w:r>
        <w:rPr>
          <w:rFonts w:ascii="Calibri" w:hAnsi="Calibri"/>
          <w:sz w:val="22"/>
        </w:rPr>
        <w:t xml:space="preserve"> All 4 coders code the same 10 studies to establish inter-pair consistency before Phase 1 begins.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Dual coding (Phase 1):</w:t>
      </w:r>
      <w:r>
        <w:rPr>
          <w:rFonts w:ascii="Calibri" w:hAnsi="Calibri"/>
          <w:sz w:val="22"/>
        </w:rPr>
        <w:t xml:space="preserve"> Two independent pairs (R1+R2, R3+R4) each code 50 studies. This 100-study set serves dual purpose: Paper B gold standard AND Paper A ICR validation.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Cross-pair adjudication:</w:t>
      </w:r>
      <w:r>
        <w:rPr>
          <w:rFonts w:ascii="Calibri" w:hAnsi="Calibri"/>
          <w:sz w:val="22"/>
        </w:rPr>
        <w:t xml:space="preserve"> Discrepancies within Pair A (R1-R2) are adjudicated by R3 or R4. Discrepancies within Pair B (R3-R4) are adjudicated by R1 or R2.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Single coding (Phase 2):</w:t>
      </w:r>
      <w:r>
        <w:rPr>
          <w:rFonts w:ascii="Calibri" w:hAnsi="Calibri"/>
          <w:sz w:val="22"/>
        </w:rPr>
        <w:t xml:space="preserve"> Remaining ~150 studies divided equally among R1-R4 (~38 each), with 15-20% spot-checked by a different coder.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extraction (Phase 3):</w:t>
      </w:r>
      <w:r>
        <w:rPr>
          <w:rFonts w:ascii="Calibri" w:hAnsi="Calibri"/>
          <w:sz w:val="22"/>
        </w:rPr>
        <w:t xml:space="preserve"> Runs in parallel with human coding. Results are NOT shown to human coders until Phase 4.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Human-coded data is the gold standard.</w:t>
      </w:r>
      <w:r>
        <w:rPr>
          <w:rFonts w:ascii="Calibri" w:hAnsi="Calibri"/>
          <w:sz w:val="22"/>
        </w:rPr>
        <w:t xml:space="preserve"> AI output is used for comparison, validation, and Paper B analysis.</w:t>
      </w:r>
    </w:p>
    <w:p>
      <w:pPr>
        <w:pStyle w:val="Heading3"/>
      </w:pPr>
      <w:r>
        <w:t>3.3 Estimated Timeline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Personnel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Output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0: Calibration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(all)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consistency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1: Dual coding (100)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weeks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 A (R1+R2), Pair B (R3+R4)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B gold standard + ICR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2: Single coding (~150)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weeks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R1, R2, R3, R4 (equal split)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A remaining data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3: AI extraction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pipeline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consensus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4: ICR calculation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ICR metrics report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5: Discrepancy resolution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week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coders + PI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Resolved dataset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Phase 6: QA finalization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Final validated dataset</w:t>
            </w:r>
          </w:p>
        </w:tc>
      </w:tr>
    </w:tbl>
    <w:p/>
    <w:p>
      <w:r>
        <w:br w:type="page"/>
      </w:r>
    </w:p>
    <w:p>
      <w:pPr>
        <w:pStyle w:val="Heading1"/>
      </w:pPr>
      <w:r>
        <w:t>4. Coder Training Protocol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Activities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Success Criterion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Orientation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Read full manual; review Excel codebook; understand MASEM basics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Can explain MASEM data requirements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Metadata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3 practice studies independently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&gt;90% agreement with gold standard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Correlations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Extract correlations from 3 diverse studies (full matrix, partial, β-only)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&gt;95% agreement on r values (within .02)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Practice — Harmonization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 day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Harmonize constructs from 3 studies using mapping tables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&gt;85% agreement on construct mapping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session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 hours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Compare practice coding; discuss disagreements; refine rules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disagreements resolved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Certification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 2 new studies independently; compare with gold standard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criteria met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Calibration (Phase 0)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 days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4 coders code same 10 studies; calculate inter-pair κ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Inter-pair κ ≥ .80; all disagreements resolved</w:t>
            </w:r>
          </w:p>
        </w:tc>
      </w:tr>
    </w:tbl>
    <w:p/>
    <w:p>
      <w:r>
        <w:br w:type="page"/>
      </w:r>
    </w:p>
    <w:p>
      <w:pPr>
        <w:pStyle w:val="Heading1"/>
      </w:pPr>
      <w:r>
        <w:t>5. Study-Level Coding Instructions</w:t>
      </w:r>
    </w:p>
    <w:p>
      <w:r>
        <w:rPr>
          <w:rFonts w:ascii="Calibri" w:hAnsi="Calibri"/>
          <w:sz w:val="22"/>
        </w:rPr>
        <w:t xml:space="preserve">All study-level variables are coded in the </w:t>
      </w:r>
      <w:r>
        <w:rPr>
          <w:rFonts w:ascii="Calibri" w:hAnsi="Calibri"/>
          <w:b/>
          <w:sz w:val="22"/>
        </w:rPr>
        <w:t>STUDY_METADATA</w:t>
      </w:r>
      <w:r>
        <w:rPr>
          <w:rFonts w:ascii="Calibri" w:hAnsi="Calibri"/>
          <w:sz w:val="22"/>
        </w:rPr>
        <w:t xml:space="preserve"> sheet. AI pre-codes identification and demographic fields; human coders verify and complete remaining fields.</w:t>
      </w:r>
    </w:p>
    <w:p>
      <w:pPr>
        <w:pStyle w:val="Heading3"/>
      </w:pPr>
      <w:r>
        <w:t>5.1 Identification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44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Unique ID in S001 format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Last name of first author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 (2022–2026)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2024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title of the paper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Adoption in Higher Education...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doi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Digital Object Identifier</w:t>
            </w:r>
          </w:p>
        </w:tc>
        <w:tc>
          <w:tcPr>
            <w:tcW w:type="dxa" w:w="244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10.1000/xyz123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journal, conference</w:t>
            </w:r>
          </w:p>
        </w:tc>
        <w:tc>
          <w:tcPr>
            <w:tcW w:type="dxa" w:w="244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journal</w:t>
            </w:r>
          </w:p>
        </w:tc>
      </w:tr>
    </w:tbl>
    <w:p/>
    <w:p>
      <w:pPr>
        <w:pStyle w:val="Heading3"/>
      </w:pPr>
      <w:r>
        <w:t>5.2 Study Design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study_design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cross_sectional, longitudinal, experimental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cross_sectional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data_collection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survey, experiment, mixed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survey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theoretical_framework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TAM, UTAUT, UTAUT2, TAM_AI, UTAUT_AI, TPB, SCT, other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</w:tr>
    </w:tbl>
    <w:p/>
    <w:p>
      <w:pPr>
        <w:pStyle w:val="Heading3"/>
      </w:pPr>
      <w:r>
        <w:t>5.3 Sample &amp; Context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Total valid sample size (N). Use final analytic sample.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384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country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Country where data was collected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South Korea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 (IDV≥50) or collectivist (IDV&lt;50) per Hofstede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</w:tbl>
    <w:p/>
    <w:p>
      <w:pPr>
        <w:pStyle w:val="Heading3"/>
      </w:pPr>
      <w:r>
        <w:t>5.4 AI Technology Variables (AI Pre-Coded, Human Verified)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403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403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201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ai_tool_name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403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Specific AI tool if named</w:t>
            </w:r>
          </w:p>
        </w:tc>
        <w:tc>
          <w:tcPr>
            <w:tcW w:type="dxa" w:w="201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ChatGPT</w:t>
            </w:r>
          </w:p>
        </w:tc>
      </w:tr>
    </w:tbl>
    <w:p/>
    <w:p>
      <w:pPr>
        <w:pStyle w:val="Heading3"/>
      </w:pPr>
      <w:r>
        <w:t>5.5 Quality Assessment Variables (Human Coded)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n_constructs_measured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our 12 constructs measured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6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n_correlations_reported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pairwise correlations involving our constructs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15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matrix_completeness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pairs / possible pairs (0–1)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0.75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common_method_bias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addressed, not_addressed, partial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addressed</w:t>
            </w:r>
          </w:p>
        </w:tc>
      </w:tr>
    </w:tbl>
    <w:p/>
    <w:p>
      <w:pPr>
        <w:pStyle w:val="Heading3"/>
      </w:pPr>
      <w:r>
        <w:t>5.6 Source Management Variables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human_coder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Initials of the human coder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HY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coding_date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Date coding completed (YYYY-MM-DD)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2026-04-01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AI pre-coded 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ai_precoded_verified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boolean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Whether human verified AI metadata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TRUE</w:t>
            </w:r>
          </w:p>
        </w:tc>
      </w:tr>
    </w:tbl>
    <w:p/>
    <w:p>
      <w:r>
        <w:br w:type="page"/>
      </w:r>
    </w:p>
    <w:p>
      <w:pPr>
        <w:pStyle w:val="Heading1"/>
      </w:pPr>
      <w:r>
        <w:t>6. Correlation Matrix Coding Instructions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D6E4F0"/>
          </w:tcPr>
          <w:p>
            <w:r>
              <w:rPr>
                <w:rFonts w:ascii="Calibri" w:hAnsi="Calibri"/>
                <w:b/>
                <w:color w:val="1B3A5C"/>
                <w:sz w:val="20"/>
              </w:rPr>
              <w:t xml:space="preserve">  IMPORTANT: </w:t>
            </w:r>
            <w:r>
              <w:rPr>
                <w:rFonts w:ascii="Calibri" w:hAnsi="Calibri"/>
                <w:sz w:val="20"/>
              </w:rPr>
              <w:t>This is the most critical chapter. MASEM requires pairwise Pearson correlations between constructs. All correlation data is coded in the CORRELATION_MATRIX sheet.</w:t>
            </w:r>
          </w:p>
        </w:tc>
      </w:tr>
    </w:tbl>
    <w:p/>
    <w:p>
      <w:pPr>
        <w:pStyle w:val="Heading3"/>
      </w:pPr>
      <w:r>
        <w:t>6.1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88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construct_row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Row construct (one of 12)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construct_col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Column construct (one of 12)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Pearson correlation (-1 to 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0.52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r_source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direct, beta_converted, author_provided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original_beta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β if r_source=beta_converted, else NA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r_sample_size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Pairwise N if differs from study N, else NA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NA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p_value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Reported p-value if available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0.001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significance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p&lt;.001, p&lt;.01, p&lt;.05, ns, NR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p&lt;.001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source_location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Location in paper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Table 3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extraction_notes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88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Notes about extraction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Lower triangle only</w:t>
            </w:r>
          </w:p>
        </w:tc>
      </w:tr>
    </w:tbl>
    <w:p/>
    <w:p>
      <w:pPr>
        <w:pStyle w:val="Heading3"/>
      </w:pPr>
      <w:r>
        <w:t>6.2 Correlation Extraction Protocol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1:</w:t>
      </w:r>
      <w:r>
        <w:rPr>
          <w:rFonts w:ascii="Calibri" w:hAnsi="Calibri"/>
          <w:sz w:val="22"/>
        </w:rPr>
        <w:t xml:space="preserve"> Identify the correlation matrix table. Look for tables titled “Correlations,” “Descriptive Statistics and Correlations,” or “Inter-Construct Correlations.” The diagonal should be 1.00 or reliability coefficients.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2:</w:t>
      </w:r>
      <w:r>
        <w:rPr>
          <w:rFonts w:ascii="Calibri" w:hAnsi="Calibri"/>
          <w:sz w:val="22"/>
        </w:rPr>
        <w:t xml:space="preserve"> Map study constructs to our 12 target constructs using the harmonization rules in Chapter 7. Record the mapping in the CONSTRUCT_MAPPING sheet.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3:</w:t>
      </w:r>
      <w:r>
        <w:rPr>
          <w:rFonts w:ascii="Calibri" w:hAnsi="Calibri"/>
          <w:sz w:val="22"/>
        </w:rPr>
        <w:t xml:space="preserve"> Extract all pairwise correlations involving our constructs. Record Pearson r values to 2 decimal places. Ignore significance asterisks (record effect size, not p-value). If only lower triangle shown, mirror values.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4:</w:t>
      </w:r>
      <w:r>
        <w:rPr>
          <w:rFonts w:ascii="Calibri" w:hAnsi="Calibri"/>
          <w:sz w:val="22"/>
        </w:rPr>
        <w:t xml:space="preserve"> Record sample size per correlation. Use overall study N as default. If pairwise N differs, record pairwise N.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Step 5:</w:t>
      </w:r>
      <w:r>
        <w:rPr>
          <w:rFonts w:ascii="Calibri" w:hAnsi="Calibri"/>
          <w:sz w:val="22"/>
        </w:rPr>
        <w:t xml:space="preserve"> Document source location and any extraction decisions.</w:t>
      </w:r>
    </w:p>
    <w:p>
      <w:pPr>
        <w:pStyle w:val="Heading3"/>
      </w:pPr>
      <w:r>
        <w:t>6.3 Beta-to-r Conversion (Peterson &amp; Brown, 2005)</w:t>
      </w:r>
    </w:p>
    <w:p>
      <w:r>
        <w:rPr>
          <w:rFonts w:ascii="Calibri" w:hAnsi="Calibri"/>
          <w:sz w:val="22"/>
        </w:rPr>
        <w:t>When a study reports only standardized path coefficients (β) without a correlation matrix:</w:t>
      </w:r>
    </w:p>
    <w:p>
      <w:pPr>
        <w:spacing w:before="160" w:after="160"/>
        <w:jc w:val="center"/>
      </w:pPr>
      <m:oMath>
        <m:r>
          <m:rPr>
            <m:sty m:val="i"/>
          </m:rPr>
          <m:t xml:space="preserve">r</m:t>
        </m:r>
        <m:r>
          <m:rPr>
            <m:sty m:val="p"/>
          </m:rPr>
          <m:t xml:space="preserve"> = </m:t>
        </m:r>
        <m:r>
          <m:rPr>
            <m:sty m:val="i"/>
          </m:rPr>
          <m:t xml:space="preserve">β</m:t>
        </m:r>
        <m:r>
          <m:rPr>
            <m:sty m:val="p"/>
          </m:rPr>
          <m:t xml:space="preserve"> + </m:t>
        </m:r>
        <m:r>
          <m:rPr>
            <m:sty m:val="p"/>
          </m:rPr>
          <m:t xml:space="preserve">0.05</m:t>
        </m:r>
        <m:r>
          <m:rPr>
            <m:sty m:val="p"/>
          </m:rPr>
          <m:t xml:space="preserve">×</m:t>
        </m:r>
        <m:r>
          <m:rPr>
            <m:sty m:val="i"/>
          </m:rPr>
          <m:t xml:space="preserve">λ</m:t>
        </m:r>
      </m:oMath>
      <w:r>
        <w:rPr>
          <w:sz w:val="22"/>
        </w:rPr>
        <w:t xml:space="preserve">,  where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≥</m:t>
        </m:r>
        <m:r>
          <m:rPr>
            <m:sty m:val="p"/>
          </m:rPr>
          <m:t xml:space="preserve">0</m:t>
        </m:r>
      </m:oMath>
      <w:r>
        <w:rPr>
          <w:sz w:val="22"/>
        </w:rPr>
        <w:t xml:space="preserve">, </w:t>
      </w:r>
      <m:oMath>
        <m:r>
          <m:rPr>
            <m:sty m:val="i"/>
          </m:rPr>
          <m:t xml:space="preserve">λ</m:t>
        </m:r>
        <m:r>
          <m:rPr>
            <m:sty m:val="p"/>
          </m:rPr>
          <m:t xml:space="preserve"> = </m:t>
        </m:r>
        <m:r>
          <m:rPr>
            <m:sty m:val="p"/>
          </m:rPr>
          <m:t xml:space="preserve"> − </m:t>
        </m:r>
        <m:r>
          <m:rPr>
            <m:sty m:val="p"/>
          </m:rPr>
          <m:t xml:space="preserve">1</m:t>
        </m:r>
      </m:oMath>
      <w:r>
        <w:rPr>
          <w:sz w:val="22"/>
        </w:rPr>
        <w:t xml:space="preserve"> if </w:t>
      </w:r>
      <m:oMath>
        <m:r>
          <m:rPr>
            <m:sty m:val="i"/>
          </m:rPr>
          <m:t xml:space="preserve">β</m:t>
        </m:r>
        <m:r>
          <m:rPr>
            <m:sty m:val="p"/>
          </m:rPr>
          <m:t xml:space="preserve"> &lt; </m:t>
        </m:r>
        <m:r>
          <m:rPr>
            <m:sty m:val="p"/>
          </m:rPr>
          <m:t xml:space="preserve">0</m:t>
        </m:r>
      </m:oMath>
    </w:p>
    <w:p>
      <w:r>
        <w:rPr>
          <w:rFonts w:ascii="Calibri" w:hAnsi="Calibri"/>
          <w:sz w:val="22"/>
        </w:rPr>
        <w:t>Examples:</w:t>
      </w:r>
    </w:p>
    <w:p>
      <w:pPr>
        <w:pStyle w:val="ListBullet"/>
      </w:pPr>
      <w:r>
        <w:rPr>
          <w:rFonts w:ascii="Calibri" w:hAnsi="Calibri"/>
          <w:sz w:val="22"/>
        </w:rPr>
        <w:t xml:space="preserve">β = 0.40 → r = 0.40 + 0.05(1) = </w:t>
      </w:r>
      <w:r>
        <w:rPr>
          <w:rFonts w:ascii="Calibri" w:hAnsi="Calibri"/>
          <w:b/>
          <w:sz w:val="22"/>
        </w:rPr>
        <w:t>0.45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 xml:space="preserve">β = −0.30 → r = −0.30 + 0.05(−1) = </w:t>
      </w:r>
      <w:r>
        <w:rPr>
          <w:rFonts w:ascii="Calibri" w:hAnsi="Calibri"/>
          <w:b/>
          <w:sz w:val="22"/>
        </w:rPr>
        <w:t>−0.35</w:t>
      </w:r>
      <w:r>
        <w:rPr>
          <w:rFonts w:ascii="Calibri" w:hAnsi="Calibri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3E0"/>
          </w:tcPr>
          <w:p>
            <w:r>
              <w:rPr>
                <w:rFonts w:ascii="Calibri" w:hAnsi="Calibri"/>
                <w:b/>
                <w:color w:val="D45B07"/>
                <w:sz w:val="20"/>
              </w:rPr>
              <w:t xml:space="preserve">  TIP: </w:t>
            </w:r>
            <w:r>
              <w:rPr>
                <w:rFonts w:ascii="Calibri" w:hAnsi="Calibri"/>
                <w:sz w:val="20"/>
              </w:rPr>
              <w:t>Always set r_source = "beta_converted" and record original_beta. Mark the study for sensitivity analysis.</w:t>
            </w:r>
          </w:p>
        </w:tc>
      </w:tr>
    </w:tbl>
    <w:p/>
    <w:p>
      <w:pPr>
        <w:pStyle w:val="Heading3"/>
      </w:pPr>
      <w:r>
        <w:t>6.4 Incomplete Matrix Handling</w:t>
      </w:r>
    </w:p>
    <w:p>
      <w:r>
        <w:rPr>
          <w:rFonts w:ascii="Calibri" w:hAnsi="Calibri"/>
          <w:sz w:val="22"/>
        </w:rPr>
        <w:t xml:space="preserve">Apply the </w:t>
      </w:r>
      <w:r>
        <w:rPr>
          <w:rFonts w:ascii="Calibri" w:hAnsi="Calibri"/>
          <w:b/>
          <w:sz w:val="22"/>
        </w:rPr>
        <w:t>available-case principle</w:t>
      </w:r>
      <w:r>
        <w:rPr>
          <w:rFonts w:ascii="Calibri" w:hAnsi="Calibri"/>
          <w:sz w:val="22"/>
        </w:rPr>
        <w:t>:</w:t>
      </w:r>
    </w:p>
    <w:p>
      <w:pPr>
        <w:pStyle w:val="ListBullet"/>
      </w:pPr>
      <w:r>
        <w:rPr>
          <w:rFonts w:ascii="Calibri" w:hAnsi="Calibri"/>
          <w:sz w:val="22"/>
        </w:rPr>
        <w:t>Extract all reported correlations; leave unreported cells as NA</w:t>
      </w:r>
    </w:p>
    <w:p>
      <w:pPr>
        <w:pStyle w:val="ListBullet"/>
      </w:pPr>
      <w:r>
        <w:rPr>
          <w:rFonts w:ascii="Calibri" w:hAnsi="Calibri"/>
          <w:sz w:val="22"/>
        </w:rPr>
        <w:t>Do NOT assume unreported or non-significant correlations are zero</w:t>
      </w:r>
    </w:p>
    <w:p>
      <w:pPr>
        <w:pStyle w:val="ListBullet"/>
      </w:pPr>
      <w:r>
        <w:rPr>
          <w:rFonts w:ascii="Calibri" w:hAnsi="Calibri"/>
          <w:sz w:val="22"/>
        </w:rPr>
        <w:t xml:space="preserve">Record </w:t>
      </w:r>
      <w:r>
        <w:rPr>
          <w:rFonts w:ascii="Consolas" w:hAnsi="Consolas"/>
          <w:color w:val="C7254E"/>
          <w:sz w:val="20"/>
        </w:rPr>
        <w:t>matrix_completeness = reported_pairs / possible_pairs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Stage 1 TSSEM handles missing cells via FIML</w:t>
      </w:r>
    </w:p>
    <w:p>
      <w:pPr>
        <w:pStyle w:val="Heading3"/>
      </w:pPr>
      <w:r>
        <w:t>6.5 Where to Find Correlation Data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Location</w:t>
            </w:r>
          </w:p>
        </w:tc>
        <w:tc>
          <w:tcPr>
            <w:tcW w:type="dxa" w:w="460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1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Main text tables (Results section)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Most common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2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Appendices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Often “Appendix: Correlation Matrix”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3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Supplementary materials / OSF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Online supplements</w:t>
            </w:r>
          </w:p>
        </w:tc>
      </w:tr>
      <w:tr>
        <w:tc>
          <w:tcPr>
            <w:tcW w:type="dxa" w:w="115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4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SEM output tables</w:t>
            </w:r>
          </w:p>
        </w:tc>
        <w:tc>
          <w:tcPr>
            <w:tcW w:type="dxa" w:w="460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May contain implied correlations</w:t>
            </w:r>
          </w:p>
        </w:tc>
      </w:tr>
      <w:tr>
        <w:tc>
          <w:tcPr>
            <w:tcW w:type="dxa" w:w="115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5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Author contact</w:t>
            </w:r>
          </w:p>
        </w:tc>
        <w:tc>
          <w:tcPr>
            <w:tcW w:type="dxa" w:w="460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“available upon request”</w:t>
            </w:r>
          </w:p>
        </w:tc>
      </w:tr>
    </w:tbl>
    <w:p/>
    <w:p>
      <w:r>
        <w:br w:type="page"/>
      </w:r>
    </w:p>
    <w:p>
      <w:pPr>
        <w:pStyle w:val="Heading1"/>
      </w:pPr>
      <w:r>
        <w:t>7. Construct Harmonization Instructions</w:t>
      </w:r>
    </w:p>
    <w:p>
      <w:r>
        <w:rPr>
          <w:rFonts w:ascii="Calibri" w:hAnsi="Calibri"/>
          <w:sz w:val="22"/>
        </w:rPr>
        <w:t xml:space="preserve">Harmonization maps diverse construct labels onto our 12 standard constructs. </w:t>
      </w:r>
      <w:r>
        <w:rPr>
          <w:rFonts w:ascii="Calibri" w:hAnsi="Calibri"/>
          <w:b/>
          <w:sz w:val="22"/>
        </w:rPr>
        <w:t>Prioritize conceptual alignment over label matching.</w:t>
      </w:r>
      <w:r>
        <w:rPr>
          <w:rFonts w:ascii="Calibri" w:hAnsi="Calibri"/>
          <w:sz w:val="22"/>
        </w:rPr>
        <w:t xml:space="preserve"> All mappings go in the CONSTRUCT_MAPPING sheet.</w:t>
      </w:r>
    </w:p>
    <w:p>
      <w:pPr>
        <w:pStyle w:val="Heading3"/>
      </w:pPr>
      <w:r>
        <w:t>7.1 The 12 Target Constructs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86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Abbr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Construct</w:t>
            </w:r>
          </w:p>
        </w:tc>
        <w:tc>
          <w:tcPr>
            <w:tcW w:type="dxa" w:w="374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Origin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Performance Expectancy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that AI helps attain performance gains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(PU)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Effort Expectancy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ease of using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TAM (PEOU)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Social Influence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Important others believe one should 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TRA (SN)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FC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Facilitating Conditions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Organizational/technical infrastructure for AI use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 / TPB (PBC)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Behavioral Intention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Strength of intention to adopt/use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UB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 Behavior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Actual use of AI technology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 / UTAUT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Attitude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Overall evaluative judgment about using AI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/ TAM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Self-Efficacy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Belief in own capability to use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 (Bandura)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Trust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Willingness to be vulnerable based on positive AI expectations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theory (Mayer)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Anxiety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Apprehension or fear about AI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Computer anxiety lit.</w:t>
            </w:r>
          </w:p>
        </w:tc>
      </w:tr>
      <w:tr>
        <w:tc>
          <w:tcPr>
            <w:tcW w:type="dxa" w:w="86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TRA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Transparency</w:t>
            </w:r>
          </w:p>
        </w:tc>
        <w:tc>
          <w:tcPr>
            <w:tcW w:type="dxa" w:w="374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ability to understand AI decisions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literature</w:t>
            </w:r>
          </w:p>
        </w:tc>
      </w:tr>
      <w:tr>
        <w:tc>
          <w:tcPr>
            <w:tcW w:type="dxa" w:w="86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AI Autonomy</w:t>
            </w:r>
          </w:p>
        </w:tc>
        <w:tc>
          <w:tcPr>
            <w:tcW w:type="dxa" w:w="374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degree of AI independent operation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Automation literature</w:t>
            </w:r>
          </w:p>
        </w:tc>
      </w:tr>
    </w:tbl>
    <w:p/>
    <w:p>
      <w:pPr>
        <w:pStyle w:val="Heading3"/>
      </w:pPr>
      <w:r>
        <w:t>7.2 TAM/UTAUT Cross-Reference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 Origin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Usefulness (PU)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Ease of Use (PEOU)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Attitude Toward Using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Behavioral Intention to Use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Actual System Use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TAM/UTAUT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UB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Performance Expectancy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Effort Expectancy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Social Influence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Facilitating Conditions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Subjective Norm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TRA/TPB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SI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Behavioral Control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TPB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 (check items)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Relative Advantage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Complexity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EE (reverse)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Compatibility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Computer Self-Efficacy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SCT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Anxiety (computer/technology)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Various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Hedonic Motivation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UTAUT2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ATT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</w:tr>
    </w:tbl>
    <w:p/>
    <w:p>
      <w:pPr>
        <w:pStyle w:val="Heading3"/>
      </w:pPr>
      <w:r>
        <w:t>7.3 AI-Specific Construct Mappings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 Label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Maps to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360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Trust in AI / AI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Trust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algorithm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Trust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Trust in automated system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Reliability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TRU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Competence dimension of trust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Anxiety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Technology Anxiety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If AI context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Technostress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ANX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anxiety component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Explainability / Interpretability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XAI construct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Algorithmic Transparency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Black Box Perception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(reverse)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Reverse-coded transparency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Autonomy / Machine Autonomy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Direct match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AI Agency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Agency implies autonomy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Automation Level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AUT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60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Degree of autonomy</w:t>
            </w:r>
          </w:p>
        </w:tc>
      </w:tr>
    </w:tbl>
    <w:p/>
    <w:p>
      <w:pPr>
        <w:pStyle w:val="Heading3"/>
      </w:pPr>
      <w:r>
        <w:t>7.4 Harmonization Decision Tree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Exact label match</w:t>
      </w:r>
      <w:r>
        <w:rPr>
          <w:rFonts w:ascii="Calibri" w:hAnsi="Calibri"/>
          <w:sz w:val="22"/>
        </w:rPr>
        <w:t xml:space="preserve"> to our 12? → Code directly (confidence = 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TAM/UTAUT family</w:t>
      </w:r>
      <w:r>
        <w:rPr>
          <w:rFonts w:ascii="Calibri" w:hAnsi="Calibri"/>
          <w:sz w:val="22"/>
        </w:rPr>
        <w:t xml:space="preserve"> label? → Use cross-reference table §7.2 (confidence = high)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AI-specific</w:t>
      </w:r>
      <w:r>
        <w:rPr>
          <w:rFonts w:ascii="Calibri" w:hAnsi="Calibri"/>
          <w:sz w:val="22"/>
        </w:rPr>
        <w:t xml:space="preserve"> label? → Use AI mapping table §7.3 (confidence = high/exact)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Definition aligns?</w:t>
      </w:r>
      <w:r>
        <w:rPr>
          <w:rFonts w:ascii="Calibri" w:hAnsi="Calibri"/>
          <w:sz w:val="22"/>
        </w:rPr>
        <w:t xml:space="preserve"> → Compare study definition to our 12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Items align?</w:t>
      </w:r>
      <w:r>
        <w:rPr>
          <w:rFonts w:ascii="Calibri" w:hAnsi="Calibri"/>
          <w:sz w:val="22"/>
        </w:rPr>
        <w:t xml:space="preserve"> → Review scale items (confidence = moderate)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Expert review</w:t>
      </w:r>
      <w:r>
        <w:rPr>
          <w:rFonts w:ascii="Calibri" w:hAnsi="Calibri"/>
          <w:sz w:val="22"/>
        </w:rPr>
        <w:t xml:space="preserve"> → Flag for PI discussion (confidence = low)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No match</w:t>
      </w:r>
      <w:r>
        <w:rPr>
          <w:rFonts w:ascii="Calibri" w:hAnsi="Calibri"/>
          <w:sz w:val="22"/>
        </w:rPr>
        <w:t xml:space="preserve"> → Exclude construct from coding</w:t>
      </w:r>
    </w:p>
    <w:p>
      <w:pPr>
        <w:pStyle w:val="Heading3"/>
      </w:pPr>
      <w:r>
        <w:t>7.5 Ambiguous Cases Requiring Item Review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Study Construct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Possible Mappings</w:t>
            </w:r>
          </w:p>
        </w:tc>
        <w:tc>
          <w:tcPr>
            <w:tcW w:type="dxa" w:w="53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Decision Rule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Value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ATT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“valuable for tasks” → PE; “valuable overall” → ATT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Confidence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“confident in my ability” → SE; “confident in AI”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Understanding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TRA or EE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“understand how AI works” → TRA; “understand how to use” → EE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Support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FC or SI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“organizational support” → FC; “peer encouragement” → SI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Perceived Control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 or FC or AUT(rev)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“I can control” → SE/FC; “AI controls” → AUT</w:t>
            </w:r>
          </w:p>
        </w:tc>
      </w:tr>
      <w:tr>
        <w:tc>
          <w:tcPr>
            <w:tcW w:type="dxa" w:w="187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Quality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TRU</w:t>
            </w:r>
          </w:p>
        </w:tc>
        <w:tc>
          <w:tcPr>
            <w:tcW w:type="dxa" w:w="53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“output quality” → PE; “trustworthy” → TRU</w:t>
            </w:r>
          </w:p>
        </w:tc>
      </w:tr>
      <w:tr>
        <w:tc>
          <w:tcPr>
            <w:tcW w:type="dxa" w:w="187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 Capability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 or AUT</w:t>
            </w:r>
          </w:p>
        </w:tc>
        <w:tc>
          <w:tcPr>
            <w:tcW w:type="dxa" w:w="53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“helps me” → PE; “operates independently” → AUT</w:t>
            </w:r>
          </w:p>
        </w:tc>
      </w:tr>
    </w:tbl>
    <w:p/>
    <w:p>
      <w:r>
        <w:br w:type="page"/>
      </w:r>
    </w:p>
    <w:p>
      <w:pPr>
        <w:pStyle w:val="Heading1"/>
      </w:pPr>
      <w:r>
        <w:t>8. Moderator Variable Coding</w:t>
      </w:r>
    </w:p>
    <w:p>
      <w:pPr>
        <w:pStyle w:val="Heading3"/>
      </w:pPr>
      <w:r>
        <w:t>8.1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Levels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—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technology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generative, predictive, decision_support, conversational, robotic, general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generative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education_level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Education context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K-12, undergraduate, graduate, vocational, mixed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undergraduate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temporal_period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era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pre_chatgpt (2022), post_chatgpt (2023–2026)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post_chatgpt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culture_cluster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Hofstede-based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individualist (IDV≥50), collectivist (IDV&lt;50)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collectivist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sample_type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Respondent type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students, instructors, mixed, administrators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user_role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User role studied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student, instructor, both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student</w:t>
            </w:r>
          </w:p>
        </w:tc>
      </w:tr>
    </w:tbl>
    <w:p/>
    <w:p>
      <w:pPr>
        <w:pStyle w:val="Heading3"/>
      </w:pPr>
      <w:r>
        <w:t>8.2 Moderator Coding Rules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Type:</w:t>
      </w:r>
      <w:r>
        <w:rPr>
          <w:rFonts w:ascii="Calibri" w:hAnsi="Calibri"/>
          <w:sz w:val="22"/>
        </w:rPr>
        <w:t xml:space="preserve"> Code based on the specific AI technology described. If multiple AI types, code as “general.”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Education Level:</w:t>
      </w:r>
      <w:r>
        <w:rPr>
          <w:rFonts w:ascii="Calibri" w:hAnsi="Calibri"/>
          <w:sz w:val="22"/>
        </w:rPr>
        <w:t xml:space="preserve"> Code based on the sample’s educational context. If cross-level, code as “mixed.”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Temporal Period:</w:t>
      </w:r>
      <w:r>
        <w:rPr>
          <w:rFonts w:ascii="Calibri" w:hAnsi="Calibri"/>
          <w:sz w:val="22"/>
        </w:rPr>
        <w:t xml:space="preserve"> Based on publication year. 2022 = pre_chatgpt; 2023–2026 = post_chatgpt.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Culture:</w:t>
      </w:r>
      <w:r>
        <w:rPr>
          <w:rFonts w:ascii="Calibri" w:hAnsi="Calibri"/>
          <w:sz w:val="22"/>
        </w:rPr>
        <w:t xml:space="preserve"> Use Hofstede individualism score. IDV ≥ 50 = individualist; IDV &lt; 50 = collectivist.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User Role:</w:t>
      </w:r>
      <w:r>
        <w:rPr>
          <w:rFonts w:ascii="Calibri" w:hAnsi="Calibri"/>
          <w:sz w:val="22"/>
        </w:rPr>
        <w:t xml:space="preserve"> Code primary respondent role.</w:t>
      </w:r>
    </w:p>
    <w:p>
      <w:r>
        <w:br w:type="page"/>
      </w:r>
    </w:p>
    <w:p>
      <w:pPr>
        <w:pStyle w:val="Heading1"/>
      </w:pPr>
      <w:r>
        <w:t>9. Reliability Data Extraction</w:t>
      </w:r>
    </w:p>
    <w:p>
      <w:pPr>
        <w:pStyle w:val="Heading3"/>
      </w:pPr>
      <w:r>
        <w:t>9.1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45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30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Links to STUDY_METADATA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S001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of 12 target constructs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study_label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construct label in the study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Perceived Usefulness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cronbach_alpha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Cronbach’s alpha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0.89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composite_reliability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Composite reliability / CR (0–1)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0.92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ave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float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Average Variance Extracted (0–1)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0.65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n_items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Number of scale items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5</w:t>
            </w:r>
          </w:p>
        </w:tc>
      </w:tr>
      <w:tr>
        <w:tc>
          <w:tcPr>
            <w:tcW w:type="dxa" w:w="2304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scale_source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45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scale reference</w:t>
            </w:r>
          </w:p>
        </w:tc>
        <w:tc>
          <w:tcPr>
            <w:tcW w:type="dxa" w:w="230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Venkatesh et al. (2003)</w:t>
            </w:r>
          </w:p>
        </w:tc>
      </w:tr>
      <w:tr>
        <w:tc>
          <w:tcPr>
            <w:tcW w:type="dxa" w:w="230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harmonization_confidence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45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exact, high, moderate, low</w:t>
            </w:r>
          </w:p>
        </w:tc>
        <w:tc>
          <w:tcPr>
            <w:tcW w:type="dxa" w:w="230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exact</w:t>
            </w:r>
          </w:p>
        </w:tc>
      </w:tr>
    </w:tbl>
    <w:p/>
    <w:p>
      <w:pPr>
        <w:pStyle w:val="Heading3"/>
      </w:pPr>
      <w:r>
        <w:t>9.2 Reliability Extraction Protocol</w:t>
      </w:r>
    </w:p>
    <w:p>
      <w:pPr>
        <w:pStyle w:val="ListNumber"/>
      </w:pPr>
      <w:r>
        <w:rPr>
          <w:rFonts w:ascii="Calibri" w:hAnsi="Calibri"/>
          <w:sz w:val="22"/>
        </w:rPr>
        <w:t>Check diagonal of correlation matrix for reliability values (often α or CR)</w:t>
      </w:r>
    </w:p>
    <w:p>
      <w:pPr>
        <w:pStyle w:val="ListNumber"/>
      </w:pPr>
      <w:r>
        <w:rPr>
          <w:rFonts w:ascii="Calibri" w:hAnsi="Calibri"/>
          <w:sz w:val="22"/>
        </w:rPr>
        <w:t>Check measurement model tables (CFA results) for CR and AVE</w:t>
      </w:r>
    </w:p>
    <w:p>
      <w:pPr>
        <w:pStyle w:val="ListNumber"/>
      </w:pPr>
      <w:r>
        <w:rPr>
          <w:rFonts w:ascii="Calibri" w:hAnsi="Calibri"/>
          <w:sz w:val="22"/>
        </w:rPr>
        <w:t>Check “Measures” or “Instruments” section for α values</w:t>
      </w:r>
    </w:p>
    <w:p>
      <w:pPr>
        <w:pStyle w:val="ListNumber"/>
      </w:pPr>
      <w:r>
        <w:rPr>
          <w:rFonts w:ascii="Calibri" w:hAnsi="Calibri"/>
          <w:sz w:val="22"/>
        </w:rPr>
        <w:t>If multiple estimates reported, prefer: CR &gt; α &gt; test-retest</w:t>
      </w:r>
    </w:p>
    <w:p>
      <w:pPr>
        <w:pStyle w:val="ListNumber"/>
      </w:pPr>
      <w:r>
        <w:rPr>
          <w:rFonts w:ascii="Calibri" w:hAnsi="Calibri"/>
          <w:sz w:val="22"/>
        </w:rPr>
        <w:t xml:space="preserve">Record </w:t>
      </w:r>
      <w:r>
        <w:rPr>
          <w:rFonts w:ascii="Calibri" w:hAnsi="Calibri"/>
          <w:b/>
          <w:sz w:val="22"/>
        </w:rPr>
        <w:t>all</w:t>
      </w:r>
      <w:r>
        <w:rPr>
          <w:rFonts w:ascii="Calibri" w:hAnsi="Calibri"/>
          <w:sz w:val="22"/>
        </w:rPr>
        <w:t xml:space="preserve"> available reliability indicators</w:t>
      </w:r>
    </w:p>
    <w:p>
      <w:r>
        <w:br w:type="page"/>
      </w:r>
    </w:p>
    <w:p>
      <w:pPr>
        <w:pStyle w:val="Heading1"/>
      </w:pPr>
      <w:r>
        <w:t>10. AI-Assisted Coding Protocol</w:t>
      </w:r>
    </w:p>
    <w:p>
      <w:pPr>
        <w:pStyle w:val="Heading3"/>
      </w:pPr>
      <w:r>
        <w:t>10.1 Dual-Track Design</w:t>
      </w:r>
    </w:p>
    <w:p>
      <w:r>
        <w:rPr>
          <w:rFonts w:ascii="Calibri" w:hAnsi="Calibri"/>
          <w:sz w:val="22"/>
        </w:rPr>
        <w:t xml:space="preserve">The AI-assisted coding protocol operates on </w:t>
      </w:r>
      <w:r>
        <w:rPr>
          <w:rFonts w:ascii="Calibri" w:hAnsi="Calibri"/>
          <w:b/>
          <w:sz w:val="22"/>
        </w:rPr>
        <w:t>two separate tracks</w:t>
      </w:r>
      <w:r>
        <w:rPr>
          <w:rFonts w:ascii="Calibri" w:hAnsi="Calibri"/>
          <w:sz w:val="22"/>
        </w:rPr>
        <w:t>: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1 — AI Metadata Pre-Coding</w:t>
      </w:r>
      <w:r>
        <w:rPr>
          <w:rFonts w:ascii="Calibri" w:hAnsi="Calibri"/>
          <w:sz w:val="22"/>
        </w:rPr>
        <w:t xml:space="preserve"> (before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non-critical metadata from PDFs</w:t>
      </w:r>
    </w:p>
    <w:p>
      <w:pPr>
        <w:pStyle w:val="ListBullet"/>
      </w:pPr>
      <w:r>
        <w:rPr>
          <w:rFonts w:ascii="Calibri" w:hAnsi="Calibri"/>
          <w:sz w:val="22"/>
        </w:rPr>
        <w:t>Fields: author, year, title, DOI, sample_size, country, study_design, ai_type, education_level, theoretical_framework</w:t>
      </w:r>
    </w:p>
    <w:p>
      <w:pPr>
        <w:pStyle w:val="ListBullet"/>
      </w:pPr>
      <w:r>
        <w:rPr>
          <w:rFonts w:ascii="Calibri" w:hAnsi="Calibri"/>
          <w:sz w:val="22"/>
        </w:rPr>
        <w:t>Humans verify and correct during their independent coding</w:t>
      </w:r>
    </w:p>
    <w:p>
      <w:pPr>
        <w:pStyle w:val="ListBullet"/>
      </w:pPr>
      <w:r>
        <w:rPr>
          <w:rFonts w:ascii="Calibri" w:hAnsi="Calibri"/>
          <w:sz w:val="22"/>
        </w:rPr>
        <w:t>This saves time on clerical tasks without introducing bias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Track 2 — AI Independent Extraction</w:t>
      </w:r>
      <w:r>
        <w:rPr>
          <w:rFonts w:ascii="Calibri" w:hAnsi="Calibri"/>
          <w:sz w:val="22"/>
        </w:rPr>
        <w:t xml:space="preserve"> (parallel with human coding):</w:t>
      </w:r>
    </w:p>
    <w:p>
      <w:pPr>
        <w:pStyle w:val="ListBullet"/>
      </w:pPr>
      <w:r>
        <w:rPr>
          <w:rFonts w:ascii="Calibri" w:hAnsi="Calibri"/>
          <w:sz w:val="22"/>
        </w:rPr>
        <w:t>AI extracts core MASEM data (correlations, construct mappings)</w:t>
      </w:r>
    </w:p>
    <w:p>
      <w:pPr>
        <w:pStyle w:val="ListBullet"/>
      </w:pPr>
      <w:r>
        <w:rPr>
          <w:rFonts w:ascii="Calibri" w:hAnsi="Calibri"/>
          <w:sz w:val="22"/>
        </w:rPr>
        <w:t xml:space="preserve">Results are </w:t>
      </w:r>
      <w:r>
        <w:rPr>
          <w:rFonts w:ascii="Calibri" w:hAnsi="Calibri"/>
          <w:b/>
          <w:sz w:val="22"/>
        </w:rPr>
        <w:t>NOT shown to human coders</w:t>
      </w:r>
      <w:r>
        <w:rPr>
          <w:rFonts w:ascii="Calibri" w:hAnsi="Calibri"/>
          <w:sz w:val="22"/>
        </w:rPr>
        <w:t xml:space="preserve"> until human coding is complete</w:t>
      </w:r>
    </w:p>
    <w:p>
      <w:pPr>
        <w:pStyle w:val="ListBullet"/>
      </w:pPr>
      <w:r>
        <w:rPr>
          <w:rFonts w:ascii="Calibri" w:hAnsi="Calibri"/>
          <w:sz w:val="22"/>
        </w:rPr>
        <w:t>Used for AI-Human comparison metrics and validation</w:t>
      </w:r>
    </w:p>
    <w:p>
      <w:pPr>
        <w:pStyle w:val="ListBullet"/>
      </w:pPr>
      <w:r>
        <w:rPr>
          <w:rFonts w:ascii="Calibri" w:hAnsi="Calibri"/>
          <w:sz w:val="22"/>
        </w:rPr>
        <w:t>3-model consensus determines AI extraction quality</w:t>
      </w:r>
    </w:p>
    <w:p>
      <w:pPr>
        <w:pStyle w:val="Heading3"/>
      </w:pPr>
      <w:r>
        <w:t>10.2 Models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Model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CLI Tool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Version (March 2026)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Claude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claude-sonnet-4-6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Primary AI coder</w:t>
            </w:r>
          </w:p>
        </w:tc>
      </w:tr>
      <w:tr>
        <w:tc>
          <w:tcPr>
            <w:tcW w:type="dxa" w:w="144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Gemini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 CLI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gemini-2.5-flash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Secondary AI coder</w:t>
            </w:r>
          </w:p>
        </w:tc>
      </w:tr>
      <w:tr>
        <w:tc>
          <w:tcPr>
            <w:tcW w:type="dxa" w:w="144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Codex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Codex CLI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Latest available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Tertiary AI coder</w:t>
            </w:r>
          </w:p>
        </w:tc>
      </w:tr>
    </w:tbl>
    <w:p/>
    <w:p>
      <w:pPr>
        <w:pStyle w:val="Heading3"/>
      </w:pPr>
      <w:r>
        <w:t>10.3 Execution Rules</w:t>
      </w:r>
    </w:p>
    <w:p>
      <w:pPr>
        <w:pStyle w:val="ListNumber"/>
      </w:pPr>
      <w:r>
        <w:rPr>
          <w:rFonts w:ascii="Calibri" w:hAnsi="Calibri"/>
          <w:sz w:val="22"/>
        </w:rPr>
        <w:t xml:space="preserve">Each AI model processes the same study </w:t>
      </w:r>
      <w:r>
        <w:rPr>
          <w:rFonts w:ascii="Calibri" w:hAnsi="Calibri"/>
          <w:b/>
          <w:sz w:val="22"/>
        </w:rPr>
        <w:t>independently</w:t>
      </w:r>
      <w:r>
        <w:rPr>
          <w:rFonts w:ascii="Calibri" w:hAnsi="Calibri"/>
          <w:sz w:val="22"/>
        </w:rPr>
        <w:t xml:space="preserve"> (no communication between models)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gold-standard coding is completed independently</w:t>
      </w:r>
      <w:r>
        <w:rPr>
          <w:rFonts w:ascii="Calibri" w:hAnsi="Calibri"/>
          <w:sz w:val="22"/>
        </w:rPr>
        <w:t xml:space="preserve"> — humans do NOT see AI extraction results for correlations and construct mappings</w:t>
      </w:r>
    </w:p>
    <w:p>
      <w:pPr>
        <w:pStyle w:val="ListNumber"/>
      </w:pPr>
      <w:r>
        <w:rPr>
          <w:rFonts w:ascii="Calibri" w:hAnsi="Calibri"/>
          <w:sz w:val="22"/>
        </w:rPr>
        <w:t>Humans MAY see AI-precoded metadata (Track 1) as this covers non-critical clerical fields</w:t>
      </w:r>
    </w:p>
    <w:p>
      <w:pPr>
        <w:pStyle w:val="ListNumber"/>
      </w:pPr>
      <w:r>
        <w:rPr>
          <w:rFonts w:ascii="Calibri" w:hAnsi="Calibri"/>
          <w:sz w:val="22"/>
        </w:rPr>
        <w:t>All AI raw outputs are preserved in the AI_EXTRACTION_PROVENANCE sheet</w:t>
      </w:r>
    </w:p>
    <w:p>
      <w:pPr>
        <w:pStyle w:val="ListNumber"/>
      </w:pPr>
      <w:r>
        <w:rPr>
          <w:rFonts w:ascii="Calibri" w:hAnsi="Calibri"/>
          <w:sz w:val="22"/>
        </w:rPr>
        <w:t xml:space="preserve">AI outputs are compared to human coding </w:t>
      </w:r>
      <w:r>
        <w:rPr>
          <w:rFonts w:ascii="Calibri" w:hAnsi="Calibri"/>
          <w:b/>
          <w:sz w:val="22"/>
        </w:rPr>
        <w:t>after</w:t>
      </w:r>
      <w:r>
        <w:rPr>
          <w:rFonts w:ascii="Calibri" w:hAnsi="Calibri"/>
          <w:sz w:val="22"/>
        </w:rPr>
        <w:t xml:space="preserve"> human coding is complete (Phase D)</w:t>
      </w:r>
    </w:p>
    <w:p>
      <w:pPr>
        <w:pStyle w:val="Heading3"/>
      </w:pPr>
      <w:r>
        <w:t>10.4 Consensus Methods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Full agreement</w:t>
      </w:r>
      <w:r>
        <w:rPr>
          <w:rFonts w:ascii="Calibri" w:hAnsi="Calibri"/>
          <w:sz w:val="22"/>
        </w:rPr>
        <w:t xml:space="preserve"> (2+ models agree exactly): Use that value. Confidence = High.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Close agreement</w:t>
      </w:r>
      <w:r>
        <w:rPr>
          <w:rFonts w:ascii="Calibri" w:hAnsi="Calibri"/>
          <w:sz w:val="22"/>
        </w:rPr>
        <w:t xml:space="preserve"> (all within .05): Use median. Confidence = Moderate. Flag for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Disagreement</w:t>
      </w:r>
      <w:r>
        <w:rPr>
          <w:rFonts w:ascii="Calibri" w:hAnsi="Calibri"/>
          <w:sz w:val="22"/>
        </w:rPr>
        <w:t xml:space="preserve"> (range &gt; .05): Consensus = NULL. Must review.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Construct mapping:</w:t>
      </w:r>
      <w:r>
        <w:rPr>
          <w:rFonts w:ascii="Calibri" w:hAnsi="Calibri"/>
          <w:sz w:val="22"/>
        </w:rPr>
        <w:t xml:space="preserve"> Majority vote (2/3 agree). If no majority, flag for human review.</w:t>
      </w:r>
    </w:p>
    <w:p>
      <w:pPr>
        <w:pStyle w:val="Heading3"/>
      </w:pPr>
      <w:r>
        <w:t>10.5 AI-Human Comparison Metrics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87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match rate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80%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90%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 values)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87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.80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Mean absolute error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values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87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</w:tr>
    </w:tbl>
    <w:p/>
    <w:p>
      <w:r>
        <w:br w:type="page"/>
      </w:r>
    </w:p>
    <w:p>
      <w:pPr>
        <w:pStyle w:val="Heading1"/>
      </w:pPr>
      <w:r>
        <w:t>11. Inter-Coder Reliability Protocol</w:t>
      </w:r>
    </w:p>
    <w:p>
      <w:pPr>
        <w:pStyle w:val="Heading3"/>
      </w:pPr>
      <w:r>
        <w:t>11.1 When to Calculate</w:t>
      </w:r>
    </w:p>
    <w:p>
      <w:r>
        <w:rPr>
          <w:rFonts w:ascii="Calibri" w:hAnsi="Calibri"/>
          <w:sz w:val="22"/>
        </w:rPr>
        <w:t xml:space="preserve">Calculate ICR on the </w:t>
      </w:r>
      <w:r>
        <w:rPr>
          <w:rFonts w:ascii="Calibri" w:hAnsi="Calibri"/>
          <w:b/>
          <w:sz w:val="22"/>
        </w:rPr>
        <w:t>Phase 1 dual-coded set (100 studies)</w:t>
      </w:r>
      <w:r>
        <w:rPr>
          <w:rFonts w:ascii="Calibri" w:hAnsi="Calibri"/>
          <w:sz w:val="22"/>
        </w:rPr>
        <w:t>. Two independent coder pairs (Pair A: R1+R2; Pair B: R3+R4) each code 50 studies.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ICR is calculated at three levels:</w:t>
      </w:r>
      <w:r>
        <w:rPr>
          <w:rFonts w:ascii="Calibri" w:hAnsi="Calibri"/>
          <w:sz w:val="22"/>
        </w:rPr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Within-pair:</w:t>
      </w:r>
      <w:r>
        <w:rPr>
          <w:rFonts w:ascii="Calibri" w:hAnsi="Calibri"/>
          <w:sz w:val="22"/>
        </w:rPr>
        <w:t xml:space="preserve"> R1 vs R2 (50 studies), R3 vs R4 (50 studies)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Inter-pair consistency:</w:t>
      </w:r>
      <w:r>
        <w:rPr>
          <w:rFonts w:ascii="Calibri" w:hAnsi="Calibri"/>
          <w:sz w:val="22"/>
        </w:rPr>
        <w:t xml:space="preserve"> Compare Pair A gold standard values to Pair B gold standard values on the calibration set (10 studies coded by all 4)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AI-Human:</w:t>
      </w:r>
      <w:r>
        <w:rPr>
          <w:rFonts w:ascii="Calibri" w:hAnsi="Calibri"/>
          <w:sz w:val="22"/>
        </w:rPr>
        <w:t xml:space="preserve"> 3-model AI consensus vs human gold standard (100 studies)</w:t>
      </w:r>
    </w:p>
    <w:p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Stratification of Phase 1 sample (100 studies):</w:t>
      </w:r>
      <w:r>
        <w:rPr>
          <w:rFonts w:ascii="Calibri" w:hAnsi="Calibri"/>
          <w:sz w:val="22"/>
        </w:rPr>
      </w:r>
    </w:p>
    <w:p>
      <w:pPr>
        <w:pStyle w:val="ListBullet"/>
      </w:pPr>
      <w:r>
        <w:rPr>
          <w:rFonts w:ascii="Calibri" w:hAnsi="Calibri"/>
          <w:sz w:val="22"/>
        </w:rPr>
        <w:t>Publication year (2022, 2023–2024, 2025–2026)</w:t>
      </w:r>
    </w:p>
    <w:p>
      <w:pPr>
        <w:pStyle w:val="ListBullet"/>
      </w:pPr>
      <w:r>
        <w:rPr>
          <w:rFonts w:ascii="Calibri" w:hAnsi="Calibri"/>
          <w:sz w:val="22"/>
        </w:rPr>
        <w:t>AI type (generative vs. non-generative)</w:t>
      </w:r>
    </w:p>
    <w:p>
      <w:pPr>
        <w:pStyle w:val="ListBullet"/>
      </w:pPr>
      <w:r>
        <w:rPr>
          <w:rFonts w:ascii="Calibri" w:hAnsi="Calibri"/>
          <w:sz w:val="22"/>
        </w:rPr>
        <w:t>Education level (K-12, undergraduate, graduate+)</w:t>
      </w:r>
    </w:p>
    <w:p>
      <w:pPr>
        <w:pStyle w:val="Heading3"/>
      </w:pPr>
      <w:r>
        <w:t>11.2 Metrics and Thresholds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Applied To</w:t>
            </w:r>
          </w:p>
        </w:tc>
        <w:tc>
          <w:tcPr>
            <w:tcW w:type="dxa" w:w="129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Minimum</w:t>
            </w:r>
          </w:p>
        </w:tc>
        <w:tc>
          <w:tcPr>
            <w:tcW w:type="dxa" w:w="115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3024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If Below Minimum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Cohen’s 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.70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.85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Retrain; re-code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ICC(2,1)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Continuous variables (r)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.90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.95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Review procedure; re-code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Exact agreement %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coded variables</w:t>
            </w:r>
          </w:p>
        </w:tc>
        <w:tc>
          <w:tcPr>
            <w:tcW w:type="dxa" w:w="1296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85%</w:t>
            </w:r>
          </w:p>
        </w:tc>
        <w:tc>
          <w:tcPr>
            <w:tcW w:type="dxa" w:w="115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95%</w:t>
            </w:r>
          </w:p>
        </w:tc>
        <w:tc>
          <w:tcPr>
            <w:tcW w:type="dxa" w:w="3024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Identify systematic errors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r value MAE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Correlation values</w:t>
            </w:r>
          </w:p>
        </w:tc>
        <w:tc>
          <w:tcPr>
            <w:tcW w:type="dxa" w:w="1296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&lt;.05</w:t>
            </w:r>
          </w:p>
        </w:tc>
        <w:tc>
          <w:tcPr>
            <w:tcW w:type="dxa" w:w="115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&lt;.02</w:t>
            </w:r>
          </w:p>
        </w:tc>
        <w:tc>
          <w:tcPr>
            <w:tcW w:type="dxa" w:w="3024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Re-extract from source tables</w:t>
            </w:r>
          </w:p>
        </w:tc>
      </w:tr>
    </w:tbl>
    <w:p/>
    <w:p>
      <w:pPr>
        <w:pStyle w:val="Heading3"/>
      </w:pPr>
      <w:r>
        <w:t>11.3 Reporting Format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 Category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95% CI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n items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 harmonization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 r values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 coding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Quality assessment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Cohen’s κ</w:t>
            </w:r>
          </w:p>
        </w:tc>
        <w:tc>
          <w:tcPr>
            <w:tcW w:type="dxa" w:w="1728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  <w:tr>
        <w:tc>
          <w:tcPr>
            <w:tcW w:type="dxa" w:w="259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Beta conversion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ICC(2,1)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[calculated]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[CI]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[n]</w:t>
            </w:r>
          </w:p>
        </w:tc>
      </w:tr>
    </w:tbl>
    <w:p/>
    <w:p>
      <w:r>
        <w:br w:type="page"/>
      </w:r>
    </w:p>
    <w:p>
      <w:pPr>
        <w:pStyle w:val="Heading1"/>
      </w:pPr>
      <w:r>
        <w:t>12. Discrepancy Resolution Protocol</w:t>
      </w:r>
    </w:p>
    <w:p>
      <w:pPr>
        <w:pStyle w:val="Heading3"/>
      </w:pPr>
      <w:r>
        <w:t>12.1 Discrepancy Classification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72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Classification</w:t>
            </w:r>
          </w:p>
        </w:tc>
        <w:tc>
          <w:tcPr>
            <w:tcW w:type="dxa" w:w="216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Examples</w:t>
            </w:r>
          </w:p>
        </w:tc>
        <w:tc>
          <w:tcPr>
            <w:tcW w:type="dxa" w:w="288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Resolution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Clerical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Typo, data entry error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 = .45 vs .54 (transposition)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Verify against source; correct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Interpretive</w:t>
            </w:r>
          </w:p>
        </w:tc>
        <w:tc>
          <w:tcPr>
            <w:tcW w:type="dxa" w:w="216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Different but defensible readings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Mapping “AI Value” to PE vs ATT</w:t>
            </w:r>
          </w:p>
        </w:tc>
        <w:tc>
          <w:tcPr>
            <w:tcW w:type="dxa" w:w="288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Discuss; check items; decide with 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Substantive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Fundamental disagreement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Including vs excluding a study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 review; PI makes final decision</w:t>
            </w:r>
          </w:p>
        </w:tc>
      </w:tr>
    </w:tbl>
    <w:p/>
    <w:p>
      <w:pPr>
        <w:pStyle w:val="Heading3"/>
      </w:pPr>
      <w:r>
        <w:t>12.2 Resolution Workflow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Identify</w:t>
      </w:r>
      <w:r>
        <w:rPr>
          <w:rFonts w:ascii="Calibri" w:hAnsi="Calibri"/>
          <w:sz w:val="22"/>
        </w:rPr>
        <w:t xml:space="preserve"> all discrepancies by comparing coder sheets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Classify</w:t>
      </w:r>
      <w:r>
        <w:rPr>
          <w:rFonts w:ascii="Calibri" w:hAnsi="Calibri"/>
          <w:sz w:val="22"/>
        </w:rPr>
        <w:t xml:space="preserve"> each discrepancy (clerical, interpretive, substantive)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Resolve</w:t>
      </w:r>
      <w:r>
        <w:rPr>
          <w:rFonts w:ascii="Calibri" w:hAnsi="Calibri"/>
          <w:sz w:val="22"/>
        </w:rPr>
        <w:t xml:space="preserve"> clerical errors by re-checking source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Discuss</w:t>
      </w:r>
      <w:r>
        <w:rPr>
          <w:rFonts w:ascii="Calibri" w:hAnsi="Calibri"/>
          <w:sz w:val="22"/>
        </w:rPr>
        <w:t xml:space="preserve"> interpretive differences; reach consensus or escalate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Escalate</w:t>
      </w:r>
      <w:r>
        <w:rPr>
          <w:rFonts w:ascii="Calibri" w:hAnsi="Calibri"/>
          <w:sz w:val="22"/>
        </w:rPr>
        <w:t xml:space="preserve"> substantive disagreements to PI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Document</w:t>
      </w:r>
      <w:r>
        <w:rPr>
          <w:rFonts w:ascii="Calibri" w:hAnsi="Calibri"/>
          <w:sz w:val="22"/>
        </w:rPr>
        <w:t xml:space="preserve"> all resolutions in DISCREPANCY_LOG</w:t>
      </w:r>
    </w:p>
    <w:p>
      <w:pPr>
        <w:pStyle w:val="Heading3"/>
      </w:pPr>
      <w:r>
        <w:t>12.3 Resolution Hierarchy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Original study text</w:t>
      </w:r>
      <w:r>
        <w:rPr>
          <w:rFonts w:ascii="Calibri" w:hAnsi="Calibri"/>
          <w:sz w:val="22"/>
        </w:rPr>
        <w:t xml:space="preserve"> (highest authority)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Human consensus</w:t>
      </w:r>
      <w:r>
        <w:rPr>
          <w:rFonts w:ascii="Calibri" w:hAnsi="Calibri"/>
          <w:sz w:val="22"/>
        </w:rPr>
        <w:t xml:space="preserve"> (both human coders agree)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AI consensus</w:t>
      </w:r>
      <w:r>
        <w:rPr>
          <w:rFonts w:ascii="Calibri" w:hAnsi="Calibri"/>
          <w:sz w:val="22"/>
        </w:rPr>
        <w:t xml:space="preserve"> (2+ models agree AND human review confirms)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PI adjudication</w:t>
      </w:r>
      <w:r>
        <w:rPr>
          <w:rFonts w:ascii="Calibri" w:hAnsi="Calibri"/>
          <w:sz w:val="22"/>
        </w:rPr>
        <w:t xml:space="preserve"> (if still unclear)</w:t>
      </w:r>
    </w:p>
    <w:p>
      <w:r>
        <w:br w:type="page"/>
      </w:r>
    </w:p>
    <w:p>
      <w:pPr>
        <w:pStyle w:val="Heading1"/>
      </w:pPr>
      <w:r>
        <w:t>13. Study Exclusion Protocol</w:t>
      </w:r>
    </w:p>
    <w:p>
      <w:pPr>
        <w:pStyle w:val="Heading3"/>
      </w:pPr>
      <w:r>
        <w:t>13.1 Variable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016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440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Type</w:t>
            </w:r>
          </w:p>
        </w:tc>
        <w:tc>
          <w:tcPr>
            <w:tcW w:type="dxa" w:w="331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Definition</w:t>
            </w:r>
          </w:p>
        </w:tc>
        <w:tc>
          <w:tcPr>
            <w:tcW w:type="dxa" w:w="25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Example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study_id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Original study ID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S045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first_author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First author last name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Kim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year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integer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Publication year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2023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title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Paper title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AI Acceptance...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exclusion_stage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title_abstract, full_text, data_extraction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full_text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exclusion_code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E1–E12 or E-FT1–E-FT6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E-FT1</w:t>
            </w:r>
          </w:p>
        </w:tc>
      </w:tr>
      <w:tr>
        <w:tc>
          <w:tcPr>
            <w:tcW w:type="dxa" w:w="2016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detailed_rationale</w:t>
            </w:r>
          </w:p>
        </w:tc>
        <w:tc>
          <w:tcPr>
            <w:tcW w:type="dxa" w:w="1440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string</w:t>
            </w:r>
          </w:p>
        </w:tc>
        <w:tc>
          <w:tcPr>
            <w:tcW w:type="dxa" w:w="331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Free-text explanation</w:t>
            </w:r>
          </w:p>
        </w:tc>
        <w:tc>
          <w:tcPr>
            <w:tcW w:type="dxa" w:w="25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Only reports regression β without correlation table</w:t>
            </w:r>
          </w:p>
        </w:tc>
      </w:tr>
      <w:tr>
        <w:tc>
          <w:tcPr>
            <w:tcW w:type="dxa" w:w="2016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final_decision</w:t>
            </w:r>
          </w:p>
        </w:tc>
        <w:tc>
          <w:tcPr>
            <w:tcW w:type="dxa" w:w="1440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categorical</w:t>
            </w:r>
          </w:p>
        </w:tc>
        <w:tc>
          <w:tcPr>
            <w:tcW w:type="dxa" w:w="331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  <w:tc>
          <w:tcPr>
            <w:tcW w:type="dxa" w:w="25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exclude</w:t>
            </w:r>
          </w:p>
        </w:tc>
      </w:tr>
    </w:tbl>
    <w:p/>
    <w:p>
      <w:pPr>
        <w:pStyle w:val="Heading3"/>
      </w:pPr>
      <w:r>
        <w:t>13.2 When to Log</w:t>
      </w:r>
    </w:p>
    <w:p>
      <w:pPr>
        <w:pStyle w:val="ListBullet"/>
      </w:pPr>
      <w:r>
        <w:rPr>
          <w:rFonts w:ascii="Calibri" w:hAnsi="Calibri"/>
          <w:sz w:val="22"/>
        </w:rPr>
        <w:t>Log every study excluded at full-text screening or later</w:t>
      </w:r>
    </w:p>
    <w:p>
      <w:pPr>
        <w:pStyle w:val="ListBullet"/>
      </w:pPr>
      <w:r>
        <w:rPr>
          <w:rFonts w:ascii="Calibri" w:hAnsi="Calibri"/>
          <w:sz w:val="22"/>
        </w:rPr>
        <w:t>Title/abstract exclusions are tracked in PRISMA counts (not individually logged here)</w:t>
      </w:r>
    </w:p>
    <w:p>
      <w:pPr>
        <w:pStyle w:val="ListBullet"/>
      </w:pPr>
      <w:r>
        <w:rPr>
          <w:rFonts w:ascii="Calibri" w:hAnsi="Calibri"/>
          <w:sz w:val="22"/>
        </w:rPr>
        <w:t>If initially included then excluded during data extraction, log with stage = “data_extraction”</w:t>
      </w:r>
    </w:p>
    <w:p>
      <w:r>
        <w:br w:type="page"/>
      </w:r>
    </w:p>
    <w:p>
      <w:pPr>
        <w:pStyle w:val="Heading1"/>
      </w:pPr>
      <w:r>
        <w:t>14. Quality Assurance Checklist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All study-level variables completed for every included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All correlation matrix cells extracted (or marked NA with reason)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Construct harmonization mapping documented for every study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Beta-to-r conversions checked with formula (r = β + 0.05 × λ)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Matrix symmetry verified (r(PE,BI) = r(BI,PE))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Sample sizes recorded and plausible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Reliability data extracted where available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Moderator variables coded consistently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AI provenance data preserved for AI-coded studies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Discrepancy log completed for all disagreements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Inter-coder reliability calculated and meets thresholds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Exclusion log completed with reasons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</w:tcPr>
          <w:p>
            <w:r>
              <w:rPr>
                <w:rFonts w:ascii="Calibri" w:hAnsi="Calibri"/>
                <w:sz w:val="22"/>
              </w:rPr>
              <w:t>No duplicate studies in dataset</w:t>
            </w:r>
          </w:p>
        </w:tc>
      </w:tr>
      <w:tr>
        <w:tc>
          <w:tcPr>
            <w:tcW w:type="dxa" w:w="576"/>
            <w:shd w:fill="F2F7FB"/>
          </w:tcPr>
          <w:p>
            <w:pPr>
              <w:jc w:val="center"/>
            </w:pPr>
            <w:r>
              <w:rPr>
                <w:color w:val="2E74B5"/>
                <w:sz w:val="28"/>
              </w:rPr>
              <w:t>☐</w:t>
            </w:r>
          </w:p>
        </w:tc>
        <w:tc>
          <w:tcPr>
            <w:tcW w:type="dxa" w:w="8784"/>
            <w:shd w:fill="F2F7FB"/>
          </w:tcPr>
          <w:p>
            <w:r>
              <w:rPr>
                <w:rFonts w:ascii="Calibri" w:hAnsi="Calibri"/>
                <w:sz w:val="22"/>
              </w:rPr>
              <w:t>Construct labels in CORRELATION_MATRIX match CONSTRUCT_MAPPING</w:t>
            </w:r>
          </w:p>
        </w:tc>
      </w:tr>
    </w:tbl>
    <w:p/>
    <w:p>
      <w:r>
        <w:br w:type="page"/>
      </w:r>
    </w:p>
    <w:p>
      <w:pPr>
        <w:pStyle w:val="Heading1"/>
      </w:pPr>
      <w:r>
        <w:t>15. References</w:t>
      </w:r>
    </w:p>
    <w:p>
      <w:pPr>
        <w:ind w:left="720" w:hanging="720"/>
      </w:pPr>
      <w:r>
        <w:rPr>
          <w:rFonts w:ascii="Calibri" w:hAnsi="Calibri"/>
          <w:sz w:val="20"/>
        </w:rPr>
        <w:t>Ajzen, I. (1991). The theory of planned behavior. OBHDP, 50(2), 179–211.</w:t>
      </w:r>
    </w:p>
    <w:p>
      <w:pPr>
        <w:ind w:left="720" w:hanging="720"/>
      </w:pPr>
      <w:r>
        <w:rPr>
          <w:rFonts w:ascii="Calibri" w:hAnsi="Calibri"/>
          <w:sz w:val="20"/>
        </w:rPr>
        <w:t>Bandura, A. (1986). Social foundations of thought and action. Prentice-Hall.</w:t>
      </w:r>
    </w:p>
    <w:p>
      <w:pPr>
        <w:ind w:left="720" w:hanging="720"/>
      </w:pPr>
      <w:r>
        <w:rPr>
          <w:rFonts w:ascii="Calibri" w:hAnsi="Calibri"/>
          <w:sz w:val="20"/>
        </w:rPr>
        <w:t>Cheung, M. W.-L. (2015). Meta-analysis: A structural equation modeling approach. Wiley.</w:t>
      </w:r>
    </w:p>
    <w:p>
      <w:pPr>
        <w:ind w:left="720" w:hanging="720"/>
      </w:pPr>
      <w:r>
        <w:rPr>
          <w:rFonts w:ascii="Calibri" w:hAnsi="Calibri"/>
          <w:sz w:val="20"/>
        </w:rPr>
        <w:t>Cheung, M. W.-L., &amp; Chan, W. (2005). Meta-analytic structural equation modeling: A two-stage approach. Psychological Methods, 10(1), 40–64.</w:t>
      </w:r>
    </w:p>
    <w:p>
      <w:pPr>
        <w:ind w:left="720" w:hanging="720"/>
      </w:pPr>
      <w:r>
        <w:rPr>
          <w:rFonts w:ascii="Calibri" w:hAnsi="Calibri"/>
          <w:sz w:val="20"/>
        </w:rPr>
        <w:t>Davis, F. D. (1989). Perceived usefulness, perceived ease of use, and user acceptance of information technology. MIS Quarterly, 13(3), 319–340.</w:t>
      </w:r>
    </w:p>
    <w:p>
      <w:pPr>
        <w:ind w:left="720" w:hanging="720"/>
      </w:pPr>
      <w:r>
        <w:rPr>
          <w:rFonts w:ascii="Calibri" w:hAnsi="Calibri"/>
          <w:sz w:val="20"/>
        </w:rPr>
        <w:t>Hofstede, G. (2001). Culture’s consequences (2nd ed.). Sage.</w:t>
      </w:r>
    </w:p>
    <w:p>
      <w:pPr>
        <w:ind w:left="720" w:hanging="720"/>
      </w:pPr>
      <w:r>
        <w:rPr>
          <w:rFonts w:ascii="Calibri" w:hAnsi="Calibri"/>
          <w:sz w:val="20"/>
        </w:rPr>
        <w:t>Jak, S., &amp; Cheung, M. W.-L. (2020). Meta-analytic structural equation modeling with moderating effects. Psychological Methods, 25(4), 430–455.</w:t>
      </w:r>
    </w:p>
    <w:p>
      <w:pPr>
        <w:ind w:left="720" w:hanging="720"/>
      </w:pPr>
      <w:r>
        <w:rPr>
          <w:rFonts w:ascii="Calibri" w:hAnsi="Calibri"/>
          <w:sz w:val="20"/>
        </w:rPr>
        <w:t>Mayer, R. C., Davis, J. H., &amp; Schoorman, F. D. (1995). An integrative model of organizational trust. AMR, 20(3), 709–734.</w:t>
      </w:r>
    </w:p>
    <w:p>
      <w:pPr>
        <w:ind w:left="720" w:hanging="720"/>
      </w:pPr>
      <w:r>
        <w:rPr>
          <w:rFonts w:ascii="Calibri" w:hAnsi="Calibri"/>
          <w:sz w:val="20"/>
        </w:rPr>
        <w:t>Peterson, R. A., &amp; Brown, S. P. (2005). On the use of beta coefficients in meta-analysis. JAP, 90(1), 175–181.</w:t>
      </w:r>
    </w:p>
    <w:p>
      <w:pPr>
        <w:ind w:left="720" w:hanging="720"/>
      </w:pPr>
      <w:r>
        <w:rPr>
          <w:rFonts w:ascii="Calibri" w:hAnsi="Calibri"/>
          <w:sz w:val="20"/>
        </w:rPr>
        <w:t>Venkatesh, V., Morris, M. G., Davis, G. B., &amp; Davis, F. D. (2003). User acceptance of information technology. MIS Quarterly, 27(3), 425–478.</w:t>
      </w:r>
    </w:p>
    <w:p>
      <w:pPr>
        <w:ind w:left="720" w:hanging="720"/>
      </w:pPr>
      <w:r>
        <w:rPr>
          <w:rFonts w:ascii="Calibri" w:hAnsi="Calibri"/>
          <w:sz w:val="20"/>
        </w:rPr>
        <w:t>Venkatesh, V., Thong, J. Y. L., &amp; Xu, X. (2012). Consumer acceptance and use of information technology. MIS Quarterly, 36(1), 157–178.</w:t>
      </w:r>
    </w:p>
    <w:p>
      <w:r>
        <w:br w:type="page"/>
      </w:r>
    </w:p>
    <w:p>
      <w:pPr>
        <w:pStyle w:val="Heading1"/>
      </w:pPr>
      <w:r>
        <w:t>Appendix A: Decision Trees</w:t>
      </w:r>
    </w:p>
    <w:p>
      <w:pPr>
        <w:pStyle w:val="Heading3"/>
      </w:pPr>
      <w:r>
        <w:t>A.1 Inclusion/Exclusion Decision</w:t>
      </w:r>
    </w:p>
    <w:p>
      <w:pPr>
        <w:pStyle w:val="ListNumber"/>
      </w:pPr>
      <w:r>
        <w:rPr>
          <w:rFonts w:ascii="Calibri" w:hAnsi="Calibri"/>
          <w:sz w:val="22"/>
        </w:rPr>
        <w:t>Is it an empirical quantitative study? → NO → Exclude (E1)</w:t>
      </w:r>
    </w:p>
    <w:p>
      <w:pPr>
        <w:pStyle w:val="ListNumber"/>
      </w:pPr>
      <w:r>
        <w:rPr>
          <w:rFonts w:ascii="Calibri" w:hAnsi="Calibri"/>
          <w:sz w:val="22"/>
        </w:rPr>
        <w:t>Does it study AI technology? → NO → Exclude (E2)</w:t>
      </w:r>
    </w:p>
    <w:p>
      <w:pPr>
        <w:pStyle w:val="ListNumber"/>
      </w:pPr>
      <w:r>
        <w:rPr>
          <w:rFonts w:ascii="Calibri" w:hAnsi="Calibri"/>
          <w:sz w:val="22"/>
        </w:rPr>
        <w:t xml:space="preserve">Is it in an </w:t>
      </w:r>
      <w:r>
        <w:rPr>
          <w:rFonts w:ascii="Calibri" w:hAnsi="Calibri"/>
          <w:b/>
          <w:sz w:val="22"/>
        </w:rPr>
        <w:t>educational setting</w:t>
      </w:r>
      <w:r>
        <w:rPr>
          <w:rFonts w:ascii="Calibri" w:hAnsi="Calibri"/>
          <w:sz w:val="22"/>
        </w:rPr>
        <w:t>? → NO → Exclude (E3)</w:t>
      </w:r>
    </w:p>
    <w:p>
      <w:pPr>
        <w:pStyle w:val="ListNumber"/>
      </w:pPr>
      <w:r>
        <w:rPr>
          <w:rFonts w:ascii="Calibri" w:hAnsi="Calibri"/>
          <w:sz w:val="22"/>
        </w:rPr>
        <w:t>Does it measure adoption/acceptance? → NO → Exclude (E4)</w:t>
      </w:r>
    </w:p>
    <w:p>
      <w:pPr>
        <w:pStyle w:val="ListNumber"/>
      </w:pPr>
      <w:r>
        <w:rPr>
          <w:rFonts w:ascii="Calibri" w:hAnsi="Calibri"/>
          <w:sz w:val="22"/>
        </w:rPr>
        <w:t>Does it report correlations or betas? → NO → Exclude (E5)</w:t>
      </w:r>
    </w:p>
    <w:p>
      <w:pPr>
        <w:pStyle w:val="ListNumber"/>
      </w:pPr>
      <w:r>
        <w:rPr>
          <w:rFonts w:ascii="Calibri" w:hAnsi="Calibri"/>
          <w:sz w:val="22"/>
        </w:rPr>
        <w:t>Does it measure ≥ 2 of our 12 constructs? → NO → Exclude (E-FT1)</w:t>
      </w:r>
    </w:p>
    <w:p>
      <w:pPr>
        <w:pStyle w:val="ListNumber"/>
      </w:pPr>
      <w:r>
        <w:rPr>
          <w:rFonts w:ascii="Calibri" w:hAnsi="Calibri"/>
          <w:sz w:val="22"/>
        </w:rPr>
        <w:t>Is N ≥ 50? → NO → Exclude (E8)</w:t>
      </w:r>
    </w:p>
    <w:p>
      <w:pPr>
        <w:pStyle w:val="ListNumber"/>
      </w:pPr>
      <w:r>
        <w:rPr>
          <w:rFonts w:ascii="Calibri" w:hAnsi="Calibri"/>
          <w:sz w:val="22"/>
        </w:rPr>
        <w:t>Is it in English? → NO → Exclude (E6)</w:t>
      </w:r>
    </w:p>
    <w:p>
      <w:pPr>
        <w:pStyle w:val="ListNumber"/>
      </w:pPr>
      <w:r>
        <w:rPr>
          <w:rFonts w:ascii="Calibri" w:hAnsi="Calibri"/>
          <w:sz w:val="22"/>
        </w:rPr>
        <w:t>Is it peer-reviewed (2022–2026)? → NO → Exclude (E7/E9)</w:t>
      </w:r>
    </w:p>
    <w:p>
      <w:pPr>
        <w:pStyle w:val="ListNumber"/>
      </w:pPr>
      <w:r>
        <w:rPr>
          <w:rFonts w:ascii="Calibri" w:hAnsi="Calibri"/>
          <w:sz w:val="22"/>
        </w:rPr>
        <w:t>Is it a duplicate sample? → YES → Exclude (E10)</w:t>
      </w:r>
    </w:p>
    <w:p>
      <w:pPr>
        <w:pStyle w:val="ListNumber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INCLUDE</w:t>
      </w:r>
      <w:r>
        <w:rPr>
          <w:rFonts w:ascii="Calibri" w:hAnsi="Calibri"/>
          <w:sz w:val="22"/>
        </w:rPr>
      </w:r>
    </w:p>
    <w:p>
      <w:pPr>
        <w:pStyle w:val="Heading3"/>
      </w:pPr>
      <w:r>
        <w:t>A.2 AI Technology Classification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Generative AI:</w:t>
      </w:r>
      <w:r>
        <w:rPr>
          <w:rFonts w:ascii="Calibri" w:hAnsi="Calibri"/>
          <w:sz w:val="22"/>
        </w:rPr>
        <w:t xml:space="preserve"> ChatGPT, GPT-4, Claude, Gemini, DALL-E, Midjourney, Copilot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Predictive AI:</w:t>
      </w:r>
      <w:r>
        <w:rPr>
          <w:rFonts w:ascii="Calibri" w:hAnsi="Calibri"/>
          <w:sz w:val="22"/>
        </w:rPr>
        <w:t xml:space="preserve"> ML-based forecasting, diagnostic AI, risk scoring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Decision Support:</w:t>
      </w:r>
      <w:r>
        <w:rPr>
          <w:rFonts w:ascii="Calibri" w:hAnsi="Calibri"/>
          <w:sz w:val="22"/>
        </w:rPr>
        <w:t xml:space="preserve"> AI-assisted decision making, recommendation systems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Conversational AI:</w:t>
      </w:r>
      <w:r>
        <w:rPr>
          <w:rFonts w:ascii="Calibri" w:hAnsi="Calibri"/>
          <w:sz w:val="22"/>
        </w:rPr>
        <w:t xml:space="preserve"> Chatbots, virtual assistants (Siri, Alexa), AI tutors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Robotic AI:</w:t>
      </w:r>
      <w:r>
        <w:rPr>
          <w:rFonts w:ascii="Calibri" w:hAnsi="Calibri"/>
          <w:sz w:val="22"/>
        </w:rPr>
        <w:t xml:space="preserve"> Physical robots, surgical robots, educational robots</w:t>
      </w:r>
    </w:p>
    <w:p>
      <w:pPr>
        <w:pStyle w:val="ListBullet"/>
      </w:pPr>
      <w:r>
        <w:rPr>
          <w:rFonts w:ascii="Calibri" w:hAnsi="Calibri"/>
          <w:sz w:val="22"/>
        </w:rPr>
      </w:r>
      <w:r>
        <w:rPr>
          <w:rFonts w:ascii="Calibri" w:hAnsi="Calibri"/>
          <w:b/>
          <w:sz w:val="22"/>
        </w:rPr>
        <w:t>General:</w:t>
      </w:r>
      <w:r>
        <w:rPr>
          <w:rFonts w:ascii="Calibri" w:hAnsi="Calibri"/>
          <w:sz w:val="22"/>
        </w:rPr>
        <w:t xml:space="preserve"> Study discusses “AI” without specifying type</w:t>
      </w:r>
    </w:p>
    <w:p>
      <w:pPr>
        <w:pStyle w:val="Heading3"/>
      </w:pPr>
      <w:r>
        <w:t>A.3 Construct Harmonization Decision</w:t>
      </w:r>
    </w:p>
    <w:p>
      <w:pPr>
        <w:pStyle w:val="ListNumber"/>
      </w:pPr>
      <w:r>
        <w:rPr>
          <w:rFonts w:ascii="Calibri" w:hAnsi="Calibri"/>
          <w:sz w:val="22"/>
        </w:rPr>
        <w:t>Exact label match to our 12? → Code directly (exact confidence)</w:t>
      </w:r>
    </w:p>
    <w:p>
      <w:pPr>
        <w:pStyle w:val="ListNumber"/>
      </w:pPr>
      <w:r>
        <w:rPr>
          <w:rFonts w:ascii="Calibri" w:hAnsi="Calibri"/>
          <w:sz w:val="22"/>
        </w:rPr>
        <w:t>TAM/UTAUT family label? → Use cross-reference table (high confidence)</w:t>
      </w:r>
    </w:p>
    <w:p>
      <w:pPr>
        <w:pStyle w:val="ListNumber"/>
      </w:pPr>
      <w:r>
        <w:rPr>
          <w:rFonts w:ascii="Calibri" w:hAnsi="Calibri"/>
          <w:sz w:val="22"/>
        </w:rPr>
        <w:t>AI-specific label? → Use AI mapping table (high/exact confidence)</w:t>
      </w:r>
    </w:p>
    <w:p>
      <w:pPr>
        <w:pStyle w:val="ListNumber"/>
      </w:pPr>
      <w:r>
        <w:rPr>
          <w:rFonts w:ascii="Calibri" w:hAnsi="Calibri"/>
          <w:sz w:val="22"/>
        </w:rPr>
        <w:t>Definition aligns? → Map to closest construct (moderate confidence)</w:t>
      </w:r>
    </w:p>
    <w:p>
      <w:pPr>
        <w:pStyle w:val="ListNumber"/>
      </w:pPr>
      <w:r>
        <w:rPr>
          <w:rFonts w:ascii="Calibri" w:hAnsi="Calibri"/>
          <w:sz w:val="22"/>
        </w:rPr>
        <w:t>Items align? → Map based on items (moderate confidence)</w:t>
      </w:r>
    </w:p>
    <w:p>
      <w:pPr>
        <w:pStyle w:val="ListNumber"/>
      </w:pPr>
      <w:r>
        <w:rPr>
          <w:rFonts w:ascii="Calibri" w:hAnsi="Calibri"/>
          <w:sz w:val="22"/>
        </w:rPr>
        <w:t>Ambiguous? → Flag for expert review (low confidence)</w:t>
      </w:r>
    </w:p>
    <w:p>
      <w:pPr>
        <w:pStyle w:val="ListNumber"/>
      </w:pPr>
      <w:r>
        <w:rPr>
          <w:rFonts w:ascii="Calibri" w:hAnsi="Calibri"/>
          <w:sz w:val="22"/>
        </w:rPr>
        <w:t>No match? → Exclude construct from coding</w:t>
      </w:r>
    </w:p>
    <w:p>
      <w:pPr>
        <w:pStyle w:val="Heading3"/>
      </w:pPr>
      <w:r>
        <w:t>A.4 Correlation Source Selection</w:t>
      </w:r>
    </w:p>
    <w:p>
      <w:pPr>
        <w:pStyle w:val="ListNumber"/>
      </w:pPr>
      <w:r>
        <w:rPr>
          <w:rFonts w:ascii="Calibri" w:hAnsi="Calibri"/>
          <w:sz w:val="22"/>
        </w:rPr>
        <w:t>Direct Pearson r available? → Use direct r (best quality)</w:t>
      </w:r>
    </w:p>
    <w:p>
      <w:pPr>
        <w:pStyle w:val="ListNumber"/>
      </w:pPr>
      <w:r>
        <w:rPr>
          <w:rFonts w:ascii="Calibri" w:hAnsi="Calibri"/>
          <w:sz w:val="22"/>
        </w:rPr>
        <w:t>Only standardized β available? → Convert using Peterson &amp; Brown (2005)</w:t>
      </w:r>
    </w:p>
    <w:p>
      <w:pPr>
        <w:pStyle w:val="ListNumber"/>
      </w:pPr>
      <w:r>
        <w:rPr>
          <w:rFonts w:ascii="Calibri" w:hAnsi="Calibri"/>
          <w:sz w:val="22"/>
        </w:rPr>
        <w:t>Only unstandardized b? → Cannot convert; mark as missing</w:t>
      </w:r>
    </w:p>
    <w:p>
      <w:pPr>
        <w:pStyle w:val="ListNumber"/>
      </w:pPr>
      <w:r>
        <w:rPr>
          <w:rFonts w:ascii="Calibri" w:hAnsi="Calibri"/>
          <w:sz w:val="22"/>
        </w:rPr>
        <w:t>Implied correlations from SEM? → Use if no direct r; flag quality</w:t>
      </w:r>
    </w:p>
    <w:p>
      <w:pPr>
        <w:pStyle w:val="ListNumber"/>
      </w:pPr>
      <w:r>
        <w:rPr>
          <w:rFonts w:ascii="Calibri" w:hAnsi="Calibri"/>
          <w:sz w:val="22"/>
        </w:rPr>
        <w:t>No numeric data? → Contact authors or exclude</w:t>
      </w:r>
    </w:p>
    <w:p>
      <w:r>
        <w:br w:type="page"/>
      </w:r>
    </w:p>
    <w:p>
      <w:pPr>
        <w:pStyle w:val="Heading1"/>
      </w:pPr>
      <w:r>
        <w:t>Appendix B: FAQ</w:t>
      </w:r>
    </w:p>
    <w:p>
      <w:r>
        <w:rPr>
          <w:b/>
          <w:color w:val="1B3A5C"/>
          <w:sz w:val="22"/>
        </w:rPr>
        <w:t>Q: What if a study reports both Pearson r and SEM-implied correlations?</w:t>
      </w:r>
    </w:p>
    <w:p>
      <w:pPr>
        <w:spacing w:after="200"/>
      </w:pPr>
      <w:r>
        <w:rPr>
          <w:sz w:val="22"/>
        </w:rPr>
        <w:t>A: Use Pearson r (direct correlations). SEM-implied correlations are model-dependent.</w:t>
      </w:r>
    </w:p>
    <w:p>
      <w:r>
        <w:rPr>
          <w:b/>
          <w:color w:val="1B3A5C"/>
          <w:sz w:val="22"/>
        </w:rPr>
        <w:t>Q: What if a study measures a construct but does not include it in the correlation matrix?</w:t>
      </w:r>
    </w:p>
    <w:p>
      <w:pPr>
        <w:spacing w:after="200"/>
      </w:pPr>
      <w:r>
        <w:rPr>
          <w:sz w:val="22"/>
        </w:rPr>
        <w:t>A: Record the construct as measured but leave correlations as NA.</w:t>
      </w:r>
    </w:p>
    <w:p>
      <w:r>
        <w:rPr>
          <w:b/>
          <w:color w:val="1B3A5C"/>
          <w:sz w:val="22"/>
        </w:rPr>
        <w:t>Q: How do I handle reverse-coded constructs?</w:t>
      </w:r>
    </w:p>
    <w:p>
      <w:pPr>
        <w:spacing w:after="200"/>
      </w:pPr>
      <w:r>
        <w:rPr>
          <w:sz w:val="22"/>
        </w:rPr>
        <w:t>A: Flip the sign. E.g., Complexity (reverse EE) with r = −0.35 to BI becomes EE-BI r = 0.35. Document the reversal.</w:t>
      </w:r>
    </w:p>
    <w:p>
      <w:r>
        <w:rPr>
          <w:b/>
          <w:color w:val="1B3A5C"/>
          <w:sz w:val="22"/>
        </w:rPr>
        <w:t>Q: What if a study reports correlation but not reliability?</w:t>
      </w:r>
    </w:p>
    <w:p>
      <w:pPr>
        <w:spacing w:after="200"/>
      </w:pPr>
      <w:r>
        <w:rPr>
          <w:sz w:val="22"/>
        </w:rPr>
        <w:t>A: Code the correlations. Leave reliability fields as NA.</w:t>
      </w:r>
    </w:p>
    <w:p>
      <w:r>
        <w:rPr>
          <w:b/>
          <w:color w:val="1B3A5C"/>
          <w:sz w:val="22"/>
        </w:rPr>
        <w:t>Q: What if sample sizes differ across correlation pairs?</w:t>
      </w:r>
    </w:p>
    <w:p>
      <w:pPr>
        <w:spacing w:after="200"/>
      </w:pPr>
      <w:r>
        <w:rPr>
          <w:sz w:val="22"/>
        </w:rPr>
        <w:t>A: Record pairwise N in r_sample_size. Use the minimum N for conservative analysis.</w:t>
      </w:r>
    </w:p>
    <w:p>
      <w:r>
        <w:rPr>
          <w:b/>
          <w:color w:val="1B3A5C"/>
          <w:sz w:val="22"/>
        </w:rPr>
        <w:t>Q: How do I handle multiple samples in one paper?</w:t>
      </w:r>
    </w:p>
    <w:p>
      <w:pPr>
        <w:spacing w:after="200"/>
      </w:pPr>
      <w:r>
        <w:rPr>
          <w:sz w:val="22"/>
        </w:rPr>
        <w:t>A: Treat each independent sample as a separate entry (e.g., S005a, S005b).</w:t>
      </w:r>
    </w:p>
    <w:p>
      <w:r>
        <w:rPr>
          <w:b/>
          <w:color w:val="1B3A5C"/>
          <w:sz w:val="22"/>
        </w:rPr>
        <w:t>Q: What if a study uses a construct not in our 12?</w:t>
      </w:r>
    </w:p>
    <w:p>
      <w:pPr>
        <w:spacing w:after="200"/>
      </w:pPr>
      <w:r>
        <w:rPr>
          <w:sz w:val="22"/>
        </w:rPr>
        <w:t>A: Do not code it. Only code correlations involving our 12 target constructs.</w:t>
      </w:r>
    </w:p>
    <w:p>
      <w:r>
        <w:rPr>
          <w:b/>
          <w:color w:val="1B3A5C"/>
          <w:sz w:val="22"/>
        </w:rPr>
        <w:t>Q: What about second-order constructs?</w:t>
      </w:r>
    </w:p>
    <w:p>
      <w:pPr>
        <w:spacing w:after="200"/>
      </w:pPr>
      <w:r>
        <w:rPr>
          <w:sz w:val="22"/>
        </w:rPr>
        <w:t>A: If a study measures PE as a second-order factor, use the second-order correlation. If only first-order correlations available, average and flag quality.</w:t>
      </w:r>
    </w:p>
    <w:p>
      <w:r>
        <w:rPr>
          <w:b/>
          <w:color w:val="1B3A5C"/>
          <w:sz w:val="22"/>
        </w:rPr>
        <w:t>Q: Can AI pre-code metadata fields?</w:t>
      </w:r>
    </w:p>
    <w:p>
      <w:pPr>
        <w:spacing w:after="200"/>
      </w:pPr>
      <w:r>
        <w:rPr>
          <w:sz w:val="22"/>
        </w:rPr>
        <w:t>A: Yes. AI pre-codes non-critical fields (identification, demographics). Humans verify during their independent coding. AI does NOT pre-code correlations or construct mappings — those must be human-coded independently.</w:t>
      </w:r>
    </w:p>
    <w:p>
      <w:r>
        <w:br w:type="page"/>
      </w:r>
    </w:p>
    <w:p>
      <w:pPr>
        <w:pStyle w:val="Heading1"/>
      </w:pPr>
      <w:r>
        <w:t>Appendix C: Excel Template Sheet Descriptions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Sheet</w:t>
            </w:r>
          </w:p>
        </w:tc>
        <w:tc>
          <w:tcPr>
            <w:tcW w:type="dxa" w:w="6192"/>
            <w:shd w:fill="1B3A5C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CODEBOOK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Master reference for all variables across all sheets. Contains variable_name, sheet, type, valid_values, coding_rules, example, and notes.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STUDY_METADATA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included study. Identification, design, sample, AI technology, quality assessment, and source management variables.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CORRELATION_MATRIX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One row per construct pair per study. study_id, construct_row, construct_col, r_value, r_source, and extraction metadata.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CONSTRUCT_MAPPING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Documents how each study construct maps to our 12 target constructs. Includes harmonization confidence level.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MODERATOR_VARIABLES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Moderator values for each study. Used in OSMASEM and subgroup analyses.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AI_EXTRACTION_PROVENANCE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Raw AI model outputs for AI-assisted coding. Preserves full provenance chain for Claude, Gemini, and Codex.</w:t>
            </w:r>
          </w:p>
        </w:tc>
      </w:tr>
      <w:tr>
        <w:tc>
          <w:tcPr>
            <w:tcW w:type="dxa" w:w="3168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DISCREPANCY_LOG</w:t>
            </w:r>
          </w:p>
        </w:tc>
        <w:tc>
          <w:tcPr>
            <w:tcW w:type="dxa" w:w="6192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inter-coder disagreements with classification, resolution method, and final values.</w:t>
            </w:r>
          </w:p>
        </w:tc>
      </w:tr>
      <w:tr>
        <w:tc>
          <w:tcPr>
            <w:tcW w:type="dxa" w:w="3168"/>
            <w:shd w:fill="F2F7FB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Calibri" w:hAnsi="Calibri"/>
                <w:b/>
                <w:sz w:val="20"/>
              </w:rPr>
              <w:t>EXCLUSION_LOG</w:t>
            </w:r>
          </w:p>
        </w:tc>
        <w:tc>
          <w:tcPr>
            <w:tcW w:type="dxa" w:w="6192"/>
            <w:shd w:fill="F2F7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All studies excluded at full-text or data extraction stage with reasons and codes.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 xml:space="preserve">Page </w:t>
    </w:r>
    <w:fldSimple w:instr=" PAGE 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B4C7DC"/>
      </w:pBdr>
    </w:pPr>
    <w:r>
      <w:rPr>
        <w:rFonts w:ascii="Calibri" w:hAnsi="Calibri"/>
        <w:i/>
        <w:color w:val="999999"/>
        <w:sz w:val="16"/>
      </w:rPr>
      <w:t>AI Adoption in Education — MASEM Coding Manual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